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619" w:tblpY="571"/>
        <w:tblOverlap w:val="never"/>
        <w:tblW w:w="8670" w:type="dxa"/>
        <w:tblInd w:w="0" w:type="dxa"/>
        <w:tblLayout w:type="fixed"/>
        <w:tblCellMar>
          <w:top w:w="0" w:type="dxa"/>
          <w:left w:w="0" w:type="dxa"/>
          <w:bottom w:w="0" w:type="dxa"/>
          <w:right w:w="0" w:type="dxa"/>
        </w:tblCellMar>
      </w:tblPr>
      <w:tblGrid>
        <w:gridCol w:w="630"/>
        <w:gridCol w:w="1065"/>
        <w:gridCol w:w="6120"/>
        <w:gridCol w:w="855"/>
      </w:tblGrid>
      <w:tr w14:paraId="04BCDB1B">
        <w:tblPrEx>
          <w:tblCellMar>
            <w:top w:w="0" w:type="dxa"/>
            <w:left w:w="0" w:type="dxa"/>
            <w:bottom w:w="0" w:type="dxa"/>
            <w:right w:w="0" w:type="dxa"/>
          </w:tblCellMar>
        </w:tblPrEx>
        <w:trPr>
          <w:trHeight w:val="23" w:hRule="atLeast"/>
        </w:trPr>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D5588">
            <w:pPr>
              <w:widowControl/>
              <w:spacing w:line="360" w:lineRule="auto"/>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序号</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A2D83">
            <w:pPr>
              <w:widowControl/>
              <w:spacing w:line="360" w:lineRule="auto"/>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产品名称</w:t>
            </w:r>
          </w:p>
        </w:tc>
        <w:tc>
          <w:tcPr>
            <w:tcW w:w="6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4EF84">
            <w:pPr>
              <w:widowControl/>
              <w:spacing w:line="360" w:lineRule="auto"/>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产品描述</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7F247">
            <w:pPr>
              <w:widowControl/>
              <w:spacing w:line="360" w:lineRule="auto"/>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数量</w:t>
            </w:r>
          </w:p>
        </w:tc>
      </w:tr>
      <w:tr w14:paraId="346D8001">
        <w:tblPrEx>
          <w:tblCellMar>
            <w:top w:w="0" w:type="dxa"/>
            <w:left w:w="0" w:type="dxa"/>
            <w:bottom w:w="0" w:type="dxa"/>
            <w:right w:w="0" w:type="dxa"/>
          </w:tblCellMar>
        </w:tblPrEx>
        <w:trPr>
          <w:trHeight w:val="3626" w:hRule="atLeast"/>
        </w:trPr>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39B10">
            <w:pPr>
              <w:pStyle w:val="3"/>
              <w:snapToGrid w:val="0"/>
              <w:spacing w:line="360" w:lineRule="auto"/>
              <w:jc w:val="center"/>
              <w:rPr>
                <w:rFonts w:hint="eastAsia" w:asciiTheme="majorEastAsia" w:hAnsiTheme="majorEastAsia" w:eastAsiaTheme="majorEastAsia" w:cstheme="majorEastAsia"/>
                <w:sz w:val="21"/>
                <w:lang w:bidi="ar"/>
              </w:rPr>
            </w:pPr>
            <w:r>
              <w:rPr>
                <w:rFonts w:hint="eastAsia" w:asciiTheme="majorEastAsia" w:hAnsiTheme="majorEastAsia" w:eastAsiaTheme="majorEastAsia" w:cstheme="majorEastAsia"/>
                <w:sz w:val="21"/>
                <w:lang w:bidi="ar"/>
              </w:rPr>
              <w:t>1</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6CEA3">
            <w:pPr>
              <w:widowControl/>
              <w:spacing w:line="360" w:lineRule="auto"/>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color w:val="000000"/>
                <w:kern w:val="0"/>
                <w:szCs w:val="21"/>
                <w:lang w:bidi="ar"/>
              </w:rPr>
              <w:t>心电采集终端</w:t>
            </w:r>
          </w:p>
        </w:tc>
        <w:tc>
          <w:tcPr>
            <w:tcW w:w="6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552D4">
            <w:pPr>
              <w:widowControl/>
              <w:autoSpaceDE w:val="0"/>
              <w:spacing w:line="360" w:lineRule="auto"/>
              <w:textAlignment w:val="center"/>
              <w:rPr>
                <w:rFonts w:hint="eastAsia" w:asciiTheme="majorEastAsia" w:hAnsiTheme="majorEastAsia" w:eastAsiaTheme="majorEastAsia" w:cstheme="majorEastAsia"/>
                <w:szCs w:val="21"/>
              </w:rPr>
            </w:pPr>
            <w:r>
              <w:rPr>
                <w:rStyle w:val="9"/>
                <w:rFonts w:hint="eastAsia" w:asciiTheme="majorEastAsia" w:hAnsiTheme="majorEastAsia" w:eastAsiaTheme="majorEastAsia" w:cstheme="majorEastAsia"/>
                <w:lang w:bidi="ar"/>
              </w:rPr>
              <w:t>1、尺寸≦</w:t>
            </w:r>
            <w:r>
              <w:rPr>
                <w:rFonts w:hint="eastAsia" w:asciiTheme="majorEastAsia" w:hAnsiTheme="majorEastAsia" w:eastAsiaTheme="majorEastAsia" w:cstheme="majorEastAsia"/>
                <w:color w:val="000000"/>
                <w:kern w:val="0"/>
                <w:szCs w:val="21"/>
                <w:lang w:bidi="ar"/>
              </w:rPr>
              <w:t>105*66*40mm</w:t>
            </w:r>
            <w:r>
              <w:rPr>
                <w:rStyle w:val="9"/>
                <w:rFonts w:hint="eastAsia" w:asciiTheme="majorEastAsia" w:hAnsiTheme="majorEastAsia" w:eastAsiaTheme="majorEastAsia" w:cstheme="majorEastAsia"/>
                <w:lang w:bidi="ar"/>
              </w:rPr>
              <w:t>，内置全网通物联网数据卡（</w:t>
            </w:r>
            <w:r>
              <w:rPr>
                <w:rFonts w:hint="eastAsia" w:asciiTheme="majorEastAsia" w:hAnsiTheme="majorEastAsia" w:eastAsiaTheme="majorEastAsia" w:cstheme="majorEastAsia"/>
                <w:color w:val="000000"/>
                <w:kern w:val="0"/>
                <w:szCs w:val="21"/>
                <w:lang w:bidi="ar"/>
              </w:rPr>
              <w:t>4G/5G</w:t>
            </w:r>
            <w:r>
              <w:rPr>
                <w:rStyle w:val="9"/>
                <w:rFonts w:hint="eastAsia" w:asciiTheme="majorEastAsia" w:hAnsiTheme="majorEastAsia" w:eastAsiaTheme="majorEastAsia" w:cstheme="majorEastAsia"/>
                <w:lang w:bidi="ar"/>
              </w:rPr>
              <w:t>兼容），支持移动联通电信各大运营商。</w:t>
            </w:r>
            <w:r>
              <w:rPr>
                <w:rFonts w:hint="eastAsia" w:asciiTheme="majorEastAsia" w:hAnsiTheme="majorEastAsia" w:eastAsiaTheme="majorEastAsia" w:cstheme="majorEastAsia"/>
                <w:color w:val="000000"/>
                <w:kern w:val="0"/>
                <w:szCs w:val="21"/>
                <w:lang w:bidi="ar"/>
              </w:rPr>
              <w:br w:type="textWrapping"/>
            </w:r>
            <w:r>
              <w:rPr>
                <w:rFonts w:hint="eastAsia" w:asciiTheme="majorEastAsia" w:hAnsiTheme="majorEastAsia" w:eastAsiaTheme="majorEastAsia" w:cstheme="majorEastAsia"/>
                <w:color w:val="000000"/>
                <w:kern w:val="0"/>
                <w:szCs w:val="21"/>
                <w:lang w:bidi="ar"/>
              </w:rPr>
              <w:t>2</w:t>
            </w:r>
            <w:r>
              <w:rPr>
                <w:rStyle w:val="9"/>
                <w:rFonts w:hint="eastAsia" w:asciiTheme="majorEastAsia" w:hAnsiTheme="majorEastAsia" w:eastAsiaTheme="majorEastAsia" w:cstheme="majorEastAsia"/>
                <w:lang w:bidi="ar"/>
              </w:rPr>
              <w:t>、直接连接车载除颤监护仪，不用依赖任何热点（蓝牙及</w:t>
            </w:r>
            <w:r>
              <w:rPr>
                <w:rFonts w:hint="eastAsia" w:asciiTheme="majorEastAsia" w:hAnsiTheme="majorEastAsia" w:eastAsiaTheme="majorEastAsia" w:cstheme="majorEastAsia"/>
                <w:color w:val="000000"/>
                <w:kern w:val="0"/>
                <w:szCs w:val="21"/>
                <w:lang w:bidi="ar"/>
              </w:rPr>
              <w:t>WIFI</w:t>
            </w:r>
            <w:r>
              <w:rPr>
                <w:rStyle w:val="9"/>
                <w:rFonts w:hint="eastAsia" w:asciiTheme="majorEastAsia" w:hAnsiTheme="majorEastAsia" w:eastAsiaTheme="majorEastAsia" w:cstheme="majorEastAsia"/>
                <w:lang w:bidi="ar"/>
              </w:rPr>
              <w:t>）将患者的生命体征参数及波形实时无线传输至急救中心及接诊医院。</w:t>
            </w:r>
            <w:r>
              <w:rPr>
                <w:rFonts w:hint="eastAsia" w:asciiTheme="majorEastAsia" w:hAnsiTheme="majorEastAsia" w:eastAsiaTheme="majorEastAsia" w:cstheme="majorEastAsia"/>
                <w:color w:val="000000"/>
                <w:kern w:val="0"/>
                <w:szCs w:val="21"/>
                <w:lang w:bidi="ar"/>
              </w:rPr>
              <w:br w:type="textWrapping"/>
            </w:r>
            <w:r>
              <w:rPr>
                <w:rFonts w:hint="eastAsia" w:asciiTheme="majorEastAsia" w:hAnsiTheme="majorEastAsia" w:eastAsiaTheme="majorEastAsia" w:cstheme="majorEastAsia"/>
                <w:color w:val="000000"/>
                <w:kern w:val="0"/>
                <w:szCs w:val="21"/>
                <w:lang w:bidi="ar"/>
              </w:rPr>
              <w:t>3</w:t>
            </w:r>
            <w:r>
              <w:rPr>
                <w:rStyle w:val="9"/>
                <w:rFonts w:hint="eastAsia" w:asciiTheme="majorEastAsia" w:hAnsiTheme="majorEastAsia" w:eastAsiaTheme="majorEastAsia" w:cstheme="majorEastAsia"/>
                <w:lang w:bidi="ar"/>
              </w:rPr>
              <w:t>、所有回传数据及波形能够长期存</w:t>
            </w:r>
            <w:bookmarkStart w:id="0" w:name="_GoBack"/>
            <w:bookmarkEnd w:id="0"/>
            <w:r>
              <w:rPr>
                <w:rStyle w:val="9"/>
                <w:rFonts w:hint="eastAsia" w:asciiTheme="majorEastAsia" w:hAnsiTheme="majorEastAsia" w:eastAsiaTheme="majorEastAsia" w:cstheme="majorEastAsia"/>
                <w:lang w:bidi="ar"/>
              </w:rPr>
              <w:t>储，具有实时报表、趋势图表、趋势列表、报警报表等统计功能，数据统计间隔时间可调节，必须精确到秒，所有报表均可以下载、打印，以满足临床质控分析需求。</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16257">
            <w:pPr>
              <w:widowControl/>
              <w:spacing w:line="360" w:lineRule="auto"/>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2套</w:t>
            </w:r>
          </w:p>
        </w:tc>
      </w:tr>
      <w:tr w14:paraId="4241593C">
        <w:tblPrEx>
          <w:tblCellMar>
            <w:top w:w="0" w:type="dxa"/>
            <w:left w:w="0" w:type="dxa"/>
            <w:bottom w:w="0" w:type="dxa"/>
            <w:right w:w="0" w:type="dxa"/>
          </w:tblCellMar>
        </w:tblPrEx>
        <w:trPr>
          <w:trHeight w:val="4547" w:hRule="atLeast"/>
        </w:trPr>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29B37">
            <w:pPr>
              <w:pStyle w:val="3"/>
              <w:snapToGrid w:val="0"/>
              <w:spacing w:line="360" w:lineRule="auto"/>
              <w:jc w:val="center"/>
              <w:rPr>
                <w:rFonts w:hint="eastAsia" w:asciiTheme="majorEastAsia" w:hAnsiTheme="majorEastAsia" w:eastAsiaTheme="majorEastAsia" w:cstheme="majorEastAsia"/>
                <w:sz w:val="21"/>
                <w:lang w:bidi="ar"/>
              </w:rPr>
            </w:pPr>
            <w:r>
              <w:rPr>
                <w:rFonts w:hint="eastAsia" w:asciiTheme="majorEastAsia" w:hAnsiTheme="majorEastAsia" w:eastAsiaTheme="majorEastAsia" w:cstheme="majorEastAsia"/>
                <w:sz w:val="21"/>
                <w:lang w:bidi="ar"/>
              </w:rPr>
              <w:t>2</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AE3D0">
            <w:pPr>
              <w:widowControl/>
              <w:spacing w:line="360" w:lineRule="auto"/>
              <w:jc w:val="center"/>
              <w:textAlignment w:val="center"/>
              <w:rPr>
                <w:rFonts w:hint="eastAsia" w:asciiTheme="majorEastAsia" w:hAnsiTheme="majorEastAsia" w:eastAsiaTheme="majorEastAsia" w:cstheme="majorEastAsia"/>
                <w:color w:val="000000"/>
                <w:kern w:val="0"/>
                <w:szCs w:val="21"/>
                <w:lang w:bidi="ar"/>
              </w:rPr>
            </w:pPr>
            <w:r>
              <w:rPr>
                <w:rFonts w:hint="eastAsia" w:asciiTheme="majorEastAsia" w:hAnsiTheme="majorEastAsia" w:eastAsiaTheme="majorEastAsia" w:cstheme="majorEastAsia"/>
                <w:color w:val="000000"/>
                <w:kern w:val="0"/>
                <w:szCs w:val="21"/>
                <w:lang w:bidi="ar"/>
              </w:rPr>
              <w:t>心电采集模块</w:t>
            </w:r>
          </w:p>
        </w:tc>
        <w:tc>
          <w:tcPr>
            <w:tcW w:w="6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14EF7">
            <w:pPr>
              <w:widowControl/>
              <w:autoSpaceDE w:val="0"/>
              <w:spacing w:line="360" w:lineRule="auto"/>
              <w:textAlignment w:val="center"/>
              <w:rPr>
                <w:rFonts w:hint="eastAsia" w:asciiTheme="majorEastAsia" w:hAnsiTheme="majorEastAsia" w:eastAsiaTheme="majorEastAsia" w:cstheme="majorEastAsia"/>
                <w:color w:val="000000"/>
                <w:kern w:val="0"/>
                <w:szCs w:val="21"/>
                <w:lang w:bidi="ar"/>
              </w:rPr>
            </w:pPr>
            <w:r>
              <w:rPr>
                <w:rFonts w:hint="eastAsia" w:asciiTheme="majorEastAsia" w:hAnsiTheme="majorEastAsia" w:eastAsiaTheme="majorEastAsia" w:cstheme="majorEastAsia"/>
                <w:color w:val="000000"/>
                <w:kern w:val="0"/>
                <w:szCs w:val="21"/>
                <w:lang w:bidi="ar"/>
              </w:rPr>
              <w:t>1</w:t>
            </w:r>
            <w:r>
              <w:rPr>
                <w:rStyle w:val="9"/>
                <w:rFonts w:hint="eastAsia" w:asciiTheme="majorEastAsia" w:hAnsiTheme="majorEastAsia" w:eastAsiaTheme="majorEastAsia" w:cstheme="majorEastAsia"/>
                <w:lang w:bidi="ar"/>
              </w:rPr>
              <w:t>、</w:t>
            </w:r>
            <w:r>
              <w:rPr>
                <w:rFonts w:hint="eastAsia" w:asciiTheme="majorEastAsia" w:hAnsiTheme="majorEastAsia" w:eastAsiaTheme="majorEastAsia" w:cstheme="majorEastAsia"/>
                <w:color w:val="000000"/>
                <w:kern w:val="0"/>
                <w:szCs w:val="21"/>
                <w:lang w:bidi="ar"/>
              </w:rPr>
              <w:t>5G</w:t>
            </w:r>
            <w:r>
              <w:rPr>
                <w:rStyle w:val="9"/>
                <w:rFonts w:hint="eastAsia" w:asciiTheme="majorEastAsia" w:hAnsiTheme="majorEastAsia" w:eastAsiaTheme="majorEastAsia" w:cstheme="majorEastAsia"/>
                <w:lang w:bidi="ar"/>
              </w:rPr>
              <w:t>数据传输模块不依赖于急救车等特定使用环境，和车载除颤监护仪连接后可以在任意地点实现病人的生命体征数据及波形实时上传。</w:t>
            </w:r>
            <w:r>
              <w:rPr>
                <w:rFonts w:hint="eastAsia" w:asciiTheme="majorEastAsia" w:hAnsiTheme="majorEastAsia" w:eastAsiaTheme="majorEastAsia" w:cstheme="majorEastAsia"/>
                <w:color w:val="000000"/>
                <w:kern w:val="0"/>
                <w:szCs w:val="21"/>
                <w:lang w:bidi="ar"/>
              </w:rPr>
              <w:br w:type="textWrapping"/>
            </w:r>
            <w:r>
              <w:rPr>
                <w:rFonts w:hint="eastAsia" w:asciiTheme="majorEastAsia" w:hAnsiTheme="majorEastAsia" w:eastAsiaTheme="majorEastAsia" w:cstheme="majorEastAsia"/>
                <w:color w:val="000000"/>
                <w:kern w:val="0"/>
                <w:szCs w:val="21"/>
                <w:lang w:bidi="ar"/>
              </w:rPr>
              <w:t>2</w:t>
            </w:r>
            <w:r>
              <w:rPr>
                <w:rStyle w:val="9"/>
                <w:rFonts w:hint="eastAsia" w:asciiTheme="majorEastAsia" w:hAnsiTheme="majorEastAsia" w:eastAsiaTheme="majorEastAsia" w:cstheme="majorEastAsia"/>
                <w:lang w:bidi="ar"/>
              </w:rPr>
              <w:t>、软件能够和</w:t>
            </w:r>
            <w:r>
              <w:rPr>
                <w:rFonts w:hint="eastAsia" w:asciiTheme="majorEastAsia" w:hAnsiTheme="majorEastAsia" w:eastAsiaTheme="majorEastAsia" w:cstheme="majorEastAsia"/>
                <w:color w:val="000000"/>
                <w:kern w:val="0"/>
                <w:szCs w:val="21"/>
                <w:lang w:bidi="ar"/>
              </w:rPr>
              <w:t>120</w:t>
            </w:r>
            <w:r>
              <w:rPr>
                <w:rStyle w:val="9"/>
                <w:rFonts w:hint="eastAsia" w:asciiTheme="majorEastAsia" w:hAnsiTheme="majorEastAsia" w:eastAsiaTheme="majorEastAsia" w:cstheme="majorEastAsia"/>
                <w:lang w:bidi="ar"/>
              </w:rPr>
              <w:t>指挥调度系统进行对接，能够提供直接使用、无需解析的数据协议、实时波形、各类统计报表供对接方直接使用。</w:t>
            </w:r>
            <w:r>
              <w:rPr>
                <w:rFonts w:hint="eastAsia" w:asciiTheme="majorEastAsia" w:hAnsiTheme="majorEastAsia" w:eastAsiaTheme="majorEastAsia" w:cstheme="majorEastAsia"/>
                <w:color w:val="000000"/>
                <w:kern w:val="0"/>
                <w:szCs w:val="21"/>
                <w:lang w:bidi="ar"/>
              </w:rPr>
              <w:br w:type="textWrapping"/>
            </w:r>
            <w:r>
              <w:rPr>
                <w:rFonts w:hint="eastAsia" w:asciiTheme="majorEastAsia" w:hAnsiTheme="majorEastAsia" w:eastAsiaTheme="majorEastAsia" w:cstheme="majorEastAsia"/>
                <w:color w:val="000000"/>
                <w:kern w:val="0"/>
                <w:szCs w:val="21"/>
                <w:lang w:bidi="ar"/>
              </w:rPr>
              <w:t>3</w:t>
            </w:r>
            <w:r>
              <w:rPr>
                <w:rStyle w:val="9"/>
                <w:rFonts w:hint="eastAsia" w:asciiTheme="majorEastAsia" w:hAnsiTheme="majorEastAsia" w:eastAsiaTheme="majorEastAsia" w:cstheme="majorEastAsia"/>
                <w:lang w:bidi="ar"/>
              </w:rPr>
              <w:t>、具有和急救车信息管理系统、急诊医生工作站管理系统等软件著作权证书。</w:t>
            </w:r>
            <w:r>
              <w:rPr>
                <w:rFonts w:hint="eastAsia" w:asciiTheme="majorEastAsia" w:hAnsiTheme="majorEastAsia" w:eastAsiaTheme="majorEastAsia" w:cstheme="majorEastAsia"/>
                <w:color w:val="000000"/>
                <w:kern w:val="0"/>
                <w:szCs w:val="21"/>
                <w:lang w:bidi="ar"/>
              </w:rPr>
              <w:br w:type="textWrapping"/>
            </w:r>
            <w:r>
              <w:rPr>
                <w:rFonts w:hint="eastAsia" w:asciiTheme="majorEastAsia" w:hAnsiTheme="majorEastAsia" w:eastAsiaTheme="majorEastAsia" w:cstheme="majorEastAsia"/>
                <w:color w:val="000000"/>
                <w:kern w:val="0"/>
                <w:szCs w:val="21"/>
                <w:lang w:bidi="ar"/>
              </w:rPr>
              <w:t>4</w:t>
            </w:r>
            <w:r>
              <w:rPr>
                <w:rStyle w:val="9"/>
                <w:rFonts w:hint="eastAsia" w:asciiTheme="majorEastAsia" w:hAnsiTheme="majorEastAsia" w:eastAsiaTheme="majorEastAsia" w:cstheme="majorEastAsia"/>
                <w:lang w:bidi="ar"/>
              </w:rPr>
              <w:t>、软件提供中央监护系统软件医疗器械注册证，并具有政府医疗器械检测机构出具的远程监护系统软件检测报告。</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16601">
            <w:pPr>
              <w:widowControl/>
              <w:spacing w:line="360" w:lineRule="auto"/>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2套</w:t>
            </w:r>
          </w:p>
        </w:tc>
      </w:tr>
      <w:tr w14:paraId="48D3F598">
        <w:tblPrEx>
          <w:tblCellMar>
            <w:top w:w="0" w:type="dxa"/>
            <w:left w:w="0" w:type="dxa"/>
            <w:bottom w:w="0" w:type="dxa"/>
            <w:right w:w="0" w:type="dxa"/>
          </w:tblCellMar>
        </w:tblPrEx>
        <w:trPr>
          <w:trHeight w:val="803" w:hRule="atLeast"/>
        </w:trPr>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C0196">
            <w:pPr>
              <w:pStyle w:val="3"/>
              <w:snapToGrid w:val="0"/>
              <w:spacing w:line="360" w:lineRule="auto"/>
              <w:jc w:val="center"/>
              <w:rPr>
                <w:rFonts w:hint="eastAsia" w:asciiTheme="majorEastAsia" w:hAnsiTheme="majorEastAsia" w:eastAsiaTheme="majorEastAsia" w:cstheme="majorEastAsia"/>
                <w:sz w:val="21"/>
                <w:lang w:eastAsia="zh-CN" w:bidi="ar"/>
              </w:rPr>
            </w:pPr>
            <w:r>
              <w:rPr>
                <w:rFonts w:hint="eastAsia" w:asciiTheme="majorEastAsia" w:hAnsiTheme="majorEastAsia" w:eastAsiaTheme="majorEastAsia" w:cstheme="majorEastAsia"/>
                <w:sz w:val="21"/>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01FA4">
            <w:pPr>
              <w:widowControl/>
              <w:spacing w:line="360" w:lineRule="auto"/>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系统集成</w:t>
            </w:r>
          </w:p>
        </w:tc>
        <w:tc>
          <w:tcPr>
            <w:tcW w:w="6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BA557">
            <w:pPr>
              <w:pStyle w:val="6"/>
              <w:spacing w:line="360" w:lineRule="auto"/>
              <w:ind w:left="0" w:leftChars="0" w:firstLine="0"/>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设备安装、系统联调联测及人员培训等。</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33047">
            <w:pPr>
              <w:widowControl/>
              <w:spacing w:line="360" w:lineRule="auto"/>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1项</w:t>
            </w:r>
          </w:p>
        </w:tc>
      </w:tr>
      <w:tr w14:paraId="13D8F3A8">
        <w:tblPrEx>
          <w:tblCellMar>
            <w:top w:w="0" w:type="dxa"/>
            <w:left w:w="0" w:type="dxa"/>
            <w:bottom w:w="0" w:type="dxa"/>
            <w:right w:w="0" w:type="dxa"/>
          </w:tblCellMar>
        </w:tblPrEx>
        <w:trPr>
          <w:trHeight w:val="2715" w:hRule="atLeast"/>
        </w:trPr>
        <w:tc>
          <w:tcPr>
            <w:tcW w:w="86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EF6B6">
            <w:pPr>
              <w:widowControl/>
              <w:spacing w:line="360" w:lineRule="auto"/>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1、项目总预算3万元。</w:t>
            </w:r>
          </w:p>
          <w:p w14:paraId="18C9DB82">
            <w:pPr>
              <w:widowControl/>
              <w:spacing w:line="360" w:lineRule="auto"/>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、供货期：合同签订后15个工作日</w:t>
            </w:r>
            <w:r>
              <w:rPr>
                <w:rFonts w:hint="eastAsia" w:asciiTheme="majorEastAsia" w:hAnsiTheme="majorEastAsia" w:eastAsiaTheme="majorEastAsia" w:cstheme="majorEastAsia"/>
                <w:kern w:val="0"/>
                <w:szCs w:val="21"/>
                <w:lang w:eastAsia="zh-CN" w:bidi="ar"/>
              </w:rPr>
              <w:t>。</w:t>
            </w:r>
          </w:p>
          <w:p w14:paraId="45115EFA">
            <w:pPr>
              <w:widowControl/>
              <w:spacing w:line="360" w:lineRule="auto"/>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、质保期1年，自项目验收合格之日起计算</w:t>
            </w:r>
            <w:r>
              <w:rPr>
                <w:rFonts w:hint="eastAsia" w:asciiTheme="majorEastAsia" w:hAnsiTheme="majorEastAsia" w:eastAsiaTheme="majorEastAsia" w:cstheme="majorEastAsia"/>
                <w:kern w:val="0"/>
                <w:szCs w:val="21"/>
                <w:lang w:eastAsia="zh-CN" w:bidi="ar"/>
              </w:rPr>
              <w:t>。</w:t>
            </w:r>
          </w:p>
          <w:p w14:paraId="19766BC8">
            <w:pPr>
              <w:widowControl/>
              <w:spacing w:line="360" w:lineRule="auto"/>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、项目验收合格后，乙方向甲方出具有效发票，甲方自收到发票之日起30个工作日内支付合同金额的100%。</w:t>
            </w:r>
          </w:p>
        </w:tc>
      </w:tr>
    </w:tbl>
    <w:p w14:paraId="67D7C34D">
      <w:pPr>
        <w:jc w:val="center"/>
        <w:rPr>
          <w:rFonts w:hint="eastAsia" w:asciiTheme="majorEastAsia" w:hAnsiTheme="majorEastAsia" w:eastAsiaTheme="majorEastAsia" w:cstheme="majorEastAsia"/>
          <w:sz w:val="24"/>
          <w:szCs w:val="28"/>
          <w:lang w:val="en-US" w:eastAsia="zh-CN"/>
        </w:rPr>
      </w:pPr>
      <w:r>
        <w:rPr>
          <w:rFonts w:hint="eastAsia" w:asciiTheme="majorEastAsia" w:hAnsiTheme="majorEastAsia" w:eastAsiaTheme="majorEastAsia" w:cstheme="majorEastAsia"/>
          <w:sz w:val="24"/>
          <w:szCs w:val="28"/>
        </w:rPr>
        <w:t>扬州大学附属医院心电采集传输设备采购项目</w:t>
      </w:r>
      <w:r>
        <w:rPr>
          <w:rFonts w:hint="eastAsia" w:asciiTheme="majorEastAsia" w:hAnsiTheme="majorEastAsia" w:eastAsiaTheme="majorEastAsia" w:cstheme="majorEastAsia"/>
          <w:sz w:val="24"/>
          <w:szCs w:val="28"/>
          <w:lang w:val="en-US" w:eastAsia="zh-CN"/>
        </w:rPr>
        <w:t>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DF4E0F"/>
    <w:rsid w:val="000321A5"/>
    <w:rsid w:val="00901859"/>
    <w:rsid w:val="00B56EB6"/>
    <w:rsid w:val="00C51542"/>
    <w:rsid w:val="00C816D6"/>
    <w:rsid w:val="00FF6DC5"/>
    <w:rsid w:val="03DF4E0F"/>
    <w:rsid w:val="050F5ABF"/>
    <w:rsid w:val="06A3587C"/>
    <w:rsid w:val="075C73C2"/>
    <w:rsid w:val="0A395B80"/>
    <w:rsid w:val="0B6656B0"/>
    <w:rsid w:val="2379775D"/>
    <w:rsid w:val="5A1D2E0A"/>
    <w:rsid w:val="70DD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qFormat/>
    <w:uiPriority w:val="0"/>
    <w:rPr>
      <w:rFonts w:ascii="宋体" w:hAnsi="Courier New"/>
      <w:kern w:val="0"/>
      <w:sz w:val="20"/>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tabs>
        <w:tab w:val="center" w:pos="4153"/>
        <w:tab w:val="right" w:pos="8306"/>
      </w:tabs>
      <w:snapToGrid w:val="0"/>
      <w:jc w:val="center"/>
    </w:pPr>
    <w:rPr>
      <w:sz w:val="18"/>
      <w:szCs w:val="18"/>
    </w:rPr>
  </w:style>
  <w:style w:type="paragraph" w:styleId="6">
    <w:name w:val="Body Text First Indent 2"/>
    <w:basedOn w:val="2"/>
    <w:qFormat/>
    <w:uiPriority w:val="0"/>
    <w:pPr>
      <w:ind w:firstLine="420"/>
    </w:pPr>
    <w:rPr>
      <w:rFonts w:ascii="Times New Roman" w:hAnsi="Times New Roman"/>
      <w:kern w:val="0"/>
      <w:sz w:val="20"/>
      <w:szCs w:val="24"/>
    </w:rPr>
  </w:style>
  <w:style w:type="character" w:customStyle="1" w:styleId="9">
    <w:name w:val="font41"/>
    <w:basedOn w:val="8"/>
    <w:qFormat/>
    <w:uiPriority w:val="0"/>
    <w:rPr>
      <w:rFonts w:hint="eastAsia" w:ascii="宋体" w:hAnsi="宋体" w:eastAsia="宋体" w:cs="宋体"/>
      <w:color w:val="000000"/>
      <w:sz w:val="21"/>
      <w:szCs w:val="21"/>
      <w:u w:val="none"/>
    </w:rPr>
  </w:style>
  <w:style w:type="character" w:customStyle="1" w:styleId="10">
    <w:name w:val="页眉 字符"/>
    <w:basedOn w:val="8"/>
    <w:link w:val="5"/>
    <w:uiPriority w:val="0"/>
    <w:rPr>
      <w:rFonts w:ascii="Calibri" w:hAnsi="Calibri" w:eastAsia="宋体" w:cs="Times New Roman"/>
      <w:kern w:val="2"/>
      <w:sz w:val="18"/>
      <w:szCs w:val="18"/>
    </w:rPr>
  </w:style>
  <w:style w:type="character" w:customStyle="1" w:styleId="11">
    <w:name w:val="页脚 字符"/>
    <w:basedOn w:val="8"/>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江苏省分公司</Company>
  <Pages>1</Pages>
  <Words>576</Words>
  <Characters>629</Characters>
  <Lines>35</Lines>
  <Paragraphs>37</Paragraphs>
  <TotalTime>7</TotalTime>
  <ScaleCrop>false</ScaleCrop>
  <LinksUpToDate>false</LinksUpToDate>
  <CharactersWithSpaces>629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2026-06-25T08:38:00Z</dcterms:created>
  <dc:creator>杨静雯</dc:creator>
  <cp:lastModifiedBy>艾伦小天使</cp:lastModifiedBy>
  <dcterms:modified xsi:type="dcterms:W3CDTF">2026-07-10T00:23:24Z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245E07B4763D4567BCC13A87699F1B3D_11</vt:lpwstr>
  </property>
  <property fmtid="{D5CDD505-2E9C-101B-9397-08002B2CF9AE}" pid="4" name="KSOTemplateDocerSaveRecord">
    <vt:lpwstr>eyJoZGlkIjoiYTBhZWI3NWRmZjY0ZGIxMWVjM2QyOTRhYjhiZjJiYWMiLCJ1c2VySWQiOiIzNTEzODI1MDgifQ==</vt:lpwstr>
  </property>
</Properties>
</file>