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1E971D">
      <w:pPr>
        <w:adjustRightInd w:val="0"/>
        <w:snapToGrid w:val="0"/>
        <w:spacing w:line="560" w:lineRule="exact"/>
        <w:jc w:val="center"/>
        <w:rPr>
          <w:rFonts w:ascii="宋体" w:hAnsi="宋体" w:cs="仿宋"/>
          <w:spacing w:val="28"/>
          <w:sz w:val="44"/>
          <w:szCs w:val="44"/>
        </w:rPr>
      </w:pPr>
    </w:p>
    <w:p w14:paraId="7A9804FB">
      <w:pPr>
        <w:jc w:val="center"/>
        <w:rPr>
          <w:rFonts w:ascii="宋体" w:hAnsi="宋体" w:cs="宋体"/>
          <w:b/>
          <w:bCs/>
          <w:sz w:val="44"/>
          <w:szCs w:val="48"/>
        </w:rPr>
      </w:pPr>
      <w:r>
        <w:rPr>
          <w:rFonts w:hint="eastAsia" w:ascii="宋体" w:hAnsi="宋体" w:cs="宋体"/>
          <w:b/>
          <w:bCs/>
          <w:sz w:val="44"/>
          <w:szCs w:val="48"/>
        </w:rPr>
        <w:t>扬州大学附属医院</w:t>
      </w:r>
      <w:r>
        <w:rPr>
          <w:rFonts w:hint="eastAsia" w:ascii="宋体" w:hAnsi="宋体" w:cs="宋体"/>
          <w:b/>
          <w:bCs/>
          <w:sz w:val="44"/>
          <w:szCs w:val="48"/>
          <w:lang w:val="en-US" w:eastAsia="zh-CN"/>
        </w:rPr>
        <w:t>财务发票查验系统</w:t>
      </w:r>
      <w:r>
        <w:rPr>
          <w:rFonts w:hint="eastAsia" w:ascii="宋体" w:hAnsi="宋体" w:cs="宋体"/>
          <w:b/>
          <w:bCs/>
          <w:sz w:val="44"/>
          <w:szCs w:val="48"/>
        </w:rPr>
        <w:t>项目</w:t>
      </w:r>
    </w:p>
    <w:p w14:paraId="3503FC08">
      <w:pPr>
        <w:jc w:val="center"/>
        <w:rPr>
          <w:rFonts w:ascii="宋体" w:hAnsi="宋体" w:cs="宋体"/>
          <w:b/>
          <w:bCs/>
          <w:sz w:val="44"/>
          <w:szCs w:val="48"/>
        </w:rPr>
      </w:pPr>
      <w:r>
        <w:rPr>
          <w:rFonts w:hint="eastAsia" w:ascii="宋体" w:hAnsi="宋体" w:cs="宋体"/>
          <w:b/>
          <w:bCs/>
          <w:sz w:val="44"/>
          <w:szCs w:val="48"/>
        </w:rPr>
        <w:t>院内公开谈判文件</w:t>
      </w:r>
    </w:p>
    <w:p w14:paraId="74E899A4">
      <w:pPr>
        <w:adjustRightInd w:val="0"/>
        <w:snapToGrid w:val="0"/>
        <w:spacing w:line="560" w:lineRule="exact"/>
        <w:jc w:val="center"/>
        <w:rPr>
          <w:rFonts w:ascii="宋体" w:hAnsi="宋体" w:cs="仿宋"/>
          <w:spacing w:val="28"/>
          <w:sz w:val="44"/>
          <w:szCs w:val="44"/>
        </w:rPr>
      </w:pPr>
    </w:p>
    <w:p w14:paraId="1A5B2782">
      <w:pPr>
        <w:adjustRightInd w:val="0"/>
        <w:snapToGrid w:val="0"/>
        <w:spacing w:line="360" w:lineRule="auto"/>
        <w:jc w:val="center"/>
        <w:rPr>
          <w:rFonts w:eastAsia="黑体"/>
          <w:b/>
          <w:snapToGrid w:val="0"/>
          <w:sz w:val="72"/>
        </w:rPr>
      </w:pPr>
      <w:r>
        <w:drawing>
          <wp:inline distT="0" distB="0" distL="0" distR="0">
            <wp:extent cx="5480685" cy="4157345"/>
            <wp:effectExtent l="0" t="0" r="5715" b="14605"/>
            <wp:docPr id="1026" name="图片 1" descr="9808345747129441"/>
            <wp:cNvGraphicFramePr/>
            <a:graphic xmlns:a="http://schemas.openxmlformats.org/drawingml/2006/main">
              <a:graphicData uri="http://schemas.openxmlformats.org/drawingml/2006/picture">
                <pic:pic xmlns:pic="http://schemas.openxmlformats.org/drawingml/2006/picture">
                  <pic:nvPicPr>
                    <pic:cNvPr id="1026" name="图片 1" descr="9808345747129441"/>
                    <pic:cNvPicPr/>
                  </pic:nvPicPr>
                  <pic:blipFill>
                    <a:blip r:embed="rId9" cstate="print"/>
                    <a:srcRect/>
                    <a:stretch>
                      <a:fillRect/>
                    </a:stretch>
                  </pic:blipFill>
                  <pic:spPr>
                    <a:xfrm>
                      <a:off x="0" y="0"/>
                      <a:ext cx="5480685" cy="4157345"/>
                    </a:xfrm>
                    <a:prstGeom prst="rect">
                      <a:avLst/>
                    </a:prstGeom>
                    <a:ln>
                      <a:noFill/>
                    </a:ln>
                  </pic:spPr>
                </pic:pic>
              </a:graphicData>
            </a:graphic>
          </wp:inline>
        </w:drawing>
      </w:r>
    </w:p>
    <w:p w14:paraId="360774AD">
      <w:pPr>
        <w:spacing w:line="360" w:lineRule="auto"/>
        <w:ind w:firstLine="848" w:firstLineChars="265"/>
        <w:jc w:val="center"/>
        <w:rPr>
          <w:rFonts w:ascii="宋体" w:hAnsi="宋体" w:cs="宋体"/>
          <w:sz w:val="32"/>
          <w:szCs w:val="32"/>
        </w:rPr>
      </w:pPr>
    </w:p>
    <w:p w14:paraId="5713F181">
      <w:pPr>
        <w:keepNext w:val="0"/>
        <w:keepLines w:val="0"/>
        <w:pageBreakBefore w:val="0"/>
        <w:widowControl w:val="0"/>
        <w:kinsoku/>
        <w:wordWrap/>
        <w:overflowPunct/>
        <w:topLinePunct w:val="0"/>
        <w:autoSpaceDE/>
        <w:autoSpaceDN/>
        <w:bidi w:val="0"/>
        <w:adjustRightInd/>
        <w:snapToGrid/>
        <w:spacing w:line="360" w:lineRule="auto"/>
        <w:ind w:firstLine="2400" w:firstLineChars="750"/>
        <w:jc w:val="both"/>
        <w:textAlignment w:val="auto"/>
        <w:rPr>
          <w:rFonts w:ascii="宋体" w:hAnsi="宋体" w:cs="宋体"/>
          <w:b w:val="0"/>
          <w:bCs w:val="0"/>
          <w:sz w:val="32"/>
          <w:szCs w:val="32"/>
        </w:rPr>
      </w:pPr>
      <w:r>
        <w:rPr>
          <w:rFonts w:hint="eastAsia" w:ascii="宋体" w:hAnsi="宋体" w:cs="宋体"/>
          <w:b w:val="0"/>
          <w:bCs w:val="0"/>
          <w:sz w:val="32"/>
          <w:szCs w:val="32"/>
        </w:rPr>
        <w:t>采   购  人：扬州大学附属医院</w:t>
      </w:r>
    </w:p>
    <w:p w14:paraId="00215435">
      <w:pPr>
        <w:keepNext w:val="0"/>
        <w:keepLines w:val="0"/>
        <w:pageBreakBefore w:val="0"/>
        <w:widowControl w:val="0"/>
        <w:kinsoku/>
        <w:wordWrap/>
        <w:overflowPunct/>
        <w:topLinePunct w:val="0"/>
        <w:autoSpaceDE/>
        <w:autoSpaceDN/>
        <w:bidi w:val="0"/>
        <w:adjustRightInd/>
        <w:snapToGrid/>
        <w:spacing w:line="360" w:lineRule="auto"/>
        <w:ind w:firstLine="2400" w:firstLineChars="750"/>
        <w:jc w:val="both"/>
        <w:textAlignment w:val="auto"/>
        <w:rPr>
          <w:rFonts w:hint="default" w:ascii="宋体" w:hAnsi="宋体" w:cs="宋体"/>
          <w:b w:val="0"/>
          <w:bCs w:val="0"/>
          <w:sz w:val="32"/>
          <w:szCs w:val="32"/>
          <w:lang w:val="en-US"/>
        </w:rPr>
      </w:pPr>
      <w:r>
        <w:rPr>
          <w:rFonts w:hint="eastAsia" w:ascii="宋体" w:hAnsi="宋体" w:cs="宋体"/>
          <w:b w:val="0"/>
          <w:bCs w:val="0"/>
          <w:sz w:val="32"/>
          <w:szCs w:val="32"/>
          <w:lang w:val="en-US" w:eastAsia="zh-CN"/>
        </w:rPr>
        <w:t>项 目 编 号：CGZX2026XX2035</w:t>
      </w:r>
    </w:p>
    <w:p w14:paraId="2513651D">
      <w:pPr>
        <w:keepNext w:val="0"/>
        <w:keepLines w:val="0"/>
        <w:pageBreakBefore w:val="0"/>
        <w:widowControl w:val="0"/>
        <w:kinsoku/>
        <w:wordWrap/>
        <w:overflowPunct/>
        <w:topLinePunct w:val="0"/>
        <w:autoSpaceDE/>
        <w:autoSpaceDN/>
        <w:bidi w:val="0"/>
        <w:adjustRightInd/>
        <w:snapToGrid/>
        <w:spacing w:line="360" w:lineRule="auto"/>
        <w:ind w:firstLine="2400" w:firstLineChars="750"/>
        <w:jc w:val="both"/>
        <w:textAlignment w:val="auto"/>
        <w:rPr>
          <w:rFonts w:hint="default" w:ascii="宋体" w:hAnsi="宋体" w:eastAsia="宋体" w:cs="宋体"/>
          <w:b w:val="0"/>
          <w:bCs w:val="0"/>
          <w:color w:val="auto"/>
          <w:sz w:val="32"/>
          <w:szCs w:val="32"/>
          <w:lang w:val="en-US" w:eastAsia="zh-CN"/>
        </w:rPr>
      </w:pPr>
      <w:r>
        <w:rPr>
          <w:rFonts w:hint="eastAsia" w:ascii="宋体" w:hAnsi="宋体" w:cs="宋体"/>
          <w:b w:val="0"/>
          <w:bCs w:val="0"/>
          <w:color w:val="auto"/>
          <w:sz w:val="32"/>
          <w:szCs w:val="32"/>
        </w:rPr>
        <w:t>发 放 日 期：</w:t>
      </w:r>
      <w:bookmarkStart w:id="0" w:name="EB59c3faf64f2a4bd092a206fb1d0c3c03"/>
      <w:r>
        <w:rPr>
          <w:rFonts w:hint="eastAsia" w:ascii="宋体" w:hAnsi="宋体" w:cs="宋体"/>
          <w:b w:val="0"/>
          <w:bCs w:val="0"/>
          <w:color w:val="auto"/>
          <w:sz w:val="32"/>
          <w:szCs w:val="32"/>
        </w:rPr>
        <w:t>202</w:t>
      </w:r>
      <w:r>
        <w:rPr>
          <w:rFonts w:ascii="宋体" w:hAnsi="宋体" w:cs="宋体"/>
          <w:b w:val="0"/>
          <w:bCs w:val="0"/>
          <w:color w:val="auto"/>
          <w:sz w:val="32"/>
          <w:szCs w:val="32"/>
        </w:rPr>
        <w:t>6</w:t>
      </w:r>
      <w:r>
        <w:rPr>
          <w:rFonts w:hint="eastAsia" w:ascii="宋体" w:hAnsi="宋体" w:cs="宋体"/>
          <w:b w:val="0"/>
          <w:bCs w:val="0"/>
          <w:color w:val="auto"/>
          <w:sz w:val="32"/>
          <w:szCs w:val="32"/>
        </w:rPr>
        <w:t>年</w:t>
      </w:r>
      <w:r>
        <w:rPr>
          <w:rFonts w:hint="eastAsia" w:ascii="宋体" w:hAnsi="宋体" w:cs="宋体"/>
          <w:b w:val="0"/>
          <w:bCs w:val="0"/>
          <w:color w:val="auto"/>
          <w:sz w:val="32"/>
          <w:szCs w:val="32"/>
          <w:highlight w:val="none"/>
          <w:lang w:val="en-US" w:eastAsia="zh-CN"/>
        </w:rPr>
        <w:t>7</w:t>
      </w:r>
      <w:r>
        <w:rPr>
          <w:rFonts w:hint="eastAsia" w:ascii="宋体" w:hAnsi="宋体" w:cs="宋体"/>
          <w:b w:val="0"/>
          <w:bCs w:val="0"/>
          <w:color w:val="auto"/>
          <w:sz w:val="32"/>
          <w:szCs w:val="32"/>
          <w:highlight w:val="none"/>
        </w:rPr>
        <w:t>月</w:t>
      </w:r>
      <w:bookmarkEnd w:id="0"/>
      <w:r>
        <w:rPr>
          <w:rFonts w:hint="eastAsia" w:ascii="宋体" w:hAnsi="宋体" w:cs="宋体"/>
          <w:b w:val="0"/>
          <w:bCs w:val="0"/>
          <w:color w:val="auto"/>
          <w:sz w:val="32"/>
          <w:szCs w:val="32"/>
          <w:highlight w:val="none"/>
          <w:lang w:val="en-US" w:eastAsia="zh-CN"/>
        </w:rPr>
        <w:t>3日</w:t>
      </w:r>
    </w:p>
    <w:p w14:paraId="741AD37D">
      <w:pPr>
        <w:jc w:val="center"/>
        <w:rPr>
          <w:rFonts w:ascii="宋体" w:hAnsi="宋体"/>
          <w:b/>
          <w:bCs/>
          <w:sz w:val="48"/>
          <w:szCs w:val="48"/>
        </w:rPr>
      </w:pPr>
    </w:p>
    <w:p w14:paraId="57508D80">
      <w:pPr>
        <w:spacing w:line="360" w:lineRule="auto"/>
        <w:ind w:firstLine="5060" w:firstLineChars="1400"/>
        <w:rPr>
          <w:rFonts w:hint="eastAsia" w:ascii="宋体" w:hAnsi="宋体"/>
          <w:b/>
          <w:bCs/>
          <w:sz w:val="36"/>
          <w:szCs w:val="36"/>
        </w:rPr>
        <w:sectPr>
          <w:footerReference r:id="rId3" w:type="default"/>
          <w:pgSz w:w="11906" w:h="16838"/>
          <w:pgMar w:top="1440" w:right="1080" w:bottom="1440" w:left="1080" w:header="851" w:footer="992" w:gutter="0"/>
          <w:pgNumType w:fmt="decimal" w:start="0"/>
          <w:cols w:space="425" w:num="1"/>
          <w:titlePg/>
          <w:docGrid w:type="lines" w:linePitch="312" w:charSpace="0"/>
        </w:sectPr>
      </w:pPr>
    </w:p>
    <w:p w14:paraId="443046F7">
      <w:pPr>
        <w:spacing w:line="360" w:lineRule="auto"/>
        <w:jc w:val="center"/>
        <w:rPr>
          <w:rFonts w:ascii="宋体" w:hAnsi="宋体"/>
          <w:b/>
          <w:bCs/>
          <w:sz w:val="36"/>
          <w:szCs w:val="36"/>
        </w:rPr>
      </w:pPr>
      <w:r>
        <w:rPr>
          <w:rFonts w:hint="eastAsia" w:ascii="宋体" w:hAnsi="宋体"/>
          <w:b/>
          <w:bCs/>
          <w:sz w:val="36"/>
          <w:szCs w:val="36"/>
        </w:rPr>
        <w:t>目  录</w:t>
      </w:r>
    </w:p>
    <w:p w14:paraId="0B1F4295">
      <w:pPr>
        <w:pStyle w:val="16"/>
        <w:ind w:firstLine="630" w:firstLineChars="300"/>
      </w:pPr>
    </w:p>
    <w:p w14:paraId="494A013B">
      <w:pPr>
        <w:pStyle w:val="16"/>
        <w:ind w:firstLine="240" w:firstLineChars="100"/>
        <w:contextualSpacing/>
        <w:jc w:val="left"/>
        <w:rPr>
          <w:rFonts w:hint="eastAsia" w:ascii="宋体" w:hAnsi="宋体" w:eastAsia="宋体"/>
          <w:sz w:val="24"/>
          <w:lang w:eastAsia="zh-CN"/>
        </w:rPr>
      </w:pPr>
      <w:r>
        <w:rPr>
          <w:rFonts w:ascii="宋体" w:hAnsi="宋体"/>
          <w:sz w:val="24"/>
        </w:rPr>
        <w:t>一、</w:t>
      </w:r>
      <w:r>
        <w:rPr>
          <w:rFonts w:hint="eastAsia" w:ascii="宋体" w:hAnsi="宋体"/>
          <w:sz w:val="24"/>
          <w:lang w:val="en-US" w:eastAsia="zh-CN"/>
        </w:rPr>
        <w:t>谈判</w:t>
      </w:r>
      <w:r>
        <w:rPr>
          <w:rFonts w:hint="eastAsia" w:ascii="宋体" w:hAnsi="宋体"/>
          <w:sz w:val="24"/>
        </w:rPr>
        <w:t>邀请</w:t>
      </w:r>
      <w:r>
        <w:rPr>
          <w:rFonts w:ascii="宋体" w:hAnsi="宋体"/>
          <w:sz w:val="24"/>
        </w:rPr>
        <w:t>………………………………………………………………………</w:t>
      </w:r>
      <w:r>
        <w:rPr>
          <w:rFonts w:hint="eastAsia" w:ascii="宋体" w:hAnsi="宋体"/>
          <w:sz w:val="24"/>
          <w:lang w:val="en-US" w:eastAsia="zh-CN"/>
        </w:rPr>
        <w:t>1</w:t>
      </w:r>
    </w:p>
    <w:p w14:paraId="371E09A1">
      <w:pPr>
        <w:spacing w:line="360" w:lineRule="auto"/>
        <w:ind w:firstLine="240" w:firstLineChars="100"/>
        <w:contextualSpacing/>
        <w:jc w:val="left"/>
        <w:rPr>
          <w:rFonts w:hint="eastAsia" w:ascii="宋体" w:hAnsi="宋体" w:eastAsia="宋体"/>
          <w:sz w:val="24"/>
          <w:lang w:eastAsia="zh-CN"/>
        </w:rPr>
      </w:pPr>
      <w:r>
        <w:rPr>
          <w:rFonts w:hint="eastAsia" w:ascii="宋体" w:hAnsi="宋体"/>
          <w:sz w:val="24"/>
        </w:rPr>
        <w:t>二、项目需求</w:t>
      </w:r>
      <w:r>
        <w:rPr>
          <w:rFonts w:ascii="宋体" w:hAnsi="宋体"/>
          <w:sz w:val="24"/>
        </w:rPr>
        <w:t>………………………………………………………………………</w:t>
      </w:r>
      <w:r>
        <w:rPr>
          <w:rFonts w:hint="eastAsia" w:ascii="宋体" w:hAnsi="宋体"/>
          <w:sz w:val="24"/>
          <w:lang w:val="en-US" w:eastAsia="zh-CN"/>
        </w:rPr>
        <w:t>2</w:t>
      </w:r>
    </w:p>
    <w:p w14:paraId="16642D1F">
      <w:pPr>
        <w:spacing w:line="360" w:lineRule="auto"/>
        <w:ind w:firstLine="240" w:firstLineChars="100"/>
        <w:contextualSpacing/>
        <w:jc w:val="left"/>
        <w:rPr>
          <w:rFonts w:hint="default" w:ascii="宋体" w:hAnsi="宋体" w:eastAsia="宋体"/>
          <w:sz w:val="24"/>
          <w:lang w:val="en-US" w:eastAsia="zh-CN"/>
        </w:rPr>
      </w:pPr>
      <w:r>
        <w:rPr>
          <w:rFonts w:hint="eastAsia" w:ascii="宋体" w:hAnsi="宋体"/>
          <w:sz w:val="24"/>
        </w:rPr>
        <w:t>三、</w:t>
      </w:r>
      <w:r>
        <w:rPr>
          <w:rFonts w:ascii="宋体" w:hAnsi="宋体"/>
          <w:sz w:val="24"/>
        </w:rPr>
        <w:t>投标人须知……………………………………………………………………</w:t>
      </w:r>
      <w:r>
        <w:rPr>
          <w:rFonts w:hint="eastAsia" w:ascii="宋体" w:hAnsi="宋体"/>
          <w:sz w:val="24"/>
          <w:lang w:val="en-US" w:eastAsia="zh-CN"/>
        </w:rPr>
        <w:t>12</w:t>
      </w:r>
    </w:p>
    <w:p w14:paraId="1C23CA9E">
      <w:pPr>
        <w:spacing w:line="360" w:lineRule="auto"/>
        <w:ind w:firstLine="240" w:firstLineChars="100"/>
        <w:contextualSpacing/>
        <w:jc w:val="left"/>
        <w:rPr>
          <w:rFonts w:hint="default" w:ascii="宋体" w:hAnsi="宋体" w:eastAsia="宋体"/>
          <w:bCs/>
          <w:sz w:val="24"/>
          <w:lang w:val="en-US" w:eastAsia="zh-CN"/>
        </w:rPr>
      </w:pPr>
      <w:r>
        <w:rPr>
          <w:rFonts w:hint="eastAsia" w:ascii="宋体" w:hAnsi="宋体"/>
          <w:bCs/>
          <w:sz w:val="24"/>
        </w:rPr>
        <w:t>四、投标文件格式及附件要求</w:t>
      </w:r>
      <w:r>
        <w:rPr>
          <w:rFonts w:ascii="宋体" w:hAnsi="宋体"/>
          <w:bCs/>
          <w:sz w:val="24"/>
        </w:rPr>
        <w:t>……………………………………………………</w:t>
      </w:r>
      <w:r>
        <w:rPr>
          <w:rFonts w:hint="eastAsia" w:ascii="宋体" w:hAnsi="宋体"/>
          <w:bCs/>
          <w:sz w:val="24"/>
          <w:lang w:val="en-US" w:eastAsia="zh-CN"/>
        </w:rPr>
        <w:t>14</w:t>
      </w:r>
    </w:p>
    <w:p w14:paraId="1867F6F9">
      <w:pPr>
        <w:spacing w:line="360" w:lineRule="auto"/>
        <w:contextualSpacing/>
        <w:jc w:val="center"/>
        <w:rPr>
          <w:rFonts w:ascii="宋体" w:hAnsi="宋体"/>
          <w:bCs/>
          <w:sz w:val="24"/>
        </w:rPr>
      </w:pPr>
    </w:p>
    <w:p w14:paraId="677A5F9C">
      <w:pPr>
        <w:rPr>
          <w:rFonts w:ascii="宋体" w:hAnsi="宋体"/>
          <w:sz w:val="30"/>
          <w:szCs w:val="30"/>
        </w:rPr>
      </w:pPr>
    </w:p>
    <w:p w14:paraId="5CB2C381">
      <w:pPr>
        <w:spacing w:line="360" w:lineRule="auto"/>
        <w:jc w:val="center"/>
      </w:pPr>
      <w:bookmarkStart w:id="1" w:name="_Toc39744251"/>
    </w:p>
    <w:p w14:paraId="510311EA">
      <w:pPr>
        <w:spacing w:line="360" w:lineRule="auto"/>
        <w:jc w:val="center"/>
      </w:pPr>
    </w:p>
    <w:p w14:paraId="7DD326FB">
      <w:pPr>
        <w:spacing w:line="360" w:lineRule="auto"/>
        <w:jc w:val="center"/>
      </w:pPr>
    </w:p>
    <w:p w14:paraId="288B5762">
      <w:pPr>
        <w:spacing w:line="360" w:lineRule="auto"/>
        <w:jc w:val="center"/>
      </w:pPr>
    </w:p>
    <w:p w14:paraId="04A4092C">
      <w:pPr>
        <w:spacing w:line="360" w:lineRule="auto"/>
        <w:jc w:val="center"/>
      </w:pPr>
    </w:p>
    <w:p w14:paraId="240083CD">
      <w:pPr>
        <w:spacing w:line="360" w:lineRule="auto"/>
        <w:jc w:val="center"/>
      </w:pPr>
    </w:p>
    <w:p w14:paraId="42CD0665">
      <w:pPr>
        <w:spacing w:line="360" w:lineRule="auto"/>
        <w:jc w:val="center"/>
      </w:pPr>
    </w:p>
    <w:p w14:paraId="4E7B3000">
      <w:pPr>
        <w:spacing w:line="360" w:lineRule="auto"/>
        <w:jc w:val="center"/>
      </w:pPr>
    </w:p>
    <w:p w14:paraId="66ED4BA3">
      <w:pPr>
        <w:spacing w:line="360" w:lineRule="auto"/>
        <w:jc w:val="center"/>
      </w:pPr>
    </w:p>
    <w:p w14:paraId="387B8BAD">
      <w:pPr>
        <w:spacing w:line="360" w:lineRule="auto"/>
        <w:jc w:val="center"/>
      </w:pPr>
    </w:p>
    <w:p w14:paraId="76AA2F0E">
      <w:pPr>
        <w:spacing w:line="360" w:lineRule="auto"/>
        <w:jc w:val="center"/>
      </w:pPr>
    </w:p>
    <w:p w14:paraId="79DC29AA">
      <w:pPr>
        <w:spacing w:line="360" w:lineRule="auto"/>
        <w:jc w:val="center"/>
      </w:pPr>
    </w:p>
    <w:p w14:paraId="0E374916">
      <w:pPr>
        <w:spacing w:line="360" w:lineRule="auto"/>
        <w:jc w:val="center"/>
      </w:pPr>
    </w:p>
    <w:p w14:paraId="79FB7AE0">
      <w:pPr>
        <w:spacing w:line="360" w:lineRule="auto"/>
        <w:jc w:val="center"/>
      </w:pPr>
    </w:p>
    <w:p w14:paraId="3FA5D1D2">
      <w:pPr>
        <w:spacing w:line="360" w:lineRule="auto"/>
        <w:jc w:val="center"/>
      </w:pPr>
    </w:p>
    <w:p w14:paraId="576F353D">
      <w:pPr>
        <w:spacing w:line="360" w:lineRule="auto"/>
        <w:jc w:val="center"/>
      </w:pPr>
    </w:p>
    <w:p w14:paraId="605A37BB">
      <w:pPr>
        <w:spacing w:line="360" w:lineRule="auto"/>
        <w:jc w:val="center"/>
      </w:pPr>
    </w:p>
    <w:p w14:paraId="0018E138">
      <w:pPr>
        <w:spacing w:line="360" w:lineRule="auto"/>
        <w:jc w:val="center"/>
      </w:pPr>
    </w:p>
    <w:p w14:paraId="5584E47A">
      <w:pPr>
        <w:spacing w:line="360" w:lineRule="auto"/>
        <w:jc w:val="center"/>
        <w:rPr>
          <w:rFonts w:ascii="宋体" w:hAnsi="宋体" w:cs="宋体"/>
          <w:b/>
          <w:sz w:val="28"/>
          <w:szCs w:val="20"/>
        </w:rPr>
      </w:pPr>
    </w:p>
    <w:p w14:paraId="122FA380">
      <w:pPr>
        <w:rPr>
          <w:rFonts w:hint="eastAsia"/>
          <w:b/>
          <w:sz w:val="32"/>
          <w:szCs w:val="32"/>
        </w:rPr>
      </w:pPr>
      <w:r>
        <w:rPr>
          <w:rFonts w:hint="eastAsia"/>
          <w:b/>
          <w:sz w:val="32"/>
          <w:szCs w:val="32"/>
        </w:rPr>
        <w:br w:type="page"/>
      </w:r>
    </w:p>
    <w:p w14:paraId="3BA1A0E2">
      <w:pPr>
        <w:jc w:val="center"/>
        <w:rPr>
          <w:rFonts w:hint="eastAsia"/>
          <w:b/>
          <w:sz w:val="32"/>
          <w:szCs w:val="32"/>
        </w:rPr>
        <w:sectPr>
          <w:footerReference r:id="rId5" w:type="first"/>
          <w:footerReference r:id="rId4" w:type="default"/>
          <w:pgSz w:w="11906" w:h="16838"/>
          <w:pgMar w:top="1440" w:right="1080" w:bottom="1440" w:left="1080" w:header="851" w:footer="992" w:gutter="0"/>
          <w:pgNumType w:fmt="decimal" w:start="1"/>
          <w:cols w:space="425" w:num="1"/>
          <w:titlePg/>
          <w:docGrid w:type="lines" w:linePitch="312" w:charSpace="0"/>
        </w:sectPr>
      </w:pPr>
    </w:p>
    <w:p w14:paraId="663E12EE">
      <w:pPr>
        <w:jc w:val="center"/>
        <w:rPr>
          <w:b/>
          <w:sz w:val="32"/>
          <w:szCs w:val="32"/>
        </w:rPr>
      </w:pPr>
      <w:r>
        <w:rPr>
          <w:rFonts w:hint="eastAsia"/>
          <w:b/>
          <w:sz w:val="32"/>
          <w:szCs w:val="32"/>
        </w:rPr>
        <w:t>一、</w:t>
      </w:r>
      <w:bookmarkEnd w:id="1"/>
      <w:r>
        <w:rPr>
          <w:rFonts w:hint="eastAsia"/>
          <w:b/>
          <w:sz w:val="32"/>
          <w:szCs w:val="32"/>
          <w:lang w:val="en-US" w:eastAsia="zh-CN"/>
        </w:rPr>
        <w:t>谈判</w:t>
      </w:r>
      <w:r>
        <w:rPr>
          <w:rFonts w:hint="eastAsia"/>
          <w:b/>
          <w:sz w:val="32"/>
          <w:szCs w:val="32"/>
        </w:rPr>
        <w:t>邀请</w:t>
      </w:r>
    </w:p>
    <w:tbl>
      <w:tblPr>
        <w:tblStyle w:val="22"/>
        <w:tblW w:w="4871" w:type="pct"/>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2478"/>
        <w:gridCol w:w="736"/>
        <w:gridCol w:w="941"/>
        <w:gridCol w:w="269"/>
        <w:gridCol w:w="3362"/>
      </w:tblGrid>
      <w:tr w14:paraId="6605A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3" w:type="pct"/>
            <w:tcBorders>
              <w:top w:val="single" w:color="auto" w:sz="4" w:space="0"/>
              <w:left w:val="single" w:color="auto" w:sz="4" w:space="0"/>
              <w:bottom w:val="single" w:color="auto" w:sz="4" w:space="0"/>
              <w:right w:val="single" w:color="auto" w:sz="4" w:space="0"/>
            </w:tcBorders>
            <w:vAlign w:val="center"/>
          </w:tcPr>
          <w:p w14:paraId="7669308A">
            <w:pPr>
              <w:jc w:val="center"/>
              <w:rPr>
                <w:rFonts w:ascii="宋体" w:hAnsi="宋体"/>
                <w:szCs w:val="21"/>
              </w:rPr>
            </w:pPr>
            <w:r>
              <w:rPr>
                <w:rFonts w:hint="eastAsia" w:ascii="宋体" w:hAnsi="宋体"/>
                <w:szCs w:val="21"/>
              </w:rPr>
              <w:t>项目名称</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3C78168B">
            <w:pPr>
              <w:spacing w:line="360" w:lineRule="auto"/>
              <w:rPr>
                <w:rFonts w:ascii="宋体" w:hAnsi="宋体"/>
                <w:szCs w:val="21"/>
              </w:rPr>
            </w:pPr>
            <w:r>
              <w:rPr>
                <w:rFonts w:hint="eastAsia" w:ascii="宋体" w:hAnsi="宋体" w:eastAsia="宋体" w:cs="宋体"/>
                <w:color w:val="auto"/>
                <w:sz w:val="21"/>
                <w:szCs w:val="21"/>
                <w:lang w:val="en-US" w:eastAsia="zh-CN"/>
              </w:rPr>
              <w:t>财务发票查验系统项目</w:t>
            </w:r>
          </w:p>
        </w:tc>
      </w:tr>
      <w:tr w14:paraId="2A4E7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3" w:type="pct"/>
            <w:tcBorders>
              <w:top w:val="single" w:color="auto" w:sz="4" w:space="0"/>
              <w:left w:val="single" w:color="auto" w:sz="4" w:space="0"/>
              <w:bottom w:val="single" w:color="auto" w:sz="4" w:space="0"/>
              <w:right w:val="single" w:color="auto" w:sz="4" w:space="0"/>
            </w:tcBorders>
            <w:vAlign w:val="center"/>
          </w:tcPr>
          <w:p w14:paraId="021BB7A5">
            <w:pPr>
              <w:jc w:val="center"/>
              <w:rPr>
                <w:rFonts w:ascii="宋体" w:hAnsi="宋体"/>
                <w:szCs w:val="21"/>
              </w:rPr>
            </w:pPr>
            <w:r>
              <w:rPr>
                <w:rFonts w:hint="eastAsia" w:ascii="宋体" w:hAnsi="宋体"/>
                <w:szCs w:val="21"/>
              </w:rPr>
              <w:t>服务地点</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7C60D814">
            <w:pPr>
              <w:rPr>
                <w:rFonts w:ascii="宋体" w:hAnsi="宋体"/>
                <w:b/>
                <w:szCs w:val="21"/>
              </w:rPr>
            </w:pPr>
            <w:r>
              <w:rPr>
                <w:rFonts w:hint="eastAsia" w:ascii="宋体" w:hAnsi="宋体"/>
                <w:b/>
                <w:bCs w:val="0"/>
                <w:szCs w:val="21"/>
              </w:rPr>
              <w:t>扬州大学附属医院</w:t>
            </w:r>
          </w:p>
        </w:tc>
      </w:tr>
      <w:tr w14:paraId="3B8F2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893" w:type="pct"/>
            <w:tcBorders>
              <w:top w:val="single" w:color="auto" w:sz="4" w:space="0"/>
              <w:left w:val="single" w:color="auto" w:sz="4" w:space="0"/>
              <w:bottom w:val="single" w:color="auto" w:sz="4" w:space="0"/>
              <w:right w:val="single" w:color="auto" w:sz="4" w:space="0"/>
            </w:tcBorders>
            <w:vAlign w:val="center"/>
          </w:tcPr>
          <w:p w14:paraId="2060F2CD">
            <w:pPr>
              <w:jc w:val="center"/>
              <w:rPr>
                <w:rFonts w:ascii="宋体" w:hAnsi="宋体"/>
                <w:szCs w:val="21"/>
              </w:rPr>
            </w:pPr>
            <w:r>
              <w:rPr>
                <w:rFonts w:hint="eastAsia" w:ascii="宋体" w:hAnsi="宋体"/>
                <w:szCs w:val="21"/>
              </w:rPr>
              <w:t>承包方式</w:t>
            </w:r>
          </w:p>
        </w:tc>
        <w:tc>
          <w:tcPr>
            <w:tcW w:w="1307" w:type="pct"/>
            <w:tcBorders>
              <w:top w:val="single" w:color="auto" w:sz="4" w:space="0"/>
              <w:left w:val="single" w:color="auto" w:sz="4" w:space="0"/>
              <w:bottom w:val="single" w:color="auto" w:sz="4" w:space="0"/>
              <w:right w:val="single" w:color="auto" w:sz="4" w:space="0"/>
            </w:tcBorders>
            <w:vAlign w:val="center"/>
          </w:tcPr>
          <w:p w14:paraId="424F69A8">
            <w:pPr>
              <w:spacing w:line="320" w:lineRule="exact"/>
              <w:jc w:val="center"/>
              <w:rPr>
                <w:rFonts w:ascii="宋体" w:hAnsi="宋体"/>
                <w:szCs w:val="21"/>
              </w:rPr>
            </w:pPr>
            <w:r>
              <w:rPr>
                <w:rFonts w:hint="eastAsia" w:ascii="宋体" w:hAnsi="宋体"/>
                <w:szCs w:val="21"/>
              </w:rPr>
              <w:t>/</w:t>
            </w:r>
          </w:p>
        </w:tc>
        <w:tc>
          <w:tcPr>
            <w:tcW w:w="884" w:type="pct"/>
            <w:gridSpan w:val="2"/>
            <w:tcBorders>
              <w:top w:val="single" w:color="auto" w:sz="4" w:space="0"/>
              <w:left w:val="single" w:color="auto" w:sz="4" w:space="0"/>
              <w:bottom w:val="single" w:color="auto" w:sz="4" w:space="0"/>
              <w:right w:val="single" w:color="auto" w:sz="4" w:space="0"/>
            </w:tcBorders>
            <w:vAlign w:val="center"/>
          </w:tcPr>
          <w:p w14:paraId="7B951AEF">
            <w:pPr>
              <w:jc w:val="center"/>
              <w:rPr>
                <w:rFonts w:ascii="宋体" w:hAnsi="宋体"/>
                <w:szCs w:val="21"/>
              </w:rPr>
            </w:pPr>
            <w:r>
              <w:rPr>
                <w:rFonts w:hint="eastAsia" w:ascii="宋体" w:hAnsi="宋体"/>
                <w:szCs w:val="21"/>
              </w:rPr>
              <w:t>质量标准</w:t>
            </w:r>
          </w:p>
        </w:tc>
        <w:tc>
          <w:tcPr>
            <w:tcW w:w="1914" w:type="pct"/>
            <w:gridSpan w:val="2"/>
            <w:tcBorders>
              <w:top w:val="single" w:color="auto" w:sz="4" w:space="0"/>
              <w:left w:val="single" w:color="auto" w:sz="4" w:space="0"/>
              <w:bottom w:val="single" w:color="auto" w:sz="4" w:space="0"/>
              <w:right w:val="single" w:color="auto" w:sz="4" w:space="0"/>
            </w:tcBorders>
            <w:vAlign w:val="center"/>
          </w:tcPr>
          <w:p w14:paraId="223738EA">
            <w:pPr>
              <w:jc w:val="center"/>
              <w:rPr>
                <w:rFonts w:ascii="宋体" w:hAnsi="宋体"/>
                <w:szCs w:val="21"/>
              </w:rPr>
            </w:pPr>
            <w:r>
              <w:rPr>
                <w:rFonts w:hint="eastAsia" w:ascii="宋体" w:hAnsi="宋体"/>
                <w:szCs w:val="21"/>
              </w:rPr>
              <w:t>合 格</w:t>
            </w:r>
          </w:p>
        </w:tc>
      </w:tr>
      <w:tr w14:paraId="56A66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893" w:type="pct"/>
            <w:tcBorders>
              <w:top w:val="single" w:color="auto" w:sz="4" w:space="0"/>
              <w:left w:val="single" w:color="auto" w:sz="4" w:space="0"/>
              <w:bottom w:val="single" w:color="auto" w:sz="4" w:space="0"/>
              <w:right w:val="single" w:color="auto" w:sz="4" w:space="0"/>
            </w:tcBorders>
            <w:vAlign w:val="center"/>
          </w:tcPr>
          <w:p w14:paraId="7DCB8120">
            <w:pPr>
              <w:jc w:val="center"/>
              <w:rPr>
                <w:rFonts w:ascii="宋体" w:hAnsi="宋体"/>
                <w:szCs w:val="21"/>
              </w:rPr>
            </w:pPr>
            <w:r>
              <w:rPr>
                <w:rFonts w:hint="eastAsia" w:ascii="宋体" w:hAnsi="宋体"/>
                <w:szCs w:val="21"/>
              </w:rPr>
              <w:t>预算价</w:t>
            </w:r>
          </w:p>
        </w:tc>
        <w:tc>
          <w:tcPr>
            <w:tcW w:w="1307" w:type="pct"/>
            <w:tcBorders>
              <w:top w:val="single" w:color="auto" w:sz="4" w:space="0"/>
              <w:left w:val="single" w:color="auto" w:sz="4" w:space="0"/>
              <w:bottom w:val="single" w:color="auto" w:sz="4" w:space="0"/>
              <w:right w:val="single" w:color="auto" w:sz="4" w:space="0"/>
            </w:tcBorders>
            <w:vAlign w:val="center"/>
          </w:tcPr>
          <w:p w14:paraId="0325B75E">
            <w:pPr>
              <w:spacing w:line="320" w:lineRule="exact"/>
              <w:jc w:val="center"/>
              <w:rPr>
                <w:rFonts w:ascii="宋体" w:hAnsi="宋体"/>
                <w:szCs w:val="21"/>
              </w:rPr>
            </w:pPr>
            <w:r>
              <w:rPr>
                <w:rFonts w:hint="eastAsia" w:ascii="宋体" w:hAnsi="宋体"/>
                <w:b/>
                <w:bCs/>
                <w:szCs w:val="21"/>
                <w:lang w:val="en-US" w:eastAsia="zh-CN"/>
              </w:rPr>
              <w:t>12</w:t>
            </w:r>
            <w:r>
              <w:rPr>
                <w:rFonts w:hint="eastAsia" w:ascii="宋体" w:hAnsi="宋体"/>
                <w:b/>
                <w:bCs/>
                <w:szCs w:val="21"/>
              </w:rPr>
              <w:t>万元</w:t>
            </w:r>
          </w:p>
        </w:tc>
        <w:tc>
          <w:tcPr>
            <w:tcW w:w="884" w:type="pct"/>
            <w:gridSpan w:val="2"/>
            <w:tcBorders>
              <w:top w:val="single" w:color="auto" w:sz="4" w:space="0"/>
              <w:left w:val="single" w:color="auto" w:sz="4" w:space="0"/>
              <w:right w:val="single" w:color="auto" w:sz="4" w:space="0"/>
            </w:tcBorders>
            <w:vAlign w:val="center"/>
          </w:tcPr>
          <w:p w14:paraId="58F845AC">
            <w:pPr>
              <w:jc w:val="center"/>
              <w:rPr>
                <w:rFonts w:ascii="宋体" w:hAnsi="宋体"/>
                <w:szCs w:val="21"/>
              </w:rPr>
            </w:pPr>
            <w:r>
              <w:rPr>
                <w:rFonts w:hint="eastAsia" w:ascii="宋体" w:hAnsi="宋体"/>
                <w:szCs w:val="21"/>
              </w:rPr>
              <w:t>标书工本费</w:t>
            </w:r>
          </w:p>
        </w:tc>
        <w:tc>
          <w:tcPr>
            <w:tcW w:w="1914" w:type="pct"/>
            <w:gridSpan w:val="2"/>
            <w:tcBorders>
              <w:top w:val="single" w:color="auto" w:sz="4" w:space="0"/>
              <w:left w:val="single" w:color="auto" w:sz="4" w:space="0"/>
              <w:bottom w:val="single" w:color="auto" w:sz="4" w:space="0"/>
              <w:right w:val="single" w:color="auto" w:sz="4" w:space="0"/>
            </w:tcBorders>
            <w:vAlign w:val="center"/>
          </w:tcPr>
          <w:p w14:paraId="4795BDFD">
            <w:pPr>
              <w:jc w:val="center"/>
              <w:rPr>
                <w:rFonts w:ascii="宋体" w:hAnsi="宋体"/>
                <w:szCs w:val="21"/>
              </w:rPr>
            </w:pPr>
            <w:r>
              <w:rPr>
                <w:rFonts w:hint="eastAsia" w:ascii="宋体" w:hAnsi="宋体"/>
                <w:szCs w:val="21"/>
              </w:rPr>
              <w:t>/</w:t>
            </w:r>
          </w:p>
        </w:tc>
      </w:tr>
      <w:tr w14:paraId="3C74D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3" w:type="pct"/>
            <w:tcBorders>
              <w:top w:val="single" w:color="auto" w:sz="4" w:space="0"/>
              <w:left w:val="single" w:color="auto" w:sz="4" w:space="0"/>
              <w:bottom w:val="single" w:color="auto" w:sz="4" w:space="0"/>
              <w:right w:val="single" w:color="auto" w:sz="4" w:space="0"/>
            </w:tcBorders>
            <w:vAlign w:val="center"/>
          </w:tcPr>
          <w:p w14:paraId="4A226DDC">
            <w:pPr>
              <w:jc w:val="center"/>
              <w:rPr>
                <w:rFonts w:ascii="宋体" w:hAnsi="宋体"/>
                <w:szCs w:val="21"/>
              </w:rPr>
            </w:pPr>
            <w:r>
              <w:rPr>
                <w:rFonts w:hint="eastAsia"/>
                <w:szCs w:val="21"/>
              </w:rPr>
              <w:t>投标文件要求</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25DD78ED">
            <w:pPr>
              <w:spacing w:line="360" w:lineRule="auto"/>
              <w:rPr>
                <w:rFonts w:ascii="宋体" w:hAnsi="宋体"/>
                <w:szCs w:val="21"/>
              </w:rPr>
            </w:pPr>
            <w:r>
              <w:rPr>
                <w:rFonts w:hint="eastAsia" w:ascii="宋体" w:hAnsi="宋体"/>
                <w:szCs w:val="21"/>
              </w:rPr>
              <w:t>投标文件正本1份，副本4份；所有投标文件的封面及封袋上都必须加盖投标单位法人公章及其法定代表人或授权委托人的签字。</w:t>
            </w:r>
          </w:p>
        </w:tc>
      </w:tr>
      <w:tr w14:paraId="06ABE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893" w:type="pct"/>
            <w:tcBorders>
              <w:top w:val="single" w:color="auto" w:sz="4" w:space="0"/>
              <w:left w:val="single" w:color="auto" w:sz="4" w:space="0"/>
              <w:bottom w:val="single" w:color="auto" w:sz="4" w:space="0"/>
              <w:right w:val="single" w:color="auto" w:sz="4" w:space="0"/>
            </w:tcBorders>
            <w:vAlign w:val="center"/>
          </w:tcPr>
          <w:p w14:paraId="68F88450">
            <w:pPr>
              <w:spacing w:line="360" w:lineRule="auto"/>
              <w:jc w:val="center"/>
              <w:rPr>
                <w:rFonts w:ascii="宋体" w:hAnsi="宋体"/>
                <w:szCs w:val="21"/>
              </w:rPr>
            </w:pPr>
            <w:r>
              <w:rPr>
                <w:rFonts w:hint="eastAsia" w:ascii="宋体" w:hAnsi="宋体"/>
                <w:szCs w:val="21"/>
              </w:rPr>
              <w:t>报名截止时间</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20F8DFBC">
            <w:pPr>
              <w:spacing w:line="360" w:lineRule="auto"/>
              <w:rPr>
                <w:rFonts w:hint="default" w:ascii="宋体" w:hAnsi="宋体" w:eastAsia="宋体"/>
                <w:szCs w:val="21"/>
                <w:highlight w:val="none"/>
                <w:lang w:val="en-US" w:eastAsia="zh-CN"/>
              </w:rPr>
            </w:pPr>
            <w:r>
              <w:rPr>
                <w:rFonts w:hint="eastAsia" w:ascii="宋体" w:hAnsi="宋体"/>
                <w:b/>
                <w:bCs/>
                <w:color w:val="FF0000"/>
                <w:szCs w:val="21"/>
                <w:highlight w:val="none"/>
              </w:rPr>
              <w:t>202</w:t>
            </w:r>
            <w:r>
              <w:rPr>
                <w:rFonts w:ascii="宋体" w:hAnsi="宋体"/>
                <w:b/>
                <w:bCs/>
                <w:color w:val="FF0000"/>
                <w:szCs w:val="21"/>
                <w:highlight w:val="none"/>
              </w:rPr>
              <w:t>6</w:t>
            </w:r>
            <w:r>
              <w:rPr>
                <w:rFonts w:hint="eastAsia" w:ascii="宋体" w:hAnsi="宋体"/>
                <w:b/>
                <w:bCs/>
                <w:color w:val="FF0000"/>
                <w:szCs w:val="21"/>
                <w:highlight w:val="none"/>
              </w:rPr>
              <w:t>年</w:t>
            </w:r>
            <w:r>
              <w:rPr>
                <w:rFonts w:hint="eastAsia" w:ascii="宋体" w:hAnsi="宋体"/>
                <w:b/>
                <w:bCs/>
                <w:color w:val="FF0000"/>
                <w:szCs w:val="21"/>
                <w:highlight w:val="none"/>
                <w:lang w:val="en-US" w:eastAsia="zh-CN"/>
              </w:rPr>
              <w:t>7</w:t>
            </w:r>
            <w:r>
              <w:rPr>
                <w:rFonts w:hint="eastAsia" w:ascii="宋体" w:hAnsi="宋体"/>
                <w:b/>
                <w:bCs/>
                <w:color w:val="FF0000"/>
                <w:szCs w:val="21"/>
                <w:highlight w:val="none"/>
              </w:rPr>
              <w:t>月</w:t>
            </w:r>
            <w:r>
              <w:rPr>
                <w:rFonts w:hint="eastAsia" w:ascii="宋体" w:hAnsi="宋体"/>
                <w:b/>
                <w:bCs/>
                <w:color w:val="FF0000"/>
                <w:szCs w:val="21"/>
                <w:highlight w:val="none"/>
                <w:lang w:val="en-US" w:eastAsia="zh-CN"/>
              </w:rPr>
              <w:t>20</w:t>
            </w:r>
            <w:r>
              <w:rPr>
                <w:rFonts w:hint="eastAsia" w:ascii="宋体" w:hAnsi="宋体"/>
                <w:b/>
                <w:bCs/>
                <w:color w:val="FF0000"/>
                <w:szCs w:val="21"/>
                <w:highlight w:val="none"/>
              </w:rPr>
              <w:t>日</w:t>
            </w:r>
            <w:r>
              <w:rPr>
                <w:rFonts w:ascii="宋体" w:hAnsi="宋体"/>
                <w:b/>
                <w:bCs/>
                <w:color w:val="FF0000"/>
                <w:szCs w:val="21"/>
                <w:highlight w:val="none"/>
              </w:rPr>
              <w:t xml:space="preserve">  </w:t>
            </w:r>
            <w:r>
              <w:rPr>
                <w:rFonts w:hint="eastAsia" w:ascii="宋体" w:hAnsi="宋体"/>
                <w:b/>
                <w:bCs/>
                <w:color w:val="FF0000"/>
                <w:szCs w:val="21"/>
                <w:highlight w:val="none"/>
                <w:lang w:val="en-US" w:eastAsia="zh-CN"/>
              </w:rPr>
              <w:t>17:00</w:t>
            </w:r>
          </w:p>
        </w:tc>
      </w:tr>
      <w:tr w14:paraId="501EC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trPr>
        <w:tc>
          <w:tcPr>
            <w:tcW w:w="893" w:type="pct"/>
            <w:tcBorders>
              <w:top w:val="single" w:color="auto" w:sz="4" w:space="0"/>
              <w:left w:val="single" w:color="auto" w:sz="4" w:space="0"/>
              <w:bottom w:val="single" w:color="auto" w:sz="4" w:space="0"/>
              <w:right w:val="single" w:color="auto" w:sz="4" w:space="0"/>
            </w:tcBorders>
            <w:vAlign w:val="center"/>
          </w:tcPr>
          <w:p w14:paraId="0CC864DA">
            <w:pPr>
              <w:spacing w:line="360" w:lineRule="auto"/>
              <w:jc w:val="center"/>
              <w:rPr>
                <w:rFonts w:ascii="宋体" w:hAnsi="宋体"/>
                <w:szCs w:val="21"/>
              </w:rPr>
            </w:pPr>
            <w:r>
              <w:rPr>
                <w:rFonts w:hint="eastAsia" w:ascii="宋体" w:hAnsi="宋体"/>
                <w:szCs w:val="21"/>
              </w:rPr>
              <w:t>文件递交地址</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7ED1C27A">
            <w:pPr>
              <w:spacing w:line="360" w:lineRule="auto"/>
              <w:rPr>
                <w:rFonts w:ascii="宋体" w:hAnsi="宋体"/>
                <w:szCs w:val="21"/>
                <w:highlight w:val="none"/>
              </w:rPr>
            </w:pPr>
            <w:r>
              <w:rPr>
                <w:rFonts w:hint="eastAsia" w:ascii="宋体" w:hAnsi="宋体"/>
                <w:szCs w:val="21"/>
                <w:highlight w:val="none"/>
              </w:rPr>
              <w:t>扬大附院西区行政楼40</w:t>
            </w:r>
            <w:r>
              <w:rPr>
                <w:rFonts w:hint="eastAsia" w:ascii="宋体" w:hAnsi="宋体"/>
                <w:szCs w:val="21"/>
                <w:highlight w:val="none"/>
                <w:lang w:val="en-US" w:eastAsia="zh-CN"/>
              </w:rPr>
              <w:t>6</w:t>
            </w:r>
            <w:r>
              <w:rPr>
                <w:rFonts w:hint="eastAsia" w:ascii="宋体" w:hAnsi="宋体"/>
                <w:szCs w:val="21"/>
                <w:highlight w:val="none"/>
              </w:rPr>
              <w:t>办公室</w:t>
            </w:r>
          </w:p>
        </w:tc>
      </w:tr>
      <w:tr w14:paraId="4B907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3" w:type="pct"/>
            <w:tcBorders>
              <w:top w:val="single" w:color="auto" w:sz="4" w:space="0"/>
              <w:left w:val="single" w:color="auto" w:sz="4" w:space="0"/>
              <w:bottom w:val="single" w:color="auto" w:sz="4" w:space="0"/>
              <w:right w:val="single" w:color="auto" w:sz="4" w:space="0"/>
            </w:tcBorders>
            <w:vAlign w:val="center"/>
          </w:tcPr>
          <w:p w14:paraId="47C018ED">
            <w:pPr>
              <w:spacing w:line="360" w:lineRule="auto"/>
              <w:jc w:val="center"/>
              <w:rPr>
                <w:rFonts w:ascii="宋体" w:hAnsi="宋体" w:eastAsia="微软雅黑"/>
                <w:szCs w:val="21"/>
              </w:rPr>
            </w:pPr>
            <w:r>
              <w:rPr>
                <w:rFonts w:hint="eastAsia" w:ascii="宋体" w:hAnsi="宋体"/>
                <w:szCs w:val="21"/>
              </w:rPr>
              <w:t>谈判时间</w:t>
            </w:r>
          </w:p>
        </w:tc>
        <w:tc>
          <w:tcPr>
            <w:tcW w:w="1695" w:type="pct"/>
            <w:gridSpan w:val="2"/>
            <w:tcBorders>
              <w:top w:val="single" w:color="auto" w:sz="4" w:space="0"/>
              <w:left w:val="single" w:color="auto" w:sz="4" w:space="0"/>
              <w:bottom w:val="single" w:color="auto" w:sz="4" w:space="0"/>
              <w:right w:val="single" w:color="auto" w:sz="4" w:space="0"/>
            </w:tcBorders>
            <w:vAlign w:val="center"/>
          </w:tcPr>
          <w:p w14:paraId="2F89139D">
            <w:pPr>
              <w:spacing w:line="360" w:lineRule="auto"/>
              <w:jc w:val="center"/>
              <w:rPr>
                <w:rFonts w:ascii="宋体" w:hAnsi="宋体"/>
                <w:b/>
                <w:szCs w:val="21"/>
                <w:highlight w:val="none"/>
              </w:rPr>
            </w:pPr>
            <w:r>
              <w:rPr>
                <w:rFonts w:hint="eastAsia" w:ascii="宋体" w:hAnsi="宋体"/>
                <w:b w:val="0"/>
                <w:bCs w:val="0"/>
                <w:szCs w:val="21"/>
                <w:highlight w:val="none"/>
                <w:lang w:val="en-US" w:eastAsia="zh-CN"/>
              </w:rPr>
              <w:t>另行通知</w:t>
            </w:r>
            <w:r>
              <w:rPr>
                <w:rFonts w:ascii="宋体" w:hAnsi="宋体"/>
                <w:b w:val="0"/>
                <w:bCs w:val="0"/>
                <w:szCs w:val="21"/>
                <w:highlight w:val="none"/>
              </w:rPr>
              <w:t xml:space="preserve"> </w:t>
            </w:r>
          </w:p>
        </w:tc>
        <w:tc>
          <w:tcPr>
            <w:tcW w:w="638" w:type="pct"/>
            <w:gridSpan w:val="2"/>
            <w:tcBorders>
              <w:top w:val="single" w:color="auto" w:sz="4" w:space="0"/>
              <w:left w:val="single" w:color="auto" w:sz="4" w:space="0"/>
              <w:bottom w:val="single" w:color="auto" w:sz="4" w:space="0"/>
              <w:right w:val="single" w:color="auto" w:sz="4" w:space="0"/>
            </w:tcBorders>
            <w:vAlign w:val="center"/>
          </w:tcPr>
          <w:p w14:paraId="38C24DDF">
            <w:pPr>
              <w:spacing w:line="360" w:lineRule="auto"/>
              <w:jc w:val="center"/>
              <w:rPr>
                <w:rFonts w:ascii="宋体" w:hAnsi="宋体"/>
                <w:szCs w:val="21"/>
                <w:highlight w:val="none"/>
              </w:rPr>
            </w:pPr>
            <w:r>
              <w:rPr>
                <w:rFonts w:hint="eastAsia" w:ascii="宋体" w:hAnsi="宋体"/>
                <w:szCs w:val="21"/>
                <w:highlight w:val="none"/>
                <w:lang w:val="en-US" w:eastAsia="zh-CN"/>
              </w:rPr>
              <w:t>谈判</w:t>
            </w:r>
            <w:r>
              <w:rPr>
                <w:rFonts w:hint="eastAsia" w:ascii="宋体" w:hAnsi="宋体"/>
                <w:szCs w:val="21"/>
                <w:highlight w:val="none"/>
              </w:rPr>
              <w:t>地点</w:t>
            </w:r>
          </w:p>
        </w:tc>
        <w:tc>
          <w:tcPr>
            <w:tcW w:w="1772" w:type="pct"/>
            <w:tcBorders>
              <w:top w:val="single" w:color="auto" w:sz="4" w:space="0"/>
              <w:left w:val="single" w:color="auto" w:sz="4" w:space="0"/>
              <w:bottom w:val="single" w:color="auto" w:sz="4" w:space="0"/>
              <w:right w:val="single" w:color="auto" w:sz="4" w:space="0"/>
            </w:tcBorders>
            <w:vAlign w:val="center"/>
          </w:tcPr>
          <w:p w14:paraId="113223B4">
            <w:pPr>
              <w:spacing w:line="360" w:lineRule="auto"/>
              <w:jc w:val="center"/>
              <w:rPr>
                <w:rFonts w:ascii="宋体" w:hAnsi="宋体"/>
                <w:szCs w:val="21"/>
                <w:highlight w:val="none"/>
              </w:rPr>
            </w:pPr>
            <w:r>
              <w:rPr>
                <w:rFonts w:hint="eastAsia" w:ascii="宋体" w:hAnsi="宋体"/>
                <w:b/>
                <w:szCs w:val="21"/>
                <w:highlight w:val="none"/>
              </w:rPr>
              <w:t>扬大附院西区行政楼407会议室</w:t>
            </w:r>
          </w:p>
        </w:tc>
      </w:tr>
      <w:tr w14:paraId="5F10F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3" w:type="pct"/>
            <w:tcBorders>
              <w:top w:val="single" w:color="auto" w:sz="4" w:space="0"/>
              <w:left w:val="single" w:color="auto" w:sz="4" w:space="0"/>
              <w:bottom w:val="single" w:color="auto" w:sz="4" w:space="0"/>
              <w:right w:val="single" w:color="auto" w:sz="4" w:space="0"/>
            </w:tcBorders>
            <w:vAlign w:val="center"/>
          </w:tcPr>
          <w:p w14:paraId="7F98B331">
            <w:pPr>
              <w:spacing w:line="360" w:lineRule="auto"/>
              <w:jc w:val="center"/>
              <w:rPr>
                <w:rFonts w:ascii="宋体" w:hAnsi="宋体"/>
                <w:szCs w:val="21"/>
              </w:rPr>
            </w:pPr>
            <w:r>
              <w:rPr>
                <w:rFonts w:hint="eastAsia" w:ascii="宋体" w:hAnsi="宋体"/>
                <w:szCs w:val="21"/>
              </w:rPr>
              <w:t>联系方式</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201F6A18">
            <w:pPr>
              <w:adjustRightInd w:val="0"/>
              <w:snapToGrid w:val="0"/>
              <w:spacing w:line="360" w:lineRule="auto"/>
              <w:contextualSpacing/>
              <w:rPr>
                <w:rFonts w:hint="default" w:ascii="宋体" w:hAnsi="宋体" w:eastAsia="宋体" w:cs="宋体"/>
                <w:snapToGrid w:val="0"/>
                <w:szCs w:val="21"/>
                <w:highlight w:val="none"/>
                <w:lang w:val="en-US" w:eastAsia="zh-CN"/>
              </w:rPr>
            </w:pPr>
            <w:r>
              <w:rPr>
                <w:rFonts w:hint="eastAsia" w:ascii="宋体" w:hAnsi="宋体" w:cs="宋体"/>
                <w:snapToGrid w:val="0"/>
                <w:szCs w:val="21"/>
                <w:highlight w:val="none"/>
              </w:rPr>
              <w:t>联系人：</w:t>
            </w:r>
            <w:r>
              <w:rPr>
                <w:rFonts w:hint="eastAsia" w:ascii="宋体" w:hAnsi="宋体" w:cs="宋体"/>
                <w:snapToGrid w:val="0"/>
                <w:szCs w:val="21"/>
                <w:highlight w:val="none"/>
                <w:lang w:val="en-US" w:eastAsia="zh-CN"/>
              </w:rPr>
              <w:t>周</w:t>
            </w:r>
            <w:r>
              <w:rPr>
                <w:rFonts w:hint="eastAsia" w:ascii="宋体" w:hAnsi="宋体" w:cs="宋体"/>
                <w:snapToGrid w:val="0"/>
                <w:szCs w:val="21"/>
                <w:highlight w:val="none"/>
              </w:rPr>
              <w:t>老师   联系电话：0514-8</w:t>
            </w:r>
            <w:r>
              <w:rPr>
                <w:rFonts w:hint="eastAsia" w:ascii="宋体" w:hAnsi="宋体" w:cs="宋体"/>
                <w:snapToGrid w:val="0"/>
                <w:szCs w:val="21"/>
                <w:highlight w:val="none"/>
                <w:lang w:val="en-US" w:eastAsia="zh-CN"/>
              </w:rPr>
              <w:t>0319750</w:t>
            </w:r>
          </w:p>
          <w:p w14:paraId="7035E7F8">
            <w:pPr>
              <w:adjustRightInd w:val="0"/>
              <w:snapToGrid w:val="0"/>
              <w:spacing w:line="360" w:lineRule="auto"/>
              <w:contextualSpacing/>
              <w:rPr>
                <w:rFonts w:ascii="宋体" w:hAnsi="宋体" w:cs="宋体"/>
                <w:snapToGrid w:val="0"/>
                <w:szCs w:val="21"/>
                <w:highlight w:val="none"/>
              </w:rPr>
            </w:pPr>
            <w:r>
              <w:rPr>
                <w:rFonts w:hint="eastAsia" w:ascii="宋体" w:hAnsi="宋体" w:cs="宋体"/>
                <w:snapToGrid w:val="0"/>
                <w:szCs w:val="21"/>
                <w:highlight w:val="none"/>
              </w:rPr>
              <w:t>地址：扬大附院西区行政楼40</w:t>
            </w:r>
            <w:r>
              <w:rPr>
                <w:rFonts w:hint="eastAsia" w:ascii="宋体" w:hAnsi="宋体" w:cs="宋体"/>
                <w:snapToGrid w:val="0"/>
                <w:szCs w:val="21"/>
                <w:highlight w:val="none"/>
                <w:lang w:val="en-US" w:eastAsia="zh-CN"/>
              </w:rPr>
              <w:t>6</w:t>
            </w:r>
            <w:r>
              <w:rPr>
                <w:rFonts w:hint="eastAsia" w:ascii="宋体" w:hAnsi="宋体" w:cs="宋体"/>
                <w:snapToGrid w:val="0"/>
                <w:szCs w:val="21"/>
                <w:highlight w:val="none"/>
              </w:rPr>
              <w:t>办公室</w:t>
            </w:r>
          </w:p>
        </w:tc>
      </w:tr>
      <w:tr w14:paraId="3625F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3" w:type="pct"/>
            <w:tcBorders>
              <w:top w:val="single" w:color="auto" w:sz="4" w:space="0"/>
              <w:left w:val="single" w:color="auto" w:sz="4" w:space="0"/>
              <w:bottom w:val="single" w:color="auto" w:sz="4" w:space="0"/>
              <w:right w:val="single" w:color="auto" w:sz="4" w:space="0"/>
            </w:tcBorders>
            <w:vAlign w:val="center"/>
          </w:tcPr>
          <w:p w14:paraId="293AA6AC">
            <w:pPr>
              <w:spacing w:line="360" w:lineRule="auto"/>
              <w:jc w:val="center"/>
              <w:rPr>
                <w:rFonts w:ascii="宋体" w:hAnsi="宋体"/>
                <w:szCs w:val="21"/>
              </w:rPr>
            </w:pPr>
            <w:r>
              <w:rPr>
                <w:rFonts w:hint="eastAsia" w:ascii="宋体" w:hAnsi="宋体"/>
                <w:szCs w:val="21"/>
              </w:rPr>
              <w:t>备注</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4A18D812">
            <w:pPr>
              <w:spacing w:line="360" w:lineRule="auto"/>
              <w:jc w:val="left"/>
              <w:rPr>
                <w:rFonts w:ascii="宋体" w:hAnsi="宋体" w:cs="宋体"/>
                <w:szCs w:val="21"/>
              </w:rPr>
            </w:pPr>
            <w:r>
              <w:rPr>
                <w:rFonts w:hint="eastAsia" w:ascii="宋体" w:hAnsi="宋体" w:cs="宋体"/>
                <w:b w:val="0"/>
                <w:bCs w:val="0"/>
                <w:szCs w:val="21"/>
                <w:lang w:val="en-US" w:eastAsia="zh-CN"/>
              </w:rPr>
              <w:t>本项目不允许分包、转包，不接受联合体投标；</w:t>
            </w:r>
            <w:r>
              <w:rPr>
                <w:rFonts w:hint="eastAsia" w:ascii="宋体" w:hAnsi="宋体" w:cs="宋体"/>
                <w:b w:val="0"/>
                <w:bCs w:val="0"/>
                <w:szCs w:val="21"/>
              </w:rPr>
              <w:t>未提供格式的投标人自拟。</w:t>
            </w:r>
          </w:p>
        </w:tc>
      </w:tr>
    </w:tbl>
    <w:p w14:paraId="6A971983">
      <w:pPr>
        <w:ind w:firstLine="4176" w:firstLineChars="1300"/>
        <w:rPr>
          <w:b/>
          <w:sz w:val="32"/>
          <w:szCs w:val="32"/>
        </w:rPr>
      </w:pPr>
      <w:bookmarkStart w:id="2" w:name="_Toc39744253"/>
    </w:p>
    <w:p w14:paraId="41BAAF00">
      <w:pPr>
        <w:ind w:firstLine="4176" w:firstLineChars="1300"/>
        <w:rPr>
          <w:b/>
          <w:sz w:val="32"/>
          <w:szCs w:val="32"/>
        </w:rPr>
      </w:pPr>
    </w:p>
    <w:p w14:paraId="31D868DE">
      <w:pPr>
        <w:ind w:firstLine="4176" w:firstLineChars="1300"/>
        <w:rPr>
          <w:b/>
          <w:sz w:val="32"/>
          <w:szCs w:val="32"/>
        </w:rPr>
      </w:pPr>
    </w:p>
    <w:p w14:paraId="563BECA1">
      <w:pPr>
        <w:ind w:firstLine="4176" w:firstLineChars="1300"/>
        <w:rPr>
          <w:b/>
          <w:sz w:val="32"/>
          <w:szCs w:val="32"/>
        </w:rPr>
      </w:pPr>
    </w:p>
    <w:p w14:paraId="53F1D07A">
      <w:pPr>
        <w:ind w:firstLine="4176" w:firstLineChars="1300"/>
        <w:rPr>
          <w:b/>
          <w:sz w:val="32"/>
          <w:szCs w:val="32"/>
        </w:rPr>
      </w:pPr>
    </w:p>
    <w:p w14:paraId="7ED7B90D">
      <w:pPr>
        <w:ind w:firstLine="4176" w:firstLineChars="1300"/>
        <w:rPr>
          <w:b/>
          <w:sz w:val="32"/>
          <w:szCs w:val="32"/>
        </w:rPr>
      </w:pPr>
    </w:p>
    <w:p w14:paraId="34E314AB">
      <w:pPr>
        <w:ind w:firstLine="4176" w:firstLineChars="1300"/>
        <w:rPr>
          <w:b/>
          <w:sz w:val="32"/>
          <w:szCs w:val="32"/>
        </w:rPr>
      </w:pPr>
    </w:p>
    <w:p w14:paraId="069CC229">
      <w:pPr>
        <w:ind w:firstLine="4176" w:firstLineChars="1300"/>
        <w:rPr>
          <w:b/>
          <w:sz w:val="32"/>
          <w:szCs w:val="32"/>
        </w:rPr>
      </w:pPr>
    </w:p>
    <w:p w14:paraId="46D150CC">
      <w:pPr>
        <w:ind w:firstLine="4176" w:firstLineChars="1300"/>
        <w:rPr>
          <w:b/>
          <w:sz w:val="32"/>
          <w:szCs w:val="32"/>
        </w:rPr>
      </w:pPr>
    </w:p>
    <w:p w14:paraId="67157AE6">
      <w:pPr>
        <w:pStyle w:val="28"/>
      </w:pPr>
    </w:p>
    <w:p w14:paraId="2C9BD5C1">
      <w:pPr>
        <w:jc w:val="center"/>
        <w:rPr>
          <w:rFonts w:ascii="宋体" w:hAnsi="宋体"/>
          <w:b/>
          <w:color w:val="000000" w:themeColor="text1"/>
          <w:sz w:val="32"/>
          <w:szCs w:val="32"/>
          <w14:textFill>
            <w14:solidFill>
              <w14:schemeClr w14:val="tx1"/>
            </w14:solidFill>
          </w14:textFill>
        </w:rPr>
      </w:pPr>
      <w:r>
        <w:rPr>
          <w:rFonts w:hint="eastAsia"/>
          <w:b/>
          <w:sz w:val="32"/>
          <w:szCs w:val="32"/>
        </w:rPr>
        <w:t>二、项目需求</w:t>
      </w:r>
    </w:p>
    <w:p w14:paraId="6EEEE969">
      <w:pPr>
        <w:pStyle w:val="42"/>
        <w:keepNext w:val="0"/>
        <w:keepLines w:val="0"/>
        <w:pageBreakBefore w:val="0"/>
        <w:widowControl w:val="0"/>
        <w:kinsoku/>
        <w:wordWrap/>
        <w:overflowPunct/>
        <w:topLinePunct w:val="0"/>
        <w:autoSpaceDE/>
        <w:autoSpaceDN/>
        <w:bidi w:val="0"/>
        <w:adjustRightInd w:val="0"/>
        <w:snapToGrid w:val="0"/>
        <w:spacing w:line="360" w:lineRule="auto"/>
        <w:ind w:left="0" w:firstLine="482" w:firstLineChars="200"/>
        <w:contextualSpacing w:val="0"/>
        <w:textAlignment w:val="auto"/>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一、项目总则</w:t>
      </w:r>
    </w:p>
    <w:p w14:paraId="5E7D609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（一）编制依据</w:t>
      </w:r>
    </w:p>
    <w:p w14:paraId="0AEFA66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本报告依据国家税务总局《关于进一步深化税收征管改革的意见》、江苏省卫生健康委员会《苏卫财务〔2026〕15 号》文件、《行政事业单位内部控制规范（试行）》《公立医院内部控制管理办法》，结合医院税务财务管理、内控管理、信息化建设实际要求编制，旨在规范查验发票全流程管理，实现发票管理信息化、规范化、精细化。</w:t>
      </w:r>
    </w:p>
    <w:p w14:paraId="26CE6DB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（二）项目建设背景</w:t>
      </w:r>
    </w:p>
    <w:p w14:paraId="5853F23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随着数电发票全面推广、税收征管数字化升级，传统人工发票录入、查验、归档、台账管理模式效率低、风险高，存在发票查重难、真伪核验滞后、数电发票被恶意红冲、税务入账不规范、数据无法高效统计分析等问题。同时，医院现有各业务系统相互独立，发票数据无法互通，财务、费控、OA 等流程衔接不畅，不符合公立医院内控及税务管理要求。</w:t>
      </w:r>
    </w:p>
    <w:p w14:paraId="277F7DD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为落实财税及卫健部门管理规定，补齐发票管理短板，防范税务风险，提升财务工作效率，我院决定部署查验发票管理平台，搭建统一发票数据池，打通各业务系统数据链路，构建全流程、全票种、全生命周期的发票管理体系。</w:t>
      </w:r>
    </w:p>
    <w:p w14:paraId="610CAAB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（三）建设目标</w:t>
      </w:r>
    </w:p>
    <w:p w14:paraId="3DFD9B4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1.</w:t>
      </w:r>
      <w:r>
        <w:rPr>
          <w:rFonts w:hint="eastAsia" w:asciiTheme="majorEastAsia" w:hAnsiTheme="majorEastAsia" w:eastAsiaTheme="majorEastAsia" w:cstheme="majorEastAsia"/>
          <w:sz w:val="24"/>
          <w:szCs w:val="24"/>
        </w:rPr>
        <w:t>数据集中管控：搭建医院统一发票池，实现进项、销项、费用类等全票种发票数据结构化采集、存储、管理，统一归集全院发票数据。</w:t>
      </w:r>
    </w:p>
    <w:p w14:paraId="453B9FA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2.</w:t>
      </w:r>
      <w:r>
        <w:rPr>
          <w:rFonts w:hint="eastAsia" w:asciiTheme="majorEastAsia" w:hAnsiTheme="majorEastAsia" w:eastAsiaTheme="majorEastAsia" w:cstheme="majorEastAsia"/>
          <w:sz w:val="24"/>
          <w:szCs w:val="24"/>
        </w:rPr>
        <w:t>流程智能提效：支持多终端、多设备快速采集发票，自动完成查验、查重、合规校验，简化财务填报与审批流程。</w:t>
      </w:r>
    </w:p>
    <w:p w14:paraId="1B67C85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3.</w:t>
      </w:r>
      <w:r>
        <w:rPr>
          <w:rFonts w:hint="eastAsia" w:asciiTheme="majorEastAsia" w:hAnsiTheme="majorEastAsia" w:eastAsiaTheme="majorEastAsia" w:cstheme="majorEastAsia"/>
          <w:sz w:val="24"/>
          <w:szCs w:val="24"/>
        </w:rPr>
        <w:t>风险全面防控：实现发票真伪、重复、合规性自动校验，建立数电发票防恶意红冲机制，规范税务入账，支持进项税额转出管理，降低税务风险。</w:t>
      </w:r>
    </w:p>
    <w:p w14:paraId="777D9E2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4.</w:t>
      </w:r>
      <w:r>
        <w:rPr>
          <w:rFonts w:hint="eastAsia" w:asciiTheme="majorEastAsia" w:hAnsiTheme="majorEastAsia" w:eastAsiaTheme="majorEastAsia" w:cstheme="majorEastAsia"/>
          <w:sz w:val="24"/>
          <w:szCs w:val="24"/>
        </w:rPr>
        <w:t>系统互联互通：提供标准接口，与医院信息系统、费控系统、财务系统、物资系统等无缝对接，实现数据双向流转、状态同步。</w:t>
      </w:r>
    </w:p>
    <w:p w14:paraId="292A05C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5.</w:t>
      </w:r>
      <w:r>
        <w:rPr>
          <w:rFonts w:hint="eastAsia" w:asciiTheme="majorEastAsia" w:hAnsiTheme="majorEastAsia" w:eastAsiaTheme="majorEastAsia" w:cstheme="majorEastAsia"/>
          <w:sz w:val="24"/>
          <w:szCs w:val="24"/>
        </w:rPr>
        <w:t>运维安全可靠：平台满足高并发、高性能运行要求，构建全维度安全体系，符合网络安全等级保护三级及以上标准，保障数据与系统稳定运行。</w:t>
      </w:r>
    </w:p>
    <w:p w14:paraId="4C2B9C0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6.</w:t>
      </w:r>
      <w:r>
        <w:rPr>
          <w:rFonts w:hint="eastAsia" w:asciiTheme="majorEastAsia" w:hAnsiTheme="majorEastAsia" w:eastAsiaTheme="majorEastAsia" w:cstheme="majorEastAsia"/>
          <w:sz w:val="24"/>
          <w:szCs w:val="24"/>
        </w:rPr>
        <w:t>可持续扩展：采用标准化、可扩展架构，支持后续单位大系统更换、电子档案、税务管理等功能模块拓展，适配未来财税政策及业务变化。</w:t>
      </w:r>
    </w:p>
    <w:p w14:paraId="400E5785">
      <w:pPr>
        <w:pStyle w:val="42"/>
        <w:keepNext w:val="0"/>
        <w:keepLines w:val="0"/>
        <w:pageBreakBefore w:val="0"/>
        <w:widowControl w:val="0"/>
        <w:kinsoku/>
        <w:wordWrap/>
        <w:overflowPunct/>
        <w:topLinePunct w:val="0"/>
        <w:autoSpaceDE/>
        <w:autoSpaceDN/>
        <w:bidi w:val="0"/>
        <w:adjustRightInd w:val="0"/>
        <w:snapToGrid w:val="0"/>
        <w:spacing w:line="360" w:lineRule="auto"/>
        <w:ind w:left="0" w:firstLine="482" w:firstLineChars="200"/>
        <w:contextualSpacing w:val="0"/>
        <w:textAlignment w:val="auto"/>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二、总体功能需求</w:t>
      </w:r>
    </w:p>
    <w:p w14:paraId="0140570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本平台采用私有化部署模式，围绕发票池管理、发票采集录入、发票查验查重、税务入账、进项税转出、查询统计、系统对接、系统管理八大核心模块设计功能，覆盖发票全生命周期管理。</w:t>
      </w:r>
    </w:p>
    <w:p w14:paraId="1C571C2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（一）查验发票池管理</w:t>
      </w:r>
    </w:p>
    <w:p w14:paraId="54DFECF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1.</w:t>
      </w:r>
      <w:r>
        <w:rPr>
          <w:rFonts w:hint="eastAsia" w:asciiTheme="majorEastAsia" w:hAnsiTheme="majorEastAsia" w:eastAsiaTheme="majorEastAsia" w:cstheme="majorEastAsia"/>
          <w:sz w:val="24"/>
          <w:szCs w:val="24"/>
        </w:rPr>
        <w:t>全量数据同步：通过税务直连接口对接税务系统，自动同步医院历史、当月全量进销项发票数据，查验通过后自动归集至发票池。</w:t>
      </w:r>
    </w:p>
    <w:p w14:paraId="2D93B60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2.</w:t>
      </w:r>
      <w:r>
        <w:rPr>
          <w:rFonts w:hint="eastAsia" w:asciiTheme="majorEastAsia" w:hAnsiTheme="majorEastAsia" w:eastAsiaTheme="majorEastAsia" w:cstheme="majorEastAsia"/>
          <w:sz w:val="24"/>
          <w:szCs w:val="24"/>
        </w:rPr>
        <w:t>分类管理：按照发票类型、业务类别、归属部门等维度，对查验发票进行分类、分组管理。</w:t>
      </w:r>
    </w:p>
    <w:p w14:paraId="16BB4CB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3.</w:t>
      </w:r>
      <w:r>
        <w:rPr>
          <w:rFonts w:hint="eastAsia" w:asciiTheme="majorEastAsia" w:hAnsiTheme="majorEastAsia" w:eastAsiaTheme="majorEastAsia" w:cstheme="majorEastAsia"/>
          <w:sz w:val="24"/>
          <w:szCs w:val="24"/>
        </w:rPr>
        <w:t>多字段展示：支持展示发票类型、发票状态、管理状态、补全状态、查验状态、审核状态、报销状态、签收状态等全维度业务字段。</w:t>
      </w:r>
    </w:p>
    <w:p w14:paraId="2A79D87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4.</w:t>
      </w:r>
      <w:r>
        <w:rPr>
          <w:rFonts w:hint="eastAsia" w:asciiTheme="majorEastAsia" w:hAnsiTheme="majorEastAsia" w:eastAsiaTheme="majorEastAsia" w:cstheme="majorEastAsia"/>
          <w:sz w:val="24"/>
          <w:szCs w:val="24"/>
        </w:rPr>
        <w:t>多格式数据展示：支持发票基础字段信息、影像图片、PDF 版式文件、电子凭证在线预览查看。</w:t>
      </w:r>
    </w:p>
    <w:p w14:paraId="1F72805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5.</w:t>
      </w:r>
      <w:r>
        <w:rPr>
          <w:rFonts w:hint="eastAsia" w:asciiTheme="majorEastAsia" w:hAnsiTheme="majorEastAsia" w:eastAsiaTheme="majorEastAsia" w:cstheme="majorEastAsia"/>
          <w:sz w:val="24"/>
          <w:szCs w:val="24"/>
        </w:rPr>
        <w:t>文件生成与导出：支持数电发票、常规电子发票反向生成版式文件；实现版式文件、电子凭证批量下载，发票主数据、明细数据批量导出。</w:t>
      </w:r>
    </w:p>
    <w:p w14:paraId="06B1353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6.</w:t>
      </w:r>
      <w:r>
        <w:rPr>
          <w:rFonts w:hint="eastAsia" w:asciiTheme="majorEastAsia" w:hAnsiTheme="majorEastAsia" w:eastAsiaTheme="majorEastAsia" w:cstheme="majorEastAsia"/>
          <w:sz w:val="24"/>
          <w:szCs w:val="24"/>
        </w:rPr>
        <w:t>接口支撑：提供标准化对外接口，支撑与院内其他业务系统的数据交互。</w:t>
      </w:r>
    </w:p>
    <w:p w14:paraId="575227C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（二）发票采集与录入</w:t>
      </w:r>
    </w:p>
    <w:p w14:paraId="05CD307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支持PC 端、移动端双端采集，兼容多种硬件设备，实现发票快速录入：</w:t>
      </w:r>
    </w:p>
    <w:p w14:paraId="2BC86AD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1.</w:t>
      </w:r>
      <w:r>
        <w:rPr>
          <w:rFonts w:hint="eastAsia" w:asciiTheme="majorEastAsia" w:hAnsiTheme="majorEastAsia" w:eastAsiaTheme="majorEastAsia" w:cstheme="majorEastAsia"/>
          <w:sz w:val="24"/>
          <w:szCs w:val="24"/>
        </w:rPr>
        <w:t>硬件采集：适配扫码枪、扫描仪，一键扫描纸质发票完成信息录入。</w:t>
      </w:r>
    </w:p>
    <w:p w14:paraId="42B89E3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2.</w:t>
      </w:r>
      <w:r>
        <w:rPr>
          <w:rFonts w:hint="eastAsia" w:asciiTheme="majorEastAsia" w:hAnsiTheme="majorEastAsia" w:eastAsiaTheme="majorEastAsia" w:cstheme="majorEastAsia"/>
          <w:sz w:val="24"/>
          <w:szCs w:val="24"/>
        </w:rPr>
        <w:t>PC 端采集：支持上传发票图片、PDF 等影像文件，完成发票及附件信息采集。</w:t>
      </w:r>
    </w:p>
    <w:p w14:paraId="3F9B70F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3.</w:t>
      </w:r>
      <w:r>
        <w:rPr>
          <w:rFonts w:hint="eastAsia" w:asciiTheme="majorEastAsia" w:hAnsiTheme="majorEastAsia" w:eastAsiaTheme="majorEastAsia" w:cstheme="majorEastAsia"/>
          <w:sz w:val="24"/>
          <w:szCs w:val="24"/>
        </w:rPr>
        <w:t>移动端采集：支持手机拍照、上传影像文件，随时随地完成发票及附件采集，满足移动办公需求。</w:t>
      </w:r>
    </w:p>
    <w:p w14:paraId="49496F4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（三）发票查验与查重</w:t>
      </w:r>
    </w:p>
    <w:p w14:paraId="213F9FF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1.</w:t>
      </w:r>
      <w:r>
        <w:rPr>
          <w:rFonts w:hint="eastAsia" w:asciiTheme="majorEastAsia" w:hAnsiTheme="majorEastAsia" w:eastAsiaTheme="majorEastAsia" w:cstheme="majorEastAsia"/>
          <w:sz w:val="24"/>
          <w:szCs w:val="24"/>
        </w:rPr>
        <w:t>自动核验：系统自动完成发票真伪查验、重复查重，可根据医院内控要求自定义合规性校验规则。</w:t>
      </w:r>
    </w:p>
    <w:p w14:paraId="20E862A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2.</w:t>
      </w:r>
      <w:r>
        <w:rPr>
          <w:rFonts w:hint="eastAsia" w:asciiTheme="majorEastAsia" w:hAnsiTheme="majorEastAsia" w:eastAsiaTheme="majorEastAsia" w:cstheme="majorEastAsia"/>
          <w:sz w:val="24"/>
          <w:szCs w:val="24"/>
        </w:rPr>
        <w:t>查验报告：查验完成后自动生成官方查验报告（查验凭证），支持留存、下载、打印。</w:t>
      </w:r>
    </w:p>
    <w:p w14:paraId="0E1E7D8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3.</w:t>
      </w:r>
      <w:r>
        <w:rPr>
          <w:rFonts w:hint="eastAsia" w:asciiTheme="majorEastAsia" w:hAnsiTheme="majorEastAsia" w:eastAsiaTheme="majorEastAsia" w:cstheme="majorEastAsia"/>
          <w:sz w:val="24"/>
          <w:szCs w:val="24"/>
        </w:rPr>
        <w:t>OCR 智能识别：对上传的图片、PDF 发票进行 OCR 文字识别，自动生成结构化数据，同时留存原始影像文件，支持原件预览。</w:t>
      </w:r>
    </w:p>
    <w:p w14:paraId="42C2BFD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4.</w:t>
      </w:r>
      <w:r>
        <w:rPr>
          <w:rFonts w:hint="eastAsia" w:asciiTheme="majorEastAsia" w:hAnsiTheme="majorEastAsia" w:eastAsiaTheme="majorEastAsia" w:cstheme="majorEastAsia"/>
          <w:sz w:val="24"/>
          <w:szCs w:val="24"/>
        </w:rPr>
        <w:t>系统无缝调用：可嵌入医院 OA、费用控制系统，实现流程内直接调用发票查验功能。</w:t>
      </w:r>
    </w:p>
    <w:p w14:paraId="4445A6F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（四）税务入账与入账中心</w:t>
      </w:r>
    </w:p>
    <w:p w14:paraId="3F233D1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1.</w:t>
      </w:r>
      <w:r>
        <w:rPr>
          <w:rFonts w:hint="eastAsia" w:asciiTheme="majorEastAsia" w:hAnsiTheme="majorEastAsia" w:eastAsiaTheme="majorEastAsia" w:cstheme="majorEastAsia"/>
          <w:sz w:val="24"/>
          <w:szCs w:val="24"/>
        </w:rPr>
        <w:t>数电发票专项管控：提供数电发票专属税务入账标准接口，建立风险拦截机制，防范供应商恶意红冲数电发票。</w:t>
      </w:r>
    </w:p>
    <w:p w14:paraId="45EBF37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2.</w:t>
      </w:r>
      <w:r>
        <w:rPr>
          <w:rFonts w:hint="eastAsia" w:asciiTheme="majorEastAsia" w:hAnsiTheme="majorEastAsia" w:eastAsiaTheme="majorEastAsia" w:cstheme="majorEastAsia"/>
          <w:sz w:val="24"/>
          <w:szCs w:val="24"/>
        </w:rPr>
        <w:t>入账状态同步：提供统一标准入账接口，发票完成税务入账后，自动同步更新查验发票池、全量票据池内票据入账状态。</w:t>
      </w:r>
    </w:p>
    <w:p w14:paraId="07E756E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（五）信息推送</w:t>
      </w:r>
    </w:p>
    <w:p w14:paraId="50FE74E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支持将发票影像、附件、OCR 识别文本等信息，通过标准接口主动推送至院内相关业务系统，实现数据共享。</w:t>
      </w:r>
    </w:p>
    <w:p w14:paraId="4CD77B3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（六）税务信息管理</w:t>
      </w:r>
    </w:p>
    <w:p w14:paraId="019FAB4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支持同步医院自身税务基础信息，统一维护税务档案，保障发票开具、认证、入账等业务基础信息准确。</w:t>
      </w:r>
    </w:p>
    <w:p w14:paraId="657A8DA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（七）查询统计分析</w:t>
      </w:r>
    </w:p>
    <w:p w14:paraId="2998DE6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提供多维度组合查询、可视化统计分析功能，可按发票时间、类型、状态、部门、金额等条件筛选数据，自动生成发票台账、统计报表，支持报表导出。</w:t>
      </w:r>
    </w:p>
    <w:p w14:paraId="6898736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（八）进项税转出管理</w:t>
      </w:r>
    </w:p>
    <w:p w14:paraId="3B8FFE6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覆盖全场景进项税额转出业务：</w:t>
      </w:r>
    </w:p>
    <w:p w14:paraId="1E20646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1.</w:t>
      </w:r>
      <w:r>
        <w:rPr>
          <w:rFonts w:hint="eastAsia" w:asciiTheme="majorEastAsia" w:hAnsiTheme="majorEastAsia" w:eastAsiaTheme="majorEastAsia" w:cstheme="majorEastAsia"/>
          <w:sz w:val="24"/>
          <w:szCs w:val="24"/>
        </w:rPr>
        <w:t>支持有票转出、无票转出两种模式，对已勾选认证的异常发票快速发起税额转出。</w:t>
      </w:r>
    </w:p>
    <w:p w14:paraId="5BB998B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2.</w:t>
      </w:r>
      <w:r>
        <w:rPr>
          <w:rFonts w:hint="eastAsia" w:asciiTheme="majorEastAsia" w:hAnsiTheme="majorEastAsia" w:eastAsiaTheme="majorEastAsia" w:cstheme="majorEastAsia"/>
          <w:sz w:val="24"/>
          <w:szCs w:val="24"/>
        </w:rPr>
        <w:t>支持单笔转出、批量转出、系统自动转出，适配医院财务业务场景。</w:t>
      </w:r>
    </w:p>
    <w:p w14:paraId="7A248CA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（九）功能拓展</w:t>
      </w:r>
    </w:p>
    <w:p w14:paraId="6733E8C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平台预留功能接口与数据架构，支持后期拓展电子档案、税务申报、票据归档等增值模块。</w:t>
      </w:r>
    </w:p>
    <w:p w14:paraId="4D75467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（十）系统基础管理</w:t>
      </w:r>
    </w:p>
    <w:p w14:paraId="271C79C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1.</w:t>
      </w:r>
      <w:r>
        <w:rPr>
          <w:rFonts w:hint="eastAsia" w:asciiTheme="majorEastAsia" w:hAnsiTheme="majorEastAsia" w:eastAsiaTheme="majorEastAsia" w:cstheme="majorEastAsia"/>
          <w:sz w:val="24"/>
          <w:szCs w:val="24"/>
        </w:rPr>
        <w:t>数据备份恢复：具备全系统数据、配置参数自动 / 手动备份能力，支持故障后快速恢复，防止数据丢失。</w:t>
      </w:r>
    </w:p>
    <w:p w14:paraId="0A79870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2.</w:t>
      </w:r>
      <w:r>
        <w:rPr>
          <w:rFonts w:hint="eastAsia" w:asciiTheme="majorEastAsia" w:hAnsiTheme="majorEastAsia" w:eastAsiaTheme="majorEastAsia" w:cstheme="majorEastAsia"/>
          <w:sz w:val="24"/>
          <w:szCs w:val="24"/>
        </w:rPr>
        <w:t>基础配置：支持参数配置、台账规则自定义，适配税法及院内管理制度调整。</w:t>
      </w:r>
    </w:p>
    <w:p w14:paraId="733D5A40">
      <w:pPr>
        <w:pStyle w:val="42"/>
        <w:keepNext w:val="0"/>
        <w:keepLines w:val="0"/>
        <w:pageBreakBefore w:val="0"/>
        <w:widowControl w:val="0"/>
        <w:kinsoku/>
        <w:wordWrap/>
        <w:overflowPunct/>
        <w:topLinePunct w:val="0"/>
        <w:autoSpaceDE/>
        <w:autoSpaceDN/>
        <w:bidi w:val="0"/>
        <w:adjustRightInd w:val="0"/>
        <w:snapToGrid w:val="0"/>
        <w:spacing w:line="360" w:lineRule="auto"/>
        <w:ind w:left="0" w:firstLine="482" w:firstLineChars="200"/>
        <w:contextualSpacing w:val="0"/>
        <w:textAlignment w:val="auto"/>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三、技术架构与性能需求</w:t>
      </w:r>
    </w:p>
    <w:p w14:paraId="13BC332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（一）总体技术架构</w:t>
      </w:r>
    </w:p>
    <w:p w14:paraId="36021F6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1.</w:t>
      </w:r>
      <w:r>
        <w:rPr>
          <w:rFonts w:hint="eastAsia" w:asciiTheme="majorEastAsia" w:hAnsiTheme="majorEastAsia" w:eastAsiaTheme="majorEastAsia" w:cstheme="majorEastAsia"/>
          <w:sz w:val="24"/>
          <w:szCs w:val="24"/>
        </w:rPr>
        <w:t>架构体系：采用SOA 面向服务架构+ B/S 浏览器架构，搭建可插拔、开放式技术体系，遵循 J2EE 开发规范，业务逻辑与技术实现分离。</w:t>
      </w:r>
    </w:p>
    <w:p w14:paraId="0A7C796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2.</w:t>
      </w:r>
      <w:r>
        <w:rPr>
          <w:rFonts w:hint="eastAsia" w:asciiTheme="majorEastAsia" w:hAnsiTheme="majorEastAsia" w:eastAsiaTheme="majorEastAsia" w:cstheme="majorEastAsia"/>
          <w:sz w:val="24"/>
          <w:szCs w:val="24"/>
        </w:rPr>
        <w:t>技术组件：基于 XML 服务总线搭建数据总线，提供平台级维护、应用集成、参数配置、日常管理等基础服务。</w:t>
      </w:r>
    </w:p>
    <w:p w14:paraId="644A585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3.</w:t>
      </w:r>
      <w:r>
        <w:rPr>
          <w:rFonts w:hint="eastAsia" w:asciiTheme="majorEastAsia" w:hAnsiTheme="majorEastAsia" w:eastAsiaTheme="majorEastAsia" w:cstheme="majorEastAsia"/>
          <w:sz w:val="24"/>
          <w:szCs w:val="24"/>
        </w:rPr>
        <w:t xml:space="preserve">分层设计 </w:t>
      </w:r>
    </w:p>
    <w:p w14:paraId="090C1AA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数据层：按业务分层设计，基础服务层提供底层支撑，业务层支持灵活二次开发；接口层：分层 API 接口设计，提供完整接口文档，支持现有及未来外围系统集成。</w:t>
      </w:r>
    </w:p>
    <w:p w14:paraId="3067097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4.</w:t>
      </w:r>
      <w:r>
        <w:rPr>
          <w:rFonts w:hint="eastAsia" w:asciiTheme="majorEastAsia" w:hAnsiTheme="majorEastAsia" w:eastAsiaTheme="majorEastAsia" w:cstheme="majorEastAsia"/>
          <w:sz w:val="24"/>
          <w:szCs w:val="24"/>
        </w:rPr>
        <w:t xml:space="preserve">架构特性 </w:t>
      </w:r>
    </w:p>
    <w:p w14:paraId="399277C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前瞻性：快速适配数电发票、税务新政等新业务、新要求；可扩展性：统一封装业务变化节点，预留二次开发接口，支持模块新增、功能迭代；灵活性：通过参数配置、可视化台账定义，快速响应税法、院内制度变更；可移植性：符合 J2EE 规范，可在 Tomcat、JBoss、Weblogic 等主流应用服务器直接部署使用。</w:t>
      </w:r>
    </w:p>
    <w:p w14:paraId="430AD15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（二）系统性能指标</w:t>
      </w:r>
    </w:p>
    <w:p w14:paraId="110E80C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平台需满足医院大规模用户、高并发、大数据量运行要求，具体指标如下：</w:t>
      </w:r>
    </w:p>
    <w:p w14:paraId="746E26C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1.</w:t>
      </w:r>
      <w:r>
        <w:rPr>
          <w:rFonts w:hint="eastAsia" w:asciiTheme="majorEastAsia" w:hAnsiTheme="majorEastAsia" w:eastAsiaTheme="majorEastAsia" w:cstheme="majorEastAsia"/>
          <w:sz w:val="24"/>
          <w:szCs w:val="24"/>
        </w:rPr>
        <w:t>并发能力：稳定支撑1000 个授权用户、100 个并发用户同时操作，PC 端、移动端可同步正常访问。</w:t>
      </w:r>
    </w:p>
    <w:p w14:paraId="40D2A91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2.</w:t>
      </w:r>
      <w:r>
        <w:rPr>
          <w:rFonts w:hint="eastAsia" w:asciiTheme="majorEastAsia" w:hAnsiTheme="majorEastAsia" w:eastAsiaTheme="majorEastAsia" w:cstheme="majorEastAsia"/>
          <w:sz w:val="24"/>
          <w:szCs w:val="24"/>
        </w:rPr>
        <w:t xml:space="preserve">响应速度 </w:t>
      </w:r>
    </w:p>
    <w:p w14:paraId="7F1AA4C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系统登录响应时间≤3 秒；基础业务操作响应时间≤4 秒；并发≤200 人：界面响应＜3 秒；200＜并发≤500 人：界面响应＜5 秒；并发＞500 人：界面响应＜7 秒。</w:t>
      </w:r>
    </w:p>
    <w:p w14:paraId="3C2F715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3.</w:t>
      </w:r>
      <w:r>
        <w:rPr>
          <w:rFonts w:hint="eastAsia" w:asciiTheme="majorEastAsia" w:hAnsiTheme="majorEastAsia" w:eastAsiaTheme="majorEastAsia" w:cstheme="majorEastAsia"/>
          <w:sz w:val="24"/>
          <w:szCs w:val="24"/>
        </w:rPr>
        <w:t xml:space="preserve">运行稳定性 </w:t>
      </w:r>
    </w:p>
    <w:p w14:paraId="534B3F3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全年 7×24 小时不间断运行，除定期维护、数据备份外，年度影响使用故障≤3 次，系统宕机故障≤1 次；具备容错、抗干扰能力，软件故障不会触发系统强制重启，输入异常数据可自动拦截、提示。</w:t>
      </w:r>
    </w:p>
    <w:p w14:paraId="08C4C68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4.</w:t>
      </w:r>
      <w:r>
        <w:rPr>
          <w:rFonts w:hint="eastAsia" w:asciiTheme="majorEastAsia" w:hAnsiTheme="majorEastAsia" w:eastAsiaTheme="majorEastAsia" w:cstheme="majorEastAsia"/>
          <w:sz w:val="24"/>
          <w:szCs w:val="24"/>
        </w:rPr>
        <w:t>大数据适配：数据量持续增长后，系统性能无明显下降；若性能衰减，需提供专项优化解决方案。</w:t>
      </w:r>
    </w:p>
    <w:p w14:paraId="0000CD3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5.</w:t>
      </w:r>
      <w:r>
        <w:rPr>
          <w:rFonts w:hint="eastAsia" w:asciiTheme="majorEastAsia" w:hAnsiTheme="majorEastAsia" w:eastAsiaTheme="majorEastAsia" w:cstheme="majorEastAsia"/>
          <w:sz w:val="24"/>
          <w:szCs w:val="24"/>
        </w:rPr>
        <w:t>运行架构：采用多线程、多用户架构，适配多人同时操作场景。</w:t>
      </w:r>
    </w:p>
    <w:p w14:paraId="39CE465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（三）部署架构要求</w:t>
      </w:r>
    </w:p>
    <w:p w14:paraId="396E809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1.</w:t>
      </w:r>
      <w:r>
        <w:rPr>
          <w:rFonts w:hint="eastAsia" w:asciiTheme="majorEastAsia" w:hAnsiTheme="majorEastAsia" w:eastAsiaTheme="majorEastAsia" w:cstheme="majorEastAsia"/>
          <w:sz w:val="24"/>
          <w:szCs w:val="24"/>
        </w:rPr>
        <w:t>部署模式：采用私有化部署，基于分布式开源平台架构，支持私有云部署，可根据业务负载弹性伸缩。</w:t>
      </w:r>
    </w:p>
    <w:p w14:paraId="5F48969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2.</w:t>
      </w:r>
      <w:r>
        <w:rPr>
          <w:rFonts w:hint="eastAsia" w:asciiTheme="majorEastAsia" w:hAnsiTheme="majorEastAsia" w:eastAsiaTheme="majorEastAsia" w:cstheme="majorEastAsia"/>
          <w:sz w:val="24"/>
          <w:szCs w:val="24"/>
        </w:rPr>
        <w:t xml:space="preserve">存储架构 </w:t>
      </w:r>
    </w:p>
    <w:p w14:paraId="367E272F">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sz w:val="24"/>
          <w:szCs w:val="24"/>
        </w:rPr>
        <w:t>文件存储：</w:t>
      </w:r>
      <w:r>
        <w:rPr>
          <w:rFonts w:hint="eastAsia" w:asciiTheme="majorEastAsia" w:hAnsiTheme="majorEastAsia" w:eastAsiaTheme="majorEastAsia" w:cstheme="majorEastAsia"/>
          <w:sz w:val="24"/>
          <w:szCs w:val="24"/>
        </w:rPr>
        <w:t>采用分布式文件系统，支持多副本、多机房节点部署，可自定义容灾等级；</w:t>
      </w:r>
      <w:r>
        <w:rPr>
          <w:rFonts w:hint="eastAsia" w:asciiTheme="majorEastAsia" w:hAnsiTheme="majorEastAsia" w:eastAsiaTheme="majorEastAsia" w:cstheme="majorEastAsia"/>
          <w:b/>
          <w:bCs/>
          <w:sz w:val="24"/>
          <w:szCs w:val="24"/>
        </w:rPr>
        <w:t>数据库</w:t>
      </w:r>
      <w:r>
        <w:rPr>
          <w:rFonts w:hint="eastAsia" w:asciiTheme="majorEastAsia" w:hAnsiTheme="majorEastAsia" w:eastAsiaTheme="majorEastAsia" w:cstheme="majorEastAsia"/>
          <w:sz w:val="24"/>
          <w:szCs w:val="24"/>
        </w:rPr>
        <w:t>：采用主 - 从 - 备架构，支持双主多从多备、跨机房部署，保障数据高可用；</w:t>
      </w:r>
      <w:r>
        <w:rPr>
          <w:rFonts w:hint="eastAsia" w:asciiTheme="majorEastAsia" w:hAnsiTheme="majorEastAsia" w:eastAsiaTheme="majorEastAsia" w:cstheme="majorEastAsia"/>
          <w:b/>
          <w:bCs/>
          <w:sz w:val="24"/>
          <w:szCs w:val="24"/>
        </w:rPr>
        <w:t>业务服务</w:t>
      </w:r>
      <w:r>
        <w:rPr>
          <w:rFonts w:hint="eastAsia" w:asciiTheme="majorEastAsia" w:hAnsiTheme="majorEastAsia" w:eastAsiaTheme="majorEastAsia" w:cstheme="majorEastAsia"/>
          <w:sz w:val="24"/>
          <w:szCs w:val="24"/>
        </w:rPr>
        <w:t>：服务节点集群化、高可用部署，支持多机房分布式部署。</w:t>
      </w:r>
    </w:p>
    <w:p w14:paraId="20B20EA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3.</w:t>
      </w:r>
      <w:r>
        <w:rPr>
          <w:rFonts w:hint="eastAsia" w:asciiTheme="majorEastAsia" w:hAnsiTheme="majorEastAsia" w:eastAsiaTheme="majorEastAsia" w:cstheme="majorEastAsia"/>
          <w:sz w:val="24"/>
          <w:szCs w:val="24"/>
        </w:rPr>
        <w:t>迁移能力：架构具备良好迁移性，可快速向其他部署环境迁移。</w:t>
      </w:r>
    </w:p>
    <w:p w14:paraId="69E877E0">
      <w:pPr>
        <w:pStyle w:val="42"/>
        <w:keepNext w:val="0"/>
        <w:keepLines w:val="0"/>
        <w:pageBreakBefore w:val="0"/>
        <w:widowControl w:val="0"/>
        <w:kinsoku/>
        <w:wordWrap/>
        <w:overflowPunct/>
        <w:topLinePunct w:val="0"/>
        <w:autoSpaceDE/>
        <w:autoSpaceDN/>
        <w:bidi w:val="0"/>
        <w:adjustRightInd w:val="0"/>
        <w:snapToGrid w:val="0"/>
        <w:spacing w:line="360" w:lineRule="auto"/>
        <w:ind w:left="0" w:firstLine="482" w:firstLineChars="200"/>
        <w:contextualSpacing w:val="0"/>
        <w:textAlignment w:val="auto"/>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四、系统安全需求</w:t>
      </w:r>
    </w:p>
    <w:p w14:paraId="164BC57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平台需构建物理安全、应用安全、数据安全、网络安全一体化防护体系，全面满足网络安全等级保护三级及以上要求。</w:t>
      </w:r>
    </w:p>
    <w:p w14:paraId="73E307B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（一）权限与身份认证</w:t>
      </w:r>
    </w:p>
    <w:p w14:paraId="67AC257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1.</w:t>
      </w:r>
      <w:r>
        <w:rPr>
          <w:rFonts w:hint="eastAsia" w:asciiTheme="majorEastAsia" w:hAnsiTheme="majorEastAsia" w:eastAsiaTheme="majorEastAsia" w:cstheme="majorEastAsia"/>
          <w:sz w:val="24"/>
          <w:szCs w:val="24"/>
        </w:rPr>
        <w:t>多级权限管控：从组织架构、岗位、职级、功能模块多维度划分操作权限，实现精细化权限隔离，系统管理员无权越权查看业务数据。</w:t>
      </w:r>
    </w:p>
    <w:p w14:paraId="5226176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2.</w:t>
      </w:r>
      <w:r>
        <w:rPr>
          <w:rFonts w:hint="eastAsia" w:asciiTheme="majorEastAsia" w:hAnsiTheme="majorEastAsia" w:eastAsiaTheme="majorEastAsia" w:cstheme="majorEastAsia"/>
          <w:sz w:val="24"/>
          <w:szCs w:val="24"/>
        </w:rPr>
        <w:t>多方式身份认证：支持用户名密码、域用户、SSO 单点登录等认证方式，可集成动态口令认证。</w:t>
      </w:r>
    </w:p>
    <w:p w14:paraId="1A5BB33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3.</w:t>
      </w:r>
      <w:r>
        <w:rPr>
          <w:rFonts w:hint="eastAsia" w:asciiTheme="majorEastAsia" w:hAnsiTheme="majorEastAsia" w:eastAsiaTheme="majorEastAsia" w:cstheme="majorEastAsia"/>
          <w:sz w:val="24"/>
          <w:szCs w:val="24"/>
        </w:rPr>
        <w:t>账号密码管控：强制设置密码复杂度、长度、有效期，要求首次登录修改初始密码；密码连续输错自动锁定账号，记录错误登录客户端信息，禁止弱口令账号。</w:t>
      </w:r>
    </w:p>
    <w:p w14:paraId="4AF709B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4.</w:t>
      </w:r>
      <w:r>
        <w:rPr>
          <w:rFonts w:hint="eastAsia" w:asciiTheme="majorEastAsia" w:hAnsiTheme="majorEastAsia" w:eastAsiaTheme="majorEastAsia" w:cstheme="majorEastAsia"/>
          <w:sz w:val="24"/>
          <w:szCs w:val="24"/>
        </w:rPr>
        <w:t>登录管控：同一账号仅允许单端登录，异地登录自动注销已有会话；支持文档防另存、防拷贝、防打印、操作痕迹留存。</w:t>
      </w:r>
    </w:p>
    <w:p w14:paraId="023B946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（二）多层安全防护</w:t>
      </w:r>
    </w:p>
    <w:p w14:paraId="42BA249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1.</w:t>
      </w:r>
      <w:r>
        <w:rPr>
          <w:rFonts w:hint="eastAsia" w:asciiTheme="majorEastAsia" w:hAnsiTheme="majorEastAsia" w:eastAsiaTheme="majorEastAsia" w:cstheme="majorEastAsia"/>
          <w:sz w:val="24"/>
          <w:szCs w:val="24"/>
        </w:rPr>
        <w:t>多级安全控制：实现操作系统级、数据库级、应用系统级、数据操作级四级安全管控，搭配多级加密技术。</w:t>
      </w:r>
    </w:p>
    <w:p w14:paraId="7A1A8C8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2.</w:t>
      </w:r>
      <w:r>
        <w:rPr>
          <w:rFonts w:hint="eastAsia" w:asciiTheme="majorEastAsia" w:hAnsiTheme="majorEastAsia" w:eastAsiaTheme="majorEastAsia" w:cstheme="majorEastAsia"/>
          <w:sz w:val="24"/>
          <w:szCs w:val="24"/>
        </w:rPr>
        <w:t>传输与存储加密：采用 SSL 安全传输通道；关键业务数据使用 MD5 等加密算法加密存储；数据发生篡改时自动预警提醒。</w:t>
      </w:r>
    </w:p>
    <w:p w14:paraId="678DCF1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3.</w:t>
      </w:r>
      <w:r>
        <w:rPr>
          <w:rFonts w:hint="eastAsia" w:asciiTheme="majorEastAsia" w:hAnsiTheme="majorEastAsia" w:eastAsiaTheme="majorEastAsia" w:cstheme="majorEastAsia"/>
          <w:sz w:val="24"/>
          <w:szCs w:val="24"/>
        </w:rPr>
        <w:t>CA 数字证书：全面支持 CA 认证体系，使用合规机构签发的数字证书，防范数据伪造、篡改、抵赖、假冒。</w:t>
      </w:r>
    </w:p>
    <w:p w14:paraId="464E7A1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（三）安全审计与日志</w:t>
      </w:r>
    </w:p>
    <w:p w14:paraId="4BAEFBA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1.</w:t>
      </w:r>
      <w:r>
        <w:rPr>
          <w:rFonts w:hint="eastAsia" w:asciiTheme="majorEastAsia" w:hAnsiTheme="majorEastAsia" w:eastAsiaTheme="majorEastAsia" w:cstheme="majorEastAsia"/>
          <w:sz w:val="24"/>
          <w:szCs w:val="24"/>
        </w:rPr>
        <w:t>全量审计日志：完整记录操作事件时间、地址、类型、操作主体、操作结果，日志不可篡改。</w:t>
      </w:r>
    </w:p>
    <w:p w14:paraId="12F8349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2.</w:t>
      </w:r>
      <w:r>
        <w:rPr>
          <w:rFonts w:hint="eastAsia" w:asciiTheme="majorEastAsia" w:hAnsiTheme="majorEastAsia" w:eastAsiaTheme="majorEastAsia" w:cstheme="majorEastAsia"/>
          <w:sz w:val="24"/>
          <w:szCs w:val="24"/>
        </w:rPr>
        <w:t>审计范围：覆盖服务器、终端、安全设备启停；账号新增 / 删除、权限变更；管理员及普通用户全量操作等所有安全相关事件。</w:t>
      </w:r>
    </w:p>
    <w:p w14:paraId="570579C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（四）数据备份与容灾</w:t>
      </w:r>
    </w:p>
    <w:p w14:paraId="081E0F6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1.</w:t>
      </w:r>
      <w:r>
        <w:rPr>
          <w:rFonts w:hint="eastAsia" w:asciiTheme="majorEastAsia" w:hAnsiTheme="majorEastAsia" w:eastAsiaTheme="majorEastAsia" w:cstheme="majorEastAsia"/>
          <w:sz w:val="24"/>
          <w:szCs w:val="24"/>
        </w:rPr>
        <w:t>数据留存：业务数据在线保存时长不少于 3 年。</w:t>
      </w:r>
    </w:p>
    <w:p w14:paraId="0442A8A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2.</w:t>
      </w:r>
      <w:r>
        <w:rPr>
          <w:rFonts w:hint="eastAsia" w:asciiTheme="majorEastAsia" w:hAnsiTheme="majorEastAsia" w:eastAsiaTheme="majorEastAsia" w:cstheme="majorEastAsia"/>
          <w:sz w:val="24"/>
          <w:szCs w:val="24"/>
        </w:rPr>
        <w:t>备份策略：执行本地 + 异地双备份机制，定期开展备份恢复测试，支持数据归档、快速抽取与应急恢复。</w:t>
      </w:r>
    </w:p>
    <w:p w14:paraId="0C4D09A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3.</w:t>
      </w:r>
      <w:r>
        <w:rPr>
          <w:rFonts w:hint="eastAsia" w:asciiTheme="majorEastAsia" w:hAnsiTheme="majorEastAsia" w:eastAsiaTheme="majorEastAsia" w:cstheme="majorEastAsia"/>
          <w:sz w:val="24"/>
          <w:szCs w:val="24"/>
        </w:rPr>
        <w:t>应急方案：制定完善的数据应急处置、系统故障恢复方案，配备专用备份存储设备。</w:t>
      </w:r>
    </w:p>
    <w:p w14:paraId="02771BB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（五）网络安全防护</w:t>
      </w:r>
    </w:p>
    <w:p w14:paraId="2E6FE89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具备防黑客入侵、防网络攻击、防恶意访问能力，用户密码、隐私数据传输、存储均符合国家网络安全规范。</w:t>
      </w:r>
    </w:p>
    <w:p w14:paraId="163BCFC4">
      <w:pPr>
        <w:pStyle w:val="42"/>
        <w:keepNext w:val="0"/>
        <w:keepLines w:val="0"/>
        <w:pageBreakBefore w:val="0"/>
        <w:widowControl w:val="0"/>
        <w:kinsoku/>
        <w:wordWrap/>
        <w:overflowPunct/>
        <w:topLinePunct w:val="0"/>
        <w:autoSpaceDE/>
        <w:autoSpaceDN/>
        <w:bidi w:val="0"/>
        <w:adjustRightInd w:val="0"/>
        <w:snapToGrid w:val="0"/>
        <w:spacing w:line="360" w:lineRule="auto"/>
        <w:ind w:left="0" w:firstLine="482" w:firstLineChars="200"/>
        <w:contextualSpacing w:val="0"/>
        <w:textAlignment w:val="auto"/>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五、运维与监控需求</w:t>
      </w:r>
    </w:p>
    <w:p w14:paraId="0F9E5EE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（一）运维监控体系</w:t>
      </w:r>
    </w:p>
    <w:p w14:paraId="49ACAA4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1.</w:t>
      </w:r>
      <w:r>
        <w:rPr>
          <w:rFonts w:hint="eastAsia" w:asciiTheme="majorEastAsia" w:hAnsiTheme="majorEastAsia" w:eastAsiaTheme="majorEastAsia" w:cstheme="majorEastAsia"/>
          <w:sz w:val="24"/>
          <w:szCs w:val="24"/>
        </w:rPr>
        <w:t>全组件监控：实时监控分布式架构下所有服务、组件、服务器运行状态，快速定位故障、监测系统性能。</w:t>
      </w:r>
    </w:p>
    <w:p w14:paraId="000E1DA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2.</w:t>
      </w:r>
      <w:r>
        <w:rPr>
          <w:rFonts w:hint="eastAsia" w:asciiTheme="majorEastAsia" w:hAnsiTheme="majorEastAsia" w:eastAsiaTheme="majorEastAsia" w:cstheme="majorEastAsia"/>
          <w:sz w:val="24"/>
          <w:szCs w:val="24"/>
        </w:rPr>
        <w:t>统一接口监控：搭建接口统一监控平台，实时监测接口调用状态、成功率、响应速度。</w:t>
      </w:r>
    </w:p>
    <w:p w14:paraId="38941C5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3.</w:t>
      </w:r>
      <w:r>
        <w:rPr>
          <w:rFonts w:hint="eastAsia" w:asciiTheme="majorEastAsia" w:hAnsiTheme="majorEastAsia" w:eastAsiaTheme="majorEastAsia" w:cstheme="majorEastAsia"/>
          <w:sz w:val="24"/>
          <w:szCs w:val="24"/>
        </w:rPr>
        <w:t>告警机制：支持多渠道故障告警，第一时间将异常信息推送至运维负责人，为系统弹性扩容、故障处理提供数据支撑。</w:t>
      </w:r>
    </w:p>
    <w:p w14:paraId="250FB71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（二）运维能力要求</w:t>
      </w:r>
    </w:p>
    <w:p w14:paraId="66F0603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1.</w:t>
      </w:r>
      <w:r>
        <w:rPr>
          <w:rFonts w:hint="eastAsia" w:asciiTheme="majorEastAsia" w:hAnsiTheme="majorEastAsia" w:eastAsiaTheme="majorEastAsia" w:cstheme="majorEastAsia"/>
          <w:sz w:val="24"/>
          <w:szCs w:val="24"/>
        </w:rPr>
        <w:t>支持应用快速研发、部署、版本更新，适配业务快速迭代需求。</w:t>
      </w:r>
    </w:p>
    <w:p w14:paraId="2EA752C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2.</w:t>
      </w:r>
      <w:r>
        <w:rPr>
          <w:rFonts w:hint="eastAsia" w:asciiTheme="majorEastAsia" w:hAnsiTheme="majorEastAsia" w:eastAsiaTheme="majorEastAsia" w:cstheme="majorEastAsia"/>
          <w:sz w:val="24"/>
          <w:szCs w:val="24"/>
        </w:rPr>
        <w:t>提供 7×24 小时运维保障，建立常态化巡检机制。</w:t>
      </w:r>
    </w:p>
    <w:p w14:paraId="641E81DD">
      <w:pPr>
        <w:pStyle w:val="42"/>
        <w:keepNext w:val="0"/>
        <w:keepLines w:val="0"/>
        <w:pageBreakBefore w:val="0"/>
        <w:widowControl w:val="0"/>
        <w:kinsoku/>
        <w:wordWrap/>
        <w:overflowPunct/>
        <w:topLinePunct w:val="0"/>
        <w:autoSpaceDE/>
        <w:autoSpaceDN/>
        <w:bidi w:val="0"/>
        <w:adjustRightInd w:val="0"/>
        <w:snapToGrid w:val="0"/>
        <w:spacing w:line="360" w:lineRule="auto"/>
        <w:ind w:left="0" w:firstLine="482" w:firstLineChars="200"/>
        <w:contextualSpacing w:val="0"/>
        <w:textAlignment w:val="auto"/>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六、项目实施、团队与服务要求</w:t>
      </w:r>
    </w:p>
    <w:p w14:paraId="0168EDA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（一）项目实施整体要求</w:t>
      </w:r>
    </w:p>
    <w:p w14:paraId="3170F40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项目全流程分为现场调研、需求分析、系统设计、开发配置、数据梳理迁移、系统测试、上线试运行、正式验收八大阶段，双方明确分工、里程碑节点及进度保障措施。</w:t>
      </w:r>
    </w:p>
    <w:p w14:paraId="554DC53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1.</w:t>
      </w:r>
      <w:r>
        <w:rPr>
          <w:rFonts w:hint="eastAsia" w:asciiTheme="majorEastAsia" w:hAnsiTheme="majorEastAsia" w:eastAsiaTheme="majorEastAsia" w:cstheme="majorEastAsia"/>
          <w:sz w:val="24"/>
          <w:szCs w:val="24"/>
        </w:rPr>
        <w:t>数据治理：完成院内现有物料、供应商、历史发票等基础数据梳理，制定数据迁移、系统切换方案，保障数据平稳过渡。</w:t>
      </w:r>
    </w:p>
    <w:p w14:paraId="2394E30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2.</w:t>
      </w:r>
      <w:r>
        <w:rPr>
          <w:rFonts w:hint="eastAsia" w:asciiTheme="majorEastAsia" w:hAnsiTheme="majorEastAsia" w:eastAsiaTheme="majorEastAsia" w:cstheme="majorEastAsia"/>
          <w:sz w:val="24"/>
          <w:szCs w:val="24"/>
        </w:rPr>
        <w:t>实施文档：全过程留存实施日志、会议纪要、进度报告、测试报告等资料。</w:t>
      </w:r>
    </w:p>
    <w:p w14:paraId="21D683A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（二）项目人员团队配置</w:t>
      </w:r>
    </w:p>
    <w:p w14:paraId="3D86283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投标方需组建专属项目团队，人员为投标方正式员工，并提供指定时间段社保证明，项目期间人员不得擅自调离：</w:t>
      </w:r>
    </w:p>
    <w:p w14:paraId="5EC096F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1.</w:t>
      </w:r>
      <w:r>
        <w:rPr>
          <w:rFonts w:hint="eastAsia" w:asciiTheme="majorEastAsia" w:hAnsiTheme="majorEastAsia" w:eastAsiaTheme="majorEastAsia" w:cstheme="majorEastAsia"/>
          <w:sz w:val="24"/>
          <w:szCs w:val="24"/>
        </w:rPr>
        <w:t>项目负责人（1 人）：本科及以上学历，10 年以上项目管理及同类财税信息化项目经验；统筹项目全流程，协调各方资源，需求调研阶段全程驻场，其余阶段按需驻场。</w:t>
      </w:r>
    </w:p>
    <w:p w14:paraId="1D6BB62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2.</w:t>
      </w:r>
      <w:r>
        <w:rPr>
          <w:rFonts w:hint="eastAsia" w:asciiTheme="majorEastAsia" w:hAnsiTheme="majorEastAsia" w:eastAsiaTheme="majorEastAsia" w:cstheme="majorEastAsia"/>
          <w:sz w:val="24"/>
          <w:szCs w:val="24"/>
        </w:rPr>
        <w:t>开发人员（1 人及以上）：本科及以上学历，10 年以上项目开发经验；负责模块设计、接口对接、问题排查、技术文档编写，远程支持 + 按需驻场。</w:t>
      </w:r>
    </w:p>
    <w:p w14:paraId="4836DF4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3.</w:t>
      </w:r>
      <w:r>
        <w:rPr>
          <w:rFonts w:hint="eastAsia" w:asciiTheme="majorEastAsia" w:hAnsiTheme="majorEastAsia" w:eastAsiaTheme="majorEastAsia" w:cstheme="majorEastAsia"/>
          <w:sz w:val="24"/>
          <w:szCs w:val="24"/>
        </w:rPr>
        <w:t>实施人员（2 人）：本科及以上学历，5 年以上信息化项目实施经验；全程驻场，负责需求调研、系统部署、数据库配置、数据初始化、实施文档编写。</w:t>
      </w:r>
    </w:p>
    <w:p w14:paraId="7C1FEDE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4.</w:t>
      </w:r>
      <w:r>
        <w:rPr>
          <w:rFonts w:hint="eastAsia" w:asciiTheme="majorEastAsia" w:hAnsiTheme="majorEastAsia" w:eastAsiaTheme="majorEastAsia" w:cstheme="majorEastAsia"/>
          <w:sz w:val="24"/>
          <w:szCs w:val="24"/>
        </w:rPr>
        <w:t>可额外配备业务顾问，保障业务功能贴合医院实际管理要求。</w:t>
      </w:r>
    </w:p>
    <w:p w14:paraId="6FF755B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（三）项目验收要求</w:t>
      </w:r>
    </w:p>
    <w:p w14:paraId="7EA1402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1.</w:t>
      </w:r>
      <w:r>
        <w:rPr>
          <w:rFonts w:hint="eastAsia" w:asciiTheme="majorEastAsia" w:hAnsiTheme="majorEastAsia" w:eastAsiaTheme="majorEastAsia" w:cstheme="majorEastAsia"/>
          <w:sz w:val="24"/>
          <w:szCs w:val="24"/>
        </w:rPr>
        <w:t>验收依据：本需求报告、投标文件、合同、技术协议。</w:t>
      </w:r>
    </w:p>
    <w:p w14:paraId="0B26E1D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2.</w:t>
      </w:r>
      <w:r>
        <w:rPr>
          <w:rFonts w:hint="eastAsia" w:asciiTheme="majorEastAsia" w:hAnsiTheme="majorEastAsia" w:eastAsiaTheme="majorEastAsia" w:cstheme="majorEastAsia"/>
          <w:sz w:val="24"/>
          <w:szCs w:val="24"/>
        </w:rPr>
        <w:t>验收流程：系统上线试运行，运行稳定后由我院组织验收小组开展全面验收；系统故障未消除则顺延验收周期。</w:t>
      </w:r>
    </w:p>
    <w:p w14:paraId="6DB2246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3.</w:t>
      </w:r>
      <w:r>
        <w:rPr>
          <w:rFonts w:hint="eastAsia" w:asciiTheme="majorEastAsia" w:hAnsiTheme="majorEastAsia" w:eastAsiaTheme="majorEastAsia" w:cstheme="majorEastAsia"/>
          <w:sz w:val="24"/>
          <w:szCs w:val="24"/>
        </w:rPr>
        <w:t>交付资料：中标方需提供全套中文可编辑技术文档、使用手册、运维手册等资料。</w:t>
      </w:r>
    </w:p>
    <w:p w14:paraId="662B91E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（四）培训要求</w:t>
      </w:r>
    </w:p>
    <w:p w14:paraId="308A43E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分两类开展现场培训，培训前提供标准培训教材与培训计划：</w:t>
      </w:r>
    </w:p>
    <w:p w14:paraId="435B089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1.</w:t>
      </w:r>
      <w:r>
        <w:rPr>
          <w:rFonts w:hint="eastAsia" w:asciiTheme="majorEastAsia" w:hAnsiTheme="majorEastAsia" w:eastAsiaTheme="majorEastAsia" w:cstheme="majorEastAsia"/>
          <w:sz w:val="24"/>
          <w:szCs w:val="24"/>
        </w:rPr>
        <w:t>业务操作人员培训：覆盖全功能操作、日常发票处理流程，保障财务人员独立使用系统。</w:t>
      </w:r>
    </w:p>
    <w:p w14:paraId="1664B03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2.</w:t>
      </w:r>
      <w:r>
        <w:rPr>
          <w:rFonts w:hint="eastAsia" w:asciiTheme="majorEastAsia" w:hAnsiTheme="majorEastAsia" w:eastAsiaTheme="majorEastAsia" w:cstheme="majorEastAsia"/>
          <w:sz w:val="24"/>
          <w:szCs w:val="24"/>
        </w:rPr>
        <w:t>系统运维人员培训：涵盖系统部署、配置、故障排查、版本升级、数据维护等内容。</w:t>
      </w:r>
    </w:p>
    <w:p w14:paraId="2FC90C6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（五）技术转移要求</w:t>
      </w:r>
    </w:p>
    <w:p w14:paraId="4EED2D1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中标方需完成完整技术转移，交付全套中文技术文档，包含：系统部署手册、配置手册、维护文档、用户操作手册、培训手册、数据字典、接口文档等，格式为 Word/PDF。</w:t>
      </w:r>
    </w:p>
    <w:p w14:paraId="7BE6F61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（六）售后服务与质保</w:t>
      </w:r>
    </w:p>
    <w:p w14:paraId="667B8F1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1.</w:t>
      </w:r>
      <w:r>
        <w:rPr>
          <w:rFonts w:hint="eastAsia" w:asciiTheme="majorEastAsia" w:hAnsiTheme="majorEastAsia" w:eastAsiaTheme="majorEastAsia" w:cstheme="majorEastAsia"/>
          <w:sz w:val="24"/>
          <w:szCs w:val="24"/>
        </w:rPr>
        <w:t>免费质保期：项目整体验收合格之日起提供三年免费质保服务；结合业务过渡期实际需求，质保三年期间全额免收手工发票核验服务费；质保期内提供系统免费版本升级、功能优化。</w:t>
      </w:r>
    </w:p>
    <w:p w14:paraId="2D2C80B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2.</w:t>
      </w:r>
      <w:r>
        <w:rPr>
          <w:rFonts w:hint="eastAsia" w:asciiTheme="majorEastAsia" w:hAnsiTheme="majorEastAsia" w:eastAsiaTheme="majorEastAsia" w:cstheme="majorEastAsia"/>
          <w:sz w:val="24"/>
          <w:szCs w:val="24"/>
        </w:rPr>
        <w:t>服务内容：提供在线答疑、定期回访、远程运维、故障排查、适应性功能调整。</w:t>
      </w:r>
    </w:p>
    <w:p w14:paraId="1F533B9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3.</w:t>
      </w:r>
      <w:r>
        <w:rPr>
          <w:rFonts w:hint="eastAsia" w:asciiTheme="majorEastAsia" w:hAnsiTheme="majorEastAsia" w:eastAsiaTheme="majorEastAsia" w:cstheme="majorEastAsia"/>
          <w:sz w:val="24"/>
          <w:szCs w:val="24"/>
        </w:rPr>
        <w:t>现场服务：接到现场服务通知后，按承诺时限抵达现场处理问题。</w:t>
      </w:r>
    </w:p>
    <w:p w14:paraId="57219F1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4.</w:t>
      </w:r>
      <w:r>
        <w:rPr>
          <w:rFonts w:hint="eastAsia" w:asciiTheme="majorEastAsia" w:hAnsiTheme="majorEastAsia" w:eastAsiaTheme="majorEastAsia" w:cstheme="majorEastAsia"/>
          <w:sz w:val="24"/>
          <w:szCs w:val="24"/>
        </w:rPr>
        <w:t>技术支持：建设期及质保期内提供免费技术咨询、技术资料支持。</w:t>
      </w:r>
    </w:p>
    <w:p w14:paraId="3FE0242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（七）交付文档清单</w:t>
      </w:r>
    </w:p>
    <w:p w14:paraId="14D7788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项目全周期需交付以下中文可编辑文档：</w:t>
      </w:r>
    </w:p>
    <w:p w14:paraId="2937D22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1.</w:t>
      </w:r>
      <w:r>
        <w:rPr>
          <w:rFonts w:hint="eastAsia" w:asciiTheme="majorEastAsia" w:hAnsiTheme="majorEastAsia" w:eastAsiaTheme="majorEastAsia" w:cstheme="majorEastAsia"/>
          <w:sz w:val="24"/>
          <w:szCs w:val="24"/>
        </w:rPr>
        <w:t>方案类：项目实施方案、实施计划书、培训方案、技术转移方案、安全方案、集成方案。</w:t>
      </w:r>
    </w:p>
    <w:p w14:paraId="5D84CB7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2.</w:t>
      </w:r>
      <w:r>
        <w:rPr>
          <w:rFonts w:hint="eastAsia" w:asciiTheme="majorEastAsia" w:hAnsiTheme="majorEastAsia" w:eastAsiaTheme="majorEastAsia" w:cstheme="majorEastAsia"/>
          <w:sz w:val="24"/>
          <w:szCs w:val="24"/>
        </w:rPr>
        <w:t>设计类：系统需求说明书、功能设计书、技术设计书、接口文档、数据字典。</w:t>
      </w:r>
    </w:p>
    <w:p w14:paraId="4A7FB7F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3.</w:t>
      </w:r>
      <w:r>
        <w:rPr>
          <w:rFonts w:hint="eastAsia" w:asciiTheme="majorEastAsia" w:hAnsiTheme="majorEastAsia" w:eastAsiaTheme="majorEastAsia" w:cstheme="majorEastAsia"/>
          <w:sz w:val="24"/>
          <w:szCs w:val="24"/>
        </w:rPr>
        <w:t>使用类：用户手册、系统安装配置手册、运维手册。</w:t>
      </w:r>
    </w:p>
    <w:p w14:paraId="20C1E0C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4.</w:t>
      </w:r>
      <w:r>
        <w:rPr>
          <w:rFonts w:hint="eastAsia" w:asciiTheme="majorEastAsia" w:hAnsiTheme="majorEastAsia" w:eastAsiaTheme="majorEastAsia" w:cstheme="majorEastAsia"/>
          <w:sz w:val="24"/>
          <w:szCs w:val="24"/>
        </w:rPr>
        <w:t>过程类：实施日志、进度报告、会议纪要、测试报告、问题解决方案。</w:t>
      </w:r>
    </w:p>
    <w:p w14:paraId="48D97F9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5.</w:t>
      </w:r>
      <w:r>
        <w:rPr>
          <w:rFonts w:hint="eastAsia" w:asciiTheme="majorEastAsia" w:hAnsiTheme="majorEastAsia" w:eastAsiaTheme="majorEastAsia" w:cstheme="majorEastAsia"/>
          <w:sz w:val="24"/>
          <w:szCs w:val="24"/>
        </w:rPr>
        <w:t>验收类：试运行报告、验收报告、项目总结报告。</w:t>
      </w:r>
    </w:p>
    <w:p w14:paraId="5B00DEBB">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七、接口集成需求</w:t>
      </w:r>
    </w:p>
    <w:p w14:paraId="4B6D971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1.</w:t>
      </w:r>
      <w:r>
        <w:rPr>
          <w:rFonts w:hint="eastAsia" w:asciiTheme="majorEastAsia" w:hAnsiTheme="majorEastAsia" w:eastAsiaTheme="majorEastAsia" w:cstheme="majorEastAsia"/>
          <w:sz w:val="24"/>
          <w:szCs w:val="24"/>
        </w:rPr>
        <w:t>对内接口：提供标准接口与医院信息系统、费用控制系统、财务系统、现有票据系统对接，实现数据双向流转、状态同步。</w:t>
      </w:r>
    </w:p>
    <w:p w14:paraId="4649D0B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2.</w:t>
      </w:r>
      <w:r>
        <w:rPr>
          <w:rFonts w:hint="eastAsia" w:asciiTheme="majorEastAsia" w:hAnsiTheme="majorEastAsia" w:eastAsiaTheme="majorEastAsia" w:cstheme="majorEastAsia"/>
          <w:sz w:val="24"/>
          <w:szCs w:val="24"/>
        </w:rPr>
        <w:t>对外接口：对接税务系统接口，实现发票数据同步、发票查验、税务入账；支持发票数据、影像文件向周边业务系统推送。</w:t>
      </w:r>
    </w:p>
    <w:p w14:paraId="1A3ECC8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3.</w:t>
      </w:r>
      <w:r>
        <w:rPr>
          <w:rFonts w:hint="eastAsia" w:asciiTheme="majorEastAsia" w:hAnsiTheme="majorEastAsia" w:eastAsiaTheme="majorEastAsia" w:cstheme="majorEastAsia"/>
          <w:sz w:val="24"/>
          <w:szCs w:val="24"/>
        </w:rPr>
        <w:t>接口要求：明确接口清单、实现方式、加密规则、安全策略、用户授权机制，接口具备高安全性、稳定性、兼容性。</w:t>
      </w:r>
    </w:p>
    <w:p w14:paraId="445D0CE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4.</w:t>
      </w:r>
      <w:r>
        <w:rPr>
          <w:rFonts w:hint="eastAsia" w:asciiTheme="majorEastAsia" w:hAnsiTheme="majorEastAsia" w:eastAsiaTheme="majorEastAsia" w:cstheme="majorEastAsia"/>
          <w:sz w:val="24"/>
          <w:szCs w:val="24"/>
        </w:rPr>
        <w:t>第三方接口费用要求：本项目涉及税务系统、外部第三方平台等所有外部接口对接产生的接口授权费、对接开发费、系统更换等第三方相关费用，全部包含在本项目整体报价内，由中标软件公司统一承担，采购人不再另行支付任何第三方接口相关费用。具体业务平台方：前期凯唱软件及后续我院新上的大系统所涉及到相关业务需求的各模块,由医院牵头推进与相关系统方技术对接等事宜。</w:t>
      </w:r>
    </w:p>
    <w:p w14:paraId="63E1E74E">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八、软硬件选型要求</w:t>
      </w:r>
    </w:p>
    <w:p w14:paraId="6C73859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1.</w:t>
      </w:r>
      <w:r>
        <w:rPr>
          <w:rFonts w:hint="eastAsia" w:asciiTheme="majorEastAsia" w:hAnsiTheme="majorEastAsia" w:eastAsiaTheme="majorEastAsia" w:cstheme="majorEastAsia"/>
          <w:sz w:val="24"/>
          <w:szCs w:val="24"/>
        </w:rPr>
        <w:t>系统软件：选用成熟稳定的服务器操作系统、数据库软件、中间件、应用服务器，适配 J2EE 架构。</w:t>
      </w:r>
    </w:p>
    <w:p w14:paraId="26D894B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2.</w:t>
      </w:r>
      <w:r>
        <w:rPr>
          <w:rFonts w:hint="eastAsia" w:asciiTheme="majorEastAsia" w:hAnsiTheme="majorEastAsia" w:eastAsiaTheme="majorEastAsia" w:cstheme="majorEastAsia"/>
          <w:sz w:val="24"/>
          <w:szCs w:val="24"/>
        </w:rPr>
        <w:t>硬件设备：明确服务器、客户端、扫码枪、扫描仪等外围设备参数要求，提供推荐硬件配置清单。</w:t>
      </w:r>
    </w:p>
    <w:p w14:paraId="5DCD5C5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3.</w:t>
      </w:r>
      <w:r>
        <w:rPr>
          <w:rFonts w:hint="eastAsia" w:asciiTheme="majorEastAsia" w:hAnsiTheme="majorEastAsia" w:eastAsiaTheme="majorEastAsia" w:cstheme="majorEastAsia"/>
          <w:sz w:val="24"/>
          <w:szCs w:val="24"/>
        </w:rPr>
        <w:t>选型说明：详细列明所有系统软件、工具软件、中间件清单及版本、性能指标。</w:t>
      </w:r>
    </w:p>
    <w:p w14:paraId="2A5C29C2">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九、项目管理与风险管控</w:t>
      </w:r>
    </w:p>
    <w:p w14:paraId="2CBABB2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1.</w:t>
      </w:r>
      <w:r>
        <w:rPr>
          <w:rFonts w:hint="eastAsia" w:asciiTheme="majorEastAsia" w:hAnsiTheme="majorEastAsia" w:eastAsiaTheme="majorEastAsia" w:cstheme="majorEastAsia"/>
          <w:sz w:val="24"/>
          <w:szCs w:val="24"/>
        </w:rPr>
        <w:t>项目管理：建立文档、进度、沟通、人员、质量、成本全维度管理机制，严格把控各阶段节点。</w:t>
      </w:r>
    </w:p>
    <w:p w14:paraId="12AA086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2.</w:t>
      </w:r>
      <w:r>
        <w:rPr>
          <w:rFonts w:hint="eastAsia" w:asciiTheme="majorEastAsia" w:hAnsiTheme="majorEastAsia" w:eastAsiaTheme="majorEastAsia" w:cstheme="majorEastAsia"/>
          <w:sz w:val="24"/>
          <w:szCs w:val="24"/>
        </w:rPr>
        <w:t>风险管理：提前识别数据迁移、系统对接、上线运行、政策变动等风险，制定风险规避、应急处置措施。</w:t>
      </w:r>
    </w:p>
    <w:p w14:paraId="201042D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3.</w:t>
      </w:r>
      <w:r>
        <w:rPr>
          <w:rFonts w:hint="eastAsia" w:asciiTheme="majorEastAsia" w:hAnsiTheme="majorEastAsia" w:eastAsiaTheme="majorEastAsia" w:cstheme="majorEastAsia"/>
          <w:sz w:val="24"/>
          <w:szCs w:val="24"/>
        </w:rPr>
        <w:t>变更管理：建立规范的需求变更流程，所有变更留痕、评估、确认后执行。</w:t>
      </w:r>
    </w:p>
    <w:p w14:paraId="006CE260">
      <w:pPr>
        <w:pStyle w:val="42"/>
        <w:keepNext w:val="0"/>
        <w:keepLines w:val="0"/>
        <w:pageBreakBefore w:val="0"/>
        <w:widowControl w:val="0"/>
        <w:numPr>
          <w:ilvl w:val="1"/>
          <w:numId w:val="0"/>
        </w:numPr>
        <w:kinsoku/>
        <w:wordWrap/>
        <w:overflowPunct/>
        <w:topLinePunct w:val="0"/>
        <w:autoSpaceDE/>
        <w:autoSpaceDN/>
        <w:bidi w:val="0"/>
        <w:adjustRightInd w:val="0"/>
        <w:snapToGrid w:val="0"/>
        <w:spacing w:line="360" w:lineRule="auto"/>
        <w:ind w:left="0" w:leftChars="0" w:firstLine="482" w:firstLineChars="200"/>
        <w:contextualSpacing w:val="0"/>
        <w:textAlignment w:val="auto"/>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kern w:val="2"/>
          <w:sz w:val="24"/>
          <w:szCs w:val="24"/>
          <w:lang w:val="en-US" w:eastAsia="zh-CN" w:bidi="ar-SA"/>
        </w:rPr>
        <w:t>十、</w:t>
      </w:r>
      <w:r>
        <w:rPr>
          <w:rFonts w:hint="eastAsia" w:asciiTheme="majorEastAsia" w:hAnsiTheme="majorEastAsia" w:eastAsiaTheme="majorEastAsia" w:cstheme="majorEastAsia"/>
          <w:b/>
          <w:bCs/>
          <w:sz w:val="24"/>
          <w:szCs w:val="24"/>
        </w:rPr>
        <w:t>基本资格要求</w:t>
      </w:r>
    </w:p>
    <w:p w14:paraId="12FB905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1.投标人须为在中华人民共和国境内依法注册的独立法人或其他组织，遵守中国有关法律、法规，具有良好的商业信誉（提供营业执照复印件并加盖公章）；</w:t>
      </w:r>
    </w:p>
    <w:p w14:paraId="4FA69D3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bookmarkStart w:id="3" w:name="_Hlk98971087"/>
      <w:r>
        <w:rPr>
          <w:rFonts w:hint="eastAsia" w:asciiTheme="majorEastAsia" w:hAnsiTheme="majorEastAsia" w:eastAsiaTheme="majorEastAsia" w:cstheme="majorEastAsia"/>
          <w:sz w:val="24"/>
          <w:szCs w:val="24"/>
        </w:rPr>
        <w:t>2.投标人须提供2024或2025年度经会计师事务所审计的会计报表</w:t>
      </w:r>
      <w:bookmarkStart w:id="4" w:name="_Hlk96815911"/>
      <w:r>
        <w:rPr>
          <w:rFonts w:hint="eastAsia" w:asciiTheme="majorEastAsia" w:hAnsiTheme="majorEastAsia" w:eastAsiaTheme="majorEastAsia" w:cstheme="majorEastAsia"/>
          <w:sz w:val="24"/>
          <w:szCs w:val="24"/>
        </w:rPr>
        <w:t>（提供证明文件）；</w:t>
      </w:r>
    </w:p>
    <w:bookmarkEnd w:id="4"/>
    <w:p w14:paraId="6F559B9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3.供应商所提供产品具备自有软件著作权证书；</w:t>
      </w:r>
    </w:p>
    <w:p w14:paraId="4D7CB93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4.投标人须具备有效期内的ISO9000系列质量管理体系认证证书、ISO27000系列信息安全管理体系认证证书、ISO20000系列信息技术服务管理体系认证证书；</w:t>
      </w:r>
    </w:p>
    <w:p w14:paraId="17261E4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w:t>
      </w:r>
      <w:bookmarkEnd w:id="3"/>
      <w:r>
        <w:rPr>
          <w:rFonts w:hint="eastAsia" w:asciiTheme="majorEastAsia" w:hAnsiTheme="majorEastAsia" w:eastAsiaTheme="majorEastAsia" w:cstheme="majorEastAsia"/>
          <w:sz w:val="24"/>
          <w:szCs w:val="24"/>
        </w:rPr>
        <w:t>本项目不允许分包、转包；</w:t>
      </w:r>
    </w:p>
    <w:p w14:paraId="3922A05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6.本项目不接受联合体投标。</w:t>
      </w:r>
    </w:p>
    <w:p w14:paraId="2AE0DE2A">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十一、总结</w:t>
      </w:r>
    </w:p>
    <w:p w14:paraId="048336C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本查验发票管理平台围绕公立医院税务内控、发票全流程管理核心需求，以私有化部署、全票种管控、智能核验、风险防控、系统集成、安全可靠为核心目标，整合软硬件、技术架构、功能模块、实施服务、安全运维等全维度要求。平台建成后将彻底解决我院传统发票管理痛点，落实财税政策要求，强化内控管理，降低税务风险，提升财务信息化水平，并具备长期可扩展能力，适配未来业务与政策发展。</w:t>
      </w:r>
    </w:p>
    <w:p w14:paraId="0486BD4D">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Theme="majorEastAsia" w:hAnsiTheme="majorEastAsia" w:eastAsiaTheme="majorEastAsia" w:cstheme="majorEastAsia"/>
          <w:b/>
          <w:bCs/>
          <w:sz w:val="24"/>
          <w:szCs w:val="24"/>
          <w:lang w:val="en-US" w:eastAsia="zh-CN"/>
        </w:rPr>
      </w:pPr>
      <w:r>
        <w:rPr>
          <w:rFonts w:hint="eastAsia" w:asciiTheme="majorEastAsia" w:hAnsiTheme="majorEastAsia" w:eastAsiaTheme="majorEastAsia" w:cstheme="majorEastAsia"/>
          <w:b/>
          <w:bCs/>
          <w:sz w:val="24"/>
          <w:szCs w:val="24"/>
          <w:lang w:val="en-US" w:eastAsia="zh-CN"/>
        </w:rPr>
        <w:t>十二、评分标准</w:t>
      </w:r>
    </w:p>
    <w:tbl>
      <w:tblPr>
        <w:tblStyle w:val="22"/>
        <w:tblW w:w="952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0"/>
        <w:gridCol w:w="990"/>
        <w:gridCol w:w="1395"/>
        <w:gridCol w:w="5953"/>
        <w:gridCol w:w="585"/>
      </w:tblGrid>
      <w:tr w14:paraId="290F3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600" w:type="dxa"/>
            <w:tcBorders>
              <w:top w:val="single" w:color="000000" w:sz="4" w:space="0"/>
              <w:left w:val="single" w:color="000000" w:sz="4" w:space="0"/>
              <w:bottom w:val="single" w:color="000000" w:sz="4" w:space="0"/>
              <w:right w:val="single" w:color="000000" w:sz="4" w:space="0"/>
            </w:tcBorders>
            <w:shd w:val="clear" w:color="auto" w:fill="F2F3F5"/>
            <w:vAlign w:val="center"/>
          </w:tcPr>
          <w:p w14:paraId="7584CF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评审维度</w:t>
            </w:r>
          </w:p>
        </w:tc>
        <w:tc>
          <w:tcPr>
            <w:tcW w:w="990" w:type="dxa"/>
            <w:tcBorders>
              <w:top w:val="single" w:color="000000" w:sz="4" w:space="0"/>
              <w:left w:val="single" w:color="000000" w:sz="4" w:space="0"/>
              <w:bottom w:val="single" w:color="000000" w:sz="4" w:space="0"/>
              <w:right w:val="single" w:color="000000" w:sz="4" w:space="0"/>
            </w:tcBorders>
            <w:shd w:val="clear" w:color="auto" w:fill="F2F3F5"/>
            <w:vAlign w:val="center"/>
          </w:tcPr>
          <w:p w14:paraId="7082C8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分值（100分）</w:t>
            </w:r>
          </w:p>
        </w:tc>
        <w:tc>
          <w:tcPr>
            <w:tcW w:w="1395" w:type="dxa"/>
            <w:tcBorders>
              <w:top w:val="single" w:color="000000" w:sz="4" w:space="0"/>
              <w:left w:val="single" w:color="000000" w:sz="4" w:space="0"/>
              <w:bottom w:val="single" w:color="000000" w:sz="4" w:space="0"/>
              <w:right w:val="single" w:color="000000" w:sz="4" w:space="0"/>
            </w:tcBorders>
            <w:shd w:val="clear" w:color="auto" w:fill="F2F3F5"/>
            <w:vAlign w:val="center"/>
          </w:tcPr>
          <w:p w14:paraId="63A08D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评审细分项</w:t>
            </w:r>
          </w:p>
        </w:tc>
        <w:tc>
          <w:tcPr>
            <w:tcW w:w="5953" w:type="dxa"/>
            <w:tcBorders>
              <w:top w:val="single" w:color="000000" w:sz="4" w:space="0"/>
              <w:left w:val="single" w:color="000000" w:sz="4" w:space="0"/>
              <w:bottom w:val="single" w:color="000000" w:sz="4" w:space="0"/>
              <w:right w:val="single" w:color="000000" w:sz="4" w:space="0"/>
            </w:tcBorders>
            <w:shd w:val="clear" w:color="auto" w:fill="F2F3F5"/>
            <w:vAlign w:val="center"/>
          </w:tcPr>
          <w:p w14:paraId="3133C2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评分细则</w:t>
            </w:r>
          </w:p>
        </w:tc>
        <w:tc>
          <w:tcPr>
            <w:tcW w:w="585" w:type="dxa"/>
            <w:tcBorders>
              <w:top w:val="single" w:color="000000" w:sz="4" w:space="0"/>
              <w:left w:val="single" w:color="000000" w:sz="4" w:space="0"/>
              <w:bottom w:val="single" w:color="000000" w:sz="4" w:space="0"/>
              <w:right w:val="single" w:color="000000" w:sz="4" w:space="0"/>
            </w:tcBorders>
            <w:shd w:val="clear" w:color="auto" w:fill="F2F3F5"/>
            <w:vAlign w:val="center"/>
          </w:tcPr>
          <w:p w14:paraId="7F0773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打分</w:t>
            </w:r>
          </w:p>
        </w:tc>
      </w:tr>
      <w:tr w14:paraId="2071C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60D5C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2"/>
                <w:szCs w:val="22"/>
                <w:u w:val="none"/>
              </w:rPr>
            </w:pPr>
            <w:r>
              <w:rPr>
                <w:rFonts w:hint="eastAsia" w:asciiTheme="minorEastAsia" w:hAnsiTheme="minorEastAsia" w:eastAsiaTheme="minorEastAsia" w:cstheme="minorEastAsia"/>
                <w:b/>
                <w:bCs/>
                <w:i w:val="0"/>
                <w:iCs w:val="0"/>
                <w:color w:val="000000"/>
                <w:kern w:val="0"/>
                <w:sz w:val="22"/>
                <w:szCs w:val="22"/>
                <w:u w:val="none"/>
                <w:lang w:val="en-US" w:eastAsia="zh-CN" w:bidi="ar"/>
              </w:rPr>
              <w:t>价格</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D730C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2"/>
                <w:szCs w:val="22"/>
                <w:u w:val="none"/>
              </w:rPr>
            </w:pPr>
            <w:r>
              <w:rPr>
                <w:rFonts w:hint="eastAsia" w:asciiTheme="minorEastAsia" w:hAnsiTheme="minorEastAsia" w:eastAsiaTheme="minorEastAsia" w:cstheme="minorEastAsia"/>
                <w:b/>
                <w:bCs/>
                <w:i w:val="0"/>
                <w:iCs w:val="0"/>
                <w:color w:val="000000"/>
                <w:kern w:val="0"/>
                <w:sz w:val="22"/>
                <w:szCs w:val="22"/>
                <w:u w:val="none"/>
                <w:lang w:val="en-US" w:eastAsia="zh-CN" w:bidi="ar"/>
              </w:rPr>
              <w:t>30分</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1DA7D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投标报价评审（30分）</w:t>
            </w:r>
          </w:p>
        </w:tc>
        <w:tc>
          <w:tcPr>
            <w:tcW w:w="5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4F7A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1、评标基准价确定：通过资格及符合性审查的最低有效投标报价为评标基准价；报价超出采购预算最高限价的，作无效投标处理。</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892C80">
            <w:pPr>
              <w:jc w:val="center"/>
              <w:rPr>
                <w:rFonts w:hint="eastAsia" w:asciiTheme="minorEastAsia" w:hAnsiTheme="minorEastAsia" w:eastAsiaTheme="minorEastAsia" w:cstheme="minorEastAsia"/>
                <w:i w:val="0"/>
                <w:iCs w:val="0"/>
                <w:color w:val="000000"/>
                <w:sz w:val="22"/>
                <w:szCs w:val="22"/>
                <w:u w:val="none"/>
              </w:rPr>
            </w:pPr>
          </w:p>
        </w:tc>
      </w:tr>
      <w:tr w14:paraId="6FA03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660CA">
            <w:pPr>
              <w:jc w:val="center"/>
              <w:rPr>
                <w:rFonts w:hint="eastAsia" w:asciiTheme="minorEastAsia" w:hAnsiTheme="minorEastAsia" w:eastAsiaTheme="minorEastAsia" w:cstheme="minorEastAsia"/>
                <w:b/>
                <w:bCs/>
                <w:i w:val="0"/>
                <w:iCs w:val="0"/>
                <w:color w:val="000000"/>
                <w:sz w:val="22"/>
                <w:szCs w:val="22"/>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202BC">
            <w:pPr>
              <w:jc w:val="center"/>
              <w:rPr>
                <w:rFonts w:hint="eastAsia" w:asciiTheme="minorEastAsia" w:hAnsiTheme="minorEastAsia" w:eastAsiaTheme="minorEastAsia" w:cstheme="minorEastAsia"/>
                <w:b/>
                <w:bCs/>
                <w:i w:val="0"/>
                <w:iCs w:val="0"/>
                <w:color w:val="000000"/>
                <w:sz w:val="22"/>
                <w:szCs w:val="22"/>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8DC82">
            <w:pPr>
              <w:rPr>
                <w:rFonts w:hint="eastAsia" w:asciiTheme="minorEastAsia" w:hAnsiTheme="minorEastAsia" w:eastAsiaTheme="minorEastAsia" w:cstheme="minorEastAsia"/>
                <w:i w:val="0"/>
                <w:iCs w:val="0"/>
                <w:color w:val="000000"/>
                <w:sz w:val="22"/>
                <w:szCs w:val="22"/>
                <w:u w:val="none"/>
              </w:rPr>
            </w:pPr>
          </w:p>
        </w:tc>
        <w:tc>
          <w:tcPr>
            <w:tcW w:w="5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FEAE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2、价格得分计算公式：价格得分=（评标基准价÷投标报价）×30，结果保留两位小数。</w:t>
            </w: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6E583">
            <w:pPr>
              <w:jc w:val="center"/>
              <w:rPr>
                <w:rFonts w:hint="eastAsia" w:asciiTheme="minorEastAsia" w:hAnsiTheme="minorEastAsia" w:eastAsiaTheme="minorEastAsia" w:cstheme="minorEastAsia"/>
                <w:i w:val="0"/>
                <w:iCs w:val="0"/>
                <w:color w:val="000000"/>
                <w:sz w:val="22"/>
                <w:szCs w:val="22"/>
                <w:u w:val="none"/>
              </w:rPr>
            </w:pPr>
          </w:p>
        </w:tc>
      </w:tr>
      <w:tr w14:paraId="11BAA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5"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FDCFE">
            <w:pPr>
              <w:jc w:val="center"/>
              <w:rPr>
                <w:rFonts w:hint="eastAsia" w:asciiTheme="minorEastAsia" w:hAnsiTheme="minorEastAsia" w:eastAsiaTheme="minorEastAsia" w:cstheme="minorEastAsia"/>
                <w:b/>
                <w:bCs/>
                <w:i w:val="0"/>
                <w:iCs w:val="0"/>
                <w:color w:val="000000"/>
                <w:sz w:val="22"/>
                <w:szCs w:val="22"/>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B5B7B">
            <w:pPr>
              <w:jc w:val="center"/>
              <w:rPr>
                <w:rFonts w:hint="eastAsia" w:asciiTheme="minorEastAsia" w:hAnsiTheme="minorEastAsia" w:eastAsiaTheme="minorEastAsia" w:cstheme="minorEastAsia"/>
                <w:b/>
                <w:bCs/>
                <w:i w:val="0"/>
                <w:iCs w:val="0"/>
                <w:color w:val="000000"/>
                <w:sz w:val="22"/>
                <w:szCs w:val="22"/>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D0556">
            <w:pPr>
              <w:rPr>
                <w:rFonts w:hint="eastAsia" w:asciiTheme="minorEastAsia" w:hAnsiTheme="minorEastAsia" w:eastAsiaTheme="minorEastAsia" w:cstheme="minorEastAsia"/>
                <w:i w:val="0"/>
                <w:iCs w:val="0"/>
                <w:color w:val="000000"/>
                <w:sz w:val="22"/>
                <w:szCs w:val="22"/>
                <w:u w:val="none"/>
              </w:rPr>
            </w:pPr>
          </w:p>
        </w:tc>
        <w:tc>
          <w:tcPr>
            <w:tcW w:w="5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B50B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低价风险管控：依据江苏省财政厅文件《江苏省财政厅转发财政部关于推动解决政府采购异常低价问题的通知》（苏财购〔2026〕36号），若存在投标报价低于全部通过符合性审查供应商投标报价平均值或次低报价的50%、投标报价低于采购项目最高限价的45%等情况，投标人需提供具体成本测算等与报价合理性相关的书面说明及必要的证明材料，由评审委员会对报价合理性进行判断；投标人不能提供书面说明、证明材料的、或其提供的材料不能证明报价合理性的，评审委员会应当作无效投标处理。</w:t>
            </w: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09904">
            <w:pPr>
              <w:jc w:val="center"/>
              <w:rPr>
                <w:rFonts w:hint="eastAsia" w:asciiTheme="minorEastAsia" w:hAnsiTheme="minorEastAsia" w:eastAsiaTheme="minorEastAsia" w:cstheme="minorEastAsia"/>
                <w:i w:val="0"/>
                <w:iCs w:val="0"/>
                <w:color w:val="000000"/>
                <w:sz w:val="22"/>
                <w:szCs w:val="22"/>
                <w:u w:val="none"/>
              </w:rPr>
            </w:pPr>
          </w:p>
        </w:tc>
      </w:tr>
      <w:tr w14:paraId="20931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90" w:hRule="atLeast"/>
        </w:trPr>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580C9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2"/>
                <w:szCs w:val="22"/>
                <w:u w:val="none"/>
              </w:rPr>
            </w:pPr>
            <w:r>
              <w:rPr>
                <w:rFonts w:hint="eastAsia" w:asciiTheme="minorEastAsia" w:hAnsiTheme="minorEastAsia" w:eastAsiaTheme="minorEastAsia" w:cstheme="minorEastAsia"/>
                <w:b/>
                <w:bCs/>
                <w:i w:val="0"/>
                <w:iCs w:val="0"/>
                <w:color w:val="000000"/>
                <w:kern w:val="0"/>
                <w:sz w:val="22"/>
                <w:szCs w:val="22"/>
                <w:u w:val="none"/>
                <w:lang w:val="en-US" w:eastAsia="zh-CN" w:bidi="ar"/>
              </w:rPr>
              <w:t>方案</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6C1F8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2"/>
                <w:szCs w:val="22"/>
                <w:u w:val="none"/>
              </w:rPr>
            </w:pPr>
            <w:r>
              <w:rPr>
                <w:rFonts w:hint="eastAsia" w:asciiTheme="minorEastAsia" w:hAnsiTheme="minorEastAsia" w:eastAsiaTheme="minorEastAsia" w:cstheme="minorEastAsia"/>
                <w:b/>
                <w:bCs/>
                <w:i w:val="0"/>
                <w:iCs w:val="0"/>
                <w:color w:val="000000"/>
                <w:kern w:val="0"/>
                <w:sz w:val="22"/>
                <w:szCs w:val="22"/>
                <w:u w:val="none"/>
                <w:lang w:val="en-US" w:eastAsia="zh-CN" w:bidi="ar"/>
              </w:rPr>
              <w:t>30分</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1A23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1、整体技术方案可行性（10分）</w:t>
            </w:r>
          </w:p>
        </w:tc>
        <w:tc>
          <w:tcPr>
            <w:tcW w:w="5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4C53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根据投标人提供的系统架构设计、技术实现路径、数据安全方案、风险防控方案、落地实施流程进行综合评审：方案完整、详细、科学合理、贴合医院业务场景、技术先进、能结合项目特点制定方案、落地性极强，得10分；方案基本可行、无明显漏洞，得6分；方案简陋、适配性差、存在明显缺陷，得4分。</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5598E">
            <w:pPr>
              <w:rPr>
                <w:rFonts w:hint="eastAsia" w:asciiTheme="minorEastAsia" w:hAnsiTheme="minorEastAsia" w:eastAsiaTheme="minorEastAsia" w:cstheme="minorEastAsia"/>
                <w:i w:val="0"/>
                <w:iCs w:val="0"/>
                <w:color w:val="000000"/>
                <w:sz w:val="22"/>
                <w:szCs w:val="22"/>
                <w:u w:val="none"/>
              </w:rPr>
            </w:pPr>
          </w:p>
        </w:tc>
      </w:tr>
      <w:tr w14:paraId="50A71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9A7B3">
            <w:pPr>
              <w:jc w:val="center"/>
              <w:rPr>
                <w:rFonts w:hint="eastAsia" w:asciiTheme="minorEastAsia" w:hAnsiTheme="minorEastAsia" w:eastAsiaTheme="minorEastAsia" w:cstheme="minorEastAsia"/>
                <w:b/>
                <w:bCs/>
                <w:i w:val="0"/>
                <w:iCs w:val="0"/>
                <w:color w:val="000000"/>
                <w:sz w:val="22"/>
                <w:szCs w:val="22"/>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DAD4D">
            <w:pPr>
              <w:jc w:val="center"/>
              <w:rPr>
                <w:rFonts w:hint="eastAsia" w:asciiTheme="minorEastAsia" w:hAnsiTheme="minorEastAsia" w:eastAsiaTheme="minorEastAsia" w:cstheme="minorEastAsia"/>
                <w:b/>
                <w:bCs/>
                <w:i w:val="0"/>
                <w:iCs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7E08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2、项目实施与培训方案（10分）</w:t>
            </w:r>
          </w:p>
        </w:tc>
        <w:tc>
          <w:tcPr>
            <w:tcW w:w="5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EE04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结合项目工期规划、现场实施流程、院内人员操作培训、上线试运行方案、验收标准等内容综合评审：方案详实完善、工期合理、培训体系完整、验收规范，得10分；方案基本完整，得5分；方案缺失关键环节、规划混乱，得2分。</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45785">
            <w:pPr>
              <w:rPr>
                <w:rFonts w:hint="eastAsia" w:asciiTheme="minorEastAsia" w:hAnsiTheme="minorEastAsia" w:eastAsiaTheme="minorEastAsia" w:cstheme="minorEastAsia"/>
                <w:i w:val="0"/>
                <w:iCs w:val="0"/>
                <w:color w:val="000000"/>
                <w:sz w:val="22"/>
                <w:szCs w:val="22"/>
                <w:u w:val="none"/>
              </w:rPr>
            </w:pPr>
          </w:p>
        </w:tc>
      </w:tr>
      <w:tr w14:paraId="3F3F0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45"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32B6C">
            <w:pPr>
              <w:jc w:val="center"/>
              <w:rPr>
                <w:rFonts w:hint="eastAsia" w:asciiTheme="minorEastAsia" w:hAnsiTheme="minorEastAsia" w:eastAsiaTheme="minorEastAsia" w:cstheme="minorEastAsia"/>
                <w:b/>
                <w:bCs/>
                <w:i w:val="0"/>
                <w:iCs w:val="0"/>
                <w:color w:val="000000"/>
                <w:sz w:val="22"/>
                <w:szCs w:val="22"/>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98AC3">
            <w:pPr>
              <w:jc w:val="center"/>
              <w:rPr>
                <w:rFonts w:hint="eastAsia" w:asciiTheme="minorEastAsia" w:hAnsiTheme="minorEastAsia" w:eastAsiaTheme="minorEastAsia" w:cstheme="minorEastAsia"/>
                <w:b/>
                <w:bCs/>
                <w:i w:val="0"/>
                <w:iCs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4B0E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3、数据安全与保密方案（10分）</w:t>
            </w:r>
          </w:p>
        </w:tc>
        <w:tc>
          <w:tcPr>
            <w:tcW w:w="5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62AA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针对医院发票数据、财务数据的安全存储、传输加密、权限管控、数据备份、防泄露、合规归档等方案综合评审：方案包括但不限于保密范围、保密措施、保密承诺等内容,全面严谨、符合医疗数据安全规范，得10分；方案基本满足需求，得4分；无专项安全方案不得分。</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86D8E">
            <w:pPr>
              <w:rPr>
                <w:rFonts w:hint="eastAsia" w:asciiTheme="minorEastAsia" w:hAnsiTheme="minorEastAsia" w:eastAsiaTheme="minorEastAsia" w:cstheme="minorEastAsia"/>
                <w:i w:val="0"/>
                <w:iCs w:val="0"/>
                <w:color w:val="000000"/>
                <w:sz w:val="22"/>
                <w:szCs w:val="22"/>
                <w:u w:val="none"/>
              </w:rPr>
            </w:pPr>
          </w:p>
        </w:tc>
      </w:tr>
      <w:tr w14:paraId="00BB6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79374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2"/>
                <w:szCs w:val="22"/>
                <w:u w:val="none"/>
              </w:rPr>
            </w:pPr>
            <w:r>
              <w:rPr>
                <w:rFonts w:hint="eastAsia" w:asciiTheme="minorEastAsia" w:hAnsiTheme="minorEastAsia" w:eastAsiaTheme="minorEastAsia" w:cstheme="minorEastAsia"/>
                <w:b/>
                <w:bCs/>
                <w:i w:val="0"/>
                <w:iCs w:val="0"/>
                <w:color w:val="000000"/>
                <w:kern w:val="0"/>
                <w:sz w:val="22"/>
                <w:szCs w:val="22"/>
                <w:u w:val="none"/>
                <w:lang w:val="en-US" w:eastAsia="zh-CN" w:bidi="ar"/>
              </w:rPr>
              <w:t>技术</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089FE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2"/>
                <w:szCs w:val="22"/>
                <w:u w:val="none"/>
              </w:rPr>
            </w:pPr>
            <w:r>
              <w:rPr>
                <w:rFonts w:hint="eastAsia" w:asciiTheme="minorEastAsia" w:hAnsiTheme="minorEastAsia" w:eastAsiaTheme="minorEastAsia" w:cstheme="minorEastAsia"/>
                <w:b/>
                <w:bCs/>
                <w:i w:val="0"/>
                <w:iCs w:val="0"/>
                <w:color w:val="000000"/>
                <w:kern w:val="0"/>
                <w:sz w:val="22"/>
                <w:szCs w:val="22"/>
                <w:u w:val="none"/>
                <w:lang w:val="en-US" w:eastAsia="zh-CN" w:bidi="ar"/>
              </w:rPr>
              <w:t>20分</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3549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1、系统核心功能适配（16分）</w:t>
            </w:r>
          </w:p>
        </w:tc>
        <w:tc>
          <w:tcPr>
            <w:tcW w:w="5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A615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支持税务直连对接税务系统，支持数电发票、纸质发票批量核验、真伪查验、重复报销拦截、错票废票识别，发票税务入账（锁票）完全满足医院财务风控需求，得10分（提供相关截图）；缺少任意一项核心功能，每项扣2分，扣完为止。（2）支持历史发票回溯核验（近5-8年发票数据校验）、发票数据统计分析、风险发票台账自动生成，功能完整完善，得6分；功能缺失或不完善，每项扣2分，扣完为止。</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B8E41">
            <w:pPr>
              <w:rPr>
                <w:rFonts w:hint="eastAsia" w:asciiTheme="minorEastAsia" w:hAnsiTheme="minorEastAsia" w:eastAsiaTheme="minorEastAsia" w:cstheme="minorEastAsia"/>
                <w:i w:val="0"/>
                <w:iCs w:val="0"/>
                <w:color w:val="000000"/>
                <w:sz w:val="22"/>
                <w:szCs w:val="22"/>
                <w:u w:val="none"/>
              </w:rPr>
            </w:pPr>
          </w:p>
        </w:tc>
      </w:tr>
      <w:tr w14:paraId="49F39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5"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B2E2A">
            <w:pPr>
              <w:jc w:val="center"/>
              <w:rPr>
                <w:rFonts w:hint="eastAsia" w:asciiTheme="minorEastAsia" w:hAnsiTheme="minorEastAsia" w:eastAsiaTheme="minorEastAsia" w:cstheme="minorEastAsia"/>
                <w:b/>
                <w:bCs/>
                <w:i w:val="0"/>
                <w:iCs w:val="0"/>
                <w:color w:val="000000"/>
                <w:sz w:val="22"/>
                <w:szCs w:val="22"/>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CDACC">
            <w:pPr>
              <w:jc w:val="center"/>
              <w:rPr>
                <w:rFonts w:hint="eastAsia" w:asciiTheme="minorEastAsia" w:hAnsiTheme="minorEastAsia" w:eastAsiaTheme="minorEastAsia" w:cstheme="minorEastAsia"/>
                <w:b/>
                <w:bCs/>
                <w:i w:val="0"/>
                <w:iCs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2C07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2、项目团队配置（4分）</w:t>
            </w:r>
          </w:p>
        </w:tc>
        <w:tc>
          <w:tcPr>
            <w:tcW w:w="5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563B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（1）配备专属项目经理，10 年以上项目管理及同类财税信息化项目经验；开发人员10 年以上项目开发经验，团队架构完整得2分（提供劳动合同复印件）；人员配置缺失扣2分。（2）团队人员具备计算机技术与软件专业技术资格证书的，每证得1分，最高2分（提供证书复印件及劳动合同）。</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注意：投标人需提供为项目团队人员缴纳的近3个月的任意一个月的社保证明。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0E9FF">
            <w:pPr>
              <w:rPr>
                <w:rFonts w:hint="eastAsia" w:asciiTheme="minorEastAsia" w:hAnsiTheme="minorEastAsia" w:eastAsiaTheme="minorEastAsia" w:cstheme="minorEastAsia"/>
                <w:i w:val="0"/>
                <w:iCs w:val="0"/>
                <w:color w:val="000000"/>
                <w:sz w:val="22"/>
                <w:szCs w:val="22"/>
                <w:u w:val="none"/>
              </w:rPr>
            </w:pPr>
          </w:p>
        </w:tc>
      </w:tr>
      <w:tr w14:paraId="7348F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B5C4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2"/>
                <w:szCs w:val="22"/>
                <w:u w:val="none"/>
              </w:rPr>
            </w:pPr>
            <w:r>
              <w:rPr>
                <w:rFonts w:hint="eastAsia" w:asciiTheme="minorEastAsia" w:hAnsiTheme="minorEastAsia" w:eastAsiaTheme="minorEastAsia" w:cstheme="minorEastAsia"/>
                <w:b/>
                <w:bCs/>
                <w:i w:val="0"/>
                <w:iCs w:val="0"/>
                <w:color w:val="000000"/>
                <w:kern w:val="0"/>
                <w:sz w:val="22"/>
                <w:szCs w:val="22"/>
                <w:u w:val="none"/>
                <w:lang w:val="en-US" w:eastAsia="zh-CN" w:bidi="ar"/>
              </w:rPr>
              <w:t>售后</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47D3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2"/>
                <w:szCs w:val="22"/>
                <w:u w:val="none"/>
              </w:rPr>
            </w:pPr>
            <w:r>
              <w:rPr>
                <w:rFonts w:hint="eastAsia" w:asciiTheme="minorEastAsia" w:hAnsiTheme="minorEastAsia" w:eastAsiaTheme="minorEastAsia" w:cstheme="minorEastAsia"/>
                <w:b/>
                <w:bCs/>
                <w:i w:val="0"/>
                <w:iCs w:val="0"/>
                <w:color w:val="000000"/>
                <w:kern w:val="0"/>
                <w:sz w:val="22"/>
                <w:szCs w:val="22"/>
                <w:u w:val="none"/>
                <w:lang w:val="en-US" w:eastAsia="zh-CN" w:bidi="ar"/>
              </w:rPr>
              <w:t>10分</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A78F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售后与增值服务能力（10分）</w:t>
            </w:r>
          </w:p>
        </w:tc>
        <w:tc>
          <w:tcPr>
            <w:tcW w:w="5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EF1C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系统售后与迭代优化能力（三年免费质保服务），售后满足院方需求，定制化开发适配能力、长期技术支持、增值功能拓展服务等，服务完善、拓展性强得10分；基本满足需求得5分，无增值服务不得分。</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0F56D">
            <w:pPr>
              <w:rPr>
                <w:rFonts w:hint="eastAsia" w:asciiTheme="minorEastAsia" w:hAnsiTheme="minorEastAsia" w:eastAsiaTheme="minorEastAsia" w:cstheme="minorEastAsia"/>
                <w:i w:val="0"/>
                <w:iCs w:val="0"/>
                <w:color w:val="000000"/>
                <w:sz w:val="22"/>
                <w:szCs w:val="22"/>
                <w:u w:val="none"/>
              </w:rPr>
            </w:pPr>
          </w:p>
        </w:tc>
      </w:tr>
      <w:tr w14:paraId="02A8C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15BD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2"/>
                <w:szCs w:val="22"/>
                <w:u w:val="none"/>
              </w:rPr>
            </w:pPr>
            <w:r>
              <w:rPr>
                <w:rFonts w:hint="eastAsia" w:asciiTheme="minorEastAsia" w:hAnsiTheme="minorEastAsia" w:eastAsiaTheme="minorEastAsia" w:cstheme="minorEastAsia"/>
                <w:b/>
                <w:bCs/>
                <w:i w:val="0"/>
                <w:iCs w:val="0"/>
                <w:color w:val="000000"/>
                <w:kern w:val="0"/>
                <w:sz w:val="22"/>
                <w:szCs w:val="22"/>
                <w:u w:val="none"/>
                <w:lang w:val="en-US" w:eastAsia="zh-CN" w:bidi="ar"/>
              </w:rPr>
              <w:t>资质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9560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2"/>
                <w:szCs w:val="22"/>
                <w:u w:val="none"/>
              </w:rPr>
            </w:pPr>
            <w:r>
              <w:rPr>
                <w:rFonts w:hint="eastAsia" w:asciiTheme="minorEastAsia" w:hAnsiTheme="minorEastAsia" w:eastAsiaTheme="minorEastAsia" w:cstheme="minorEastAsia"/>
                <w:b/>
                <w:bCs/>
                <w:i w:val="0"/>
                <w:iCs w:val="0"/>
                <w:color w:val="000000"/>
                <w:kern w:val="0"/>
                <w:sz w:val="22"/>
                <w:szCs w:val="22"/>
                <w:u w:val="none"/>
                <w:lang w:val="en-US" w:eastAsia="zh-CN" w:bidi="ar"/>
              </w:rPr>
              <w:t>5分</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2259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产品资质与合规性（5分）</w:t>
            </w:r>
          </w:p>
        </w:tc>
        <w:tc>
          <w:tcPr>
            <w:tcW w:w="5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46E8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投标公司具备软件著作权证书、信息安全管理体系认证证书、具有CMMI三级及以上证书、高新技术企业证书、信息技术服务标准符合性证书，每提供1份，得1分，最高得5分。（2）无法提供证书复印件，资质证书过期、伪造、信息不符的，本项计0分。</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2E43B">
            <w:pPr>
              <w:rPr>
                <w:rFonts w:hint="eastAsia" w:asciiTheme="minorEastAsia" w:hAnsiTheme="minorEastAsia" w:eastAsiaTheme="minorEastAsia" w:cstheme="minorEastAsia"/>
                <w:i w:val="0"/>
                <w:iCs w:val="0"/>
                <w:color w:val="000000"/>
                <w:sz w:val="22"/>
                <w:szCs w:val="22"/>
                <w:u w:val="none"/>
              </w:rPr>
            </w:pPr>
          </w:p>
        </w:tc>
      </w:tr>
      <w:tr w14:paraId="19D14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52E4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2"/>
                <w:szCs w:val="22"/>
                <w:u w:val="none"/>
              </w:rPr>
            </w:pPr>
            <w:r>
              <w:rPr>
                <w:rFonts w:hint="eastAsia" w:asciiTheme="minorEastAsia" w:hAnsiTheme="minorEastAsia" w:eastAsiaTheme="minorEastAsia" w:cstheme="minorEastAsia"/>
                <w:b/>
                <w:bCs/>
                <w:i w:val="0"/>
                <w:iCs w:val="0"/>
                <w:color w:val="000000"/>
                <w:kern w:val="0"/>
                <w:sz w:val="22"/>
                <w:szCs w:val="22"/>
                <w:u w:val="none"/>
                <w:lang w:val="en-US" w:eastAsia="zh-CN" w:bidi="ar"/>
              </w:rPr>
              <w:t>业绩</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34C8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2"/>
                <w:szCs w:val="22"/>
                <w:u w:val="none"/>
              </w:rPr>
            </w:pPr>
            <w:r>
              <w:rPr>
                <w:rFonts w:hint="eastAsia" w:asciiTheme="minorEastAsia" w:hAnsiTheme="minorEastAsia" w:eastAsiaTheme="minorEastAsia" w:cstheme="minorEastAsia"/>
                <w:b/>
                <w:bCs/>
                <w:i w:val="0"/>
                <w:iCs w:val="0"/>
                <w:color w:val="000000"/>
                <w:kern w:val="0"/>
                <w:sz w:val="22"/>
                <w:szCs w:val="22"/>
                <w:u w:val="none"/>
                <w:lang w:val="en-US" w:eastAsia="zh-CN" w:bidi="ar"/>
              </w:rPr>
              <w:t>5分</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18EA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企业同类项目业绩（5分）</w:t>
            </w:r>
          </w:p>
        </w:tc>
        <w:tc>
          <w:tcPr>
            <w:tcW w:w="5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3A91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近5年内公立医院税务增值税发票（电子发票、纸质发票、数电发票）相关的管理、查验平台系统落地项目业绩，每提供1个完整业绩得1分，最高5分。（2）提供合同复印件。合同复印件应能清晰体现合同甲乙双方、合同时间、合同主要内容等，否则不计分。（3）非公立医院项目不计分。</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CA8D0">
            <w:pPr>
              <w:rPr>
                <w:rFonts w:hint="eastAsia" w:asciiTheme="minorEastAsia" w:hAnsiTheme="minorEastAsia" w:eastAsiaTheme="minorEastAsia" w:cstheme="minorEastAsia"/>
                <w:i w:val="0"/>
                <w:iCs w:val="0"/>
                <w:color w:val="000000"/>
                <w:sz w:val="22"/>
                <w:szCs w:val="22"/>
                <w:u w:val="none"/>
              </w:rPr>
            </w:pPr>
          </w:p>
        </w:tc>
      </w:tr>
    </w:tbl>
    <w:p w14:paraId="7D631DF4">
      <w:pPr>
        <w:rPr>
          <w:rFonts w:ascii="宋体" w:hAnsi="宋体"/>
          <w:color w:val="000000" w:themeColor="text1"/>
          <w14:textFill>
            <w14:solidFill>
              <w14:schemeClr w14:val="tx1"/>
            </w14:solidFill>
          </w14:textFill>
        </w:rPr>
      </w:pPr>
    </w:p>
    <w:p w14:paraId="18163DF0">
      <w:pPr>
        <w:pStyle w:val="65"/>
        <w:ind w:firstLine="0" w:firstLineChars="0"/>
        <w:rPr>
          <w:rFonts w:ascii="宋体" w:hAnsi="宋体"/>
          <w:b/>
          <w:color w:val="000000" w:themeColor="text1"/>
          <w14:textFill>
            <w14:solidFill>
              <w14:schemeClr w14:val="tx1"/>
            </w14:solidFill>
          </w14:textFill>
        </w:rPr>
      </w:pPr>
    </w:p>
    <w:p w14:paraId="2852F05D">
      <w:pPr>
        <w:rPr>
          <w:rFonts w:ascii="宋体" w:hAnsi="宋体"/>
          <w:color w:val="000000" w:themeColor="text1"/>
          <w14:textFill>
            <w14:solidFill>
              <w14:schemeClr w14:val="tx1"/>
            </w14:solidFill>
          </w14:textFill>
        </w:rPr>
      </w:pPr>
    </w:p>
    <w:p w14:paraId="7F9037FF">
      <w:pPr>
        <w:pStyle w:val="28"/>
      </w:pPr>
    </w:p>
    <w:p w14:paraId="5978649C">
      <w:pPr>
        <w:pStyle w:val="28"/>
      </w:pPr>
    </w:p>
    <w:p w14:paraId="7AB89BFF">
      <w:pPr>
        <w:pStyle w:val="28"/>
      </w:pPr>
    </w:p>
    <w:p w14:paraId="174571FC">
      <w:pPr>
        <w:pStyle w:val="28"/>
      </w:pPr>
    </w:p>
    <w:p w14:paraId="4B608B71">
      <w:pPr>
        <w:pStyle w:val="28"/>
        <w:rPr>
          <w:rFonts w:hint="eastAsia"/>
        </w:rPr>
      </w:pPr>
    </w:p>
    <w:p w14:paraId="45955279">
      <w:pPr>
        <w:pStyle w:val="28"/>
      </w:pPr>
    </w:p>
    <w:p w14:paraId="0CE1ABE6">
      <w:pPr>
        <w:rPr>
          <w:rFonts w:hint="eastAsia"/>
          <w:b/>
          <w:sz w:val="32"/>
          <w:szCs w:val="32"/>
        </w:rPr>
      </w:pPr>
      <w:r>
        <w:rPr>
          <w:rFonts w:hint="eastAsia"/>
          <w:b/>
          <w:sz w:val="32"/>
          <w:szCs w:val="32"/>
        </w:rPr>
        <w:br w:type="page"/>
      </w:r>
    </w:p>
    <w:p w14:paraId="56C58066">
      <w:pPr>
        <w:jc w:val="center"/>
        <w:rPr>
          <w:b/>
          <w:sz w:val="32"/>
          <w:szCs w:val="32"/>
        </w:rPr>
      </w:pPr>
      <w:r>
        <w:rPr>
          <w:rFonts w:hint="eastAsia"/>
          <w:b/>
          <w:sz w:val="32"/>
          <w:szCs w:val="32"/>
        </w:rPr>
        <w:t>三、投标人须知</w:t>
      </w:r>
      <w:bookmarkEnd w:id="2"/>
    </w:p>
    <w:p w14:paraId="71DB9ED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b/>
          <w:sz w:val="28"/>
          <w:szCs w:val="28"/>
        </w:rPr>
      </w:pPr>
      <w:r>
        <w:rPr>
          <w:rFonts w:hint="eastAsia"/>
          <w:b/>
          <w:sz w:val="28"/>
          <w:szCs w:val="28"/>
        </w:rPr>
        <w:t>（一）编制要求</w:t>
      </w:r>
    </w:p>
    <w:p w14:paraId="63083ED8">
      <w:pPr>
        <w:keepNext w:val="0"/>
        <w:keepLines w:val="0"/>
        <w:pageBreakBefore w:val="0"/>
        <w:widowControl w:val="0"/>
        <w:tabs>
          <w:tab w:val="left" w:pos="9214"/>
        </w:tabs>
        <w:kinsoku/>
        <w:wordWrap/>
        <w:overflowPunct/>
        <w:topLinePunct w:val="0"/>
        <w:autoSpaceDE/>
        <w:autoSpaceDN/>
        <w:bidi w:val="0"/>
        <w:adjustRightInd w:val="0"/>
        <w:snapToGrid w:val="0"/>
        <w:spacing w:line="360" w:lineRule="auto"/>
        <w:ind w:left="0" w:leftChars="0" w:right="0" w:rightChars="0" w:firstLine="480" w:firstLineChars="200"/>
        <w:contextualSpacing/>
        <w:jc w:val="both"/>
        <w:textAlignment w:val="auto"/>
        <w:rPr>
          <w:rFonts w:ascii="宋体" w:hAnsi="宋体"/>
          <w:sz w:val="24"/>
          <w:szCs w:val="24"/>
        </w:rPr>
      </w:pPr>
      <w:bookmarkStart w:id="5" w:name="_Toc39744254"/>
      <w:r>
        <w:rPr>
          <w:rFonts w:hint="eastAsia" w:ascii="宋体" w:hAnsi="宋体"/>
          <w:sz w:val="24"/>
          <w:szCs w:val="24"/>
        </w:rPr>
        <w:t>1、投标人应在仔细阅读谈判文件的基础上，按招标方要求认真编写投标文件，并加盖投标单位公章。投标人提供的投标文件必须真实、详尽。所有投标文件须有总目录和总页码，每份标书从起始页依次插入连续的页码。投标文件袋须密封良好并加盖骑缝印章，送达指定地点，逾时送交的材料概不接受。</w:t>
      </w:r>
    </w:p>
    <w:p w14:paraId="4E5FCF04">
      <w:pPr>
        <w:keepNext w:val="0"/>
        <w:keepLines w:val="0"/>
        <w:pageBreakBefore w:val="0"/>
        <w:widowControl w:val="0"/>
        <w:tabs>
          <w:tab w:val="left" w:pos="9214"/>
        </w:tabs>
        <w:kinsoku/>
        <w:wordWrap/>
        <w:overflowPunct/>
        <w:topLinePunct w:val="0"/>
        <w:autoSpaceDE/>
        <w:autoSpaceDN/>
        <w:bidi w:val="0"/>
        <w:adjustRightInd w:val="0"/>
        <w:snapToGrid w:val="0"/>
        <w:spacing w:line="360" w:lineRule="auto"/>
        <w:ind w:left="0" w:leftChars="0" w:right="0" w:rightChars="0" w:firstLine="480" w:firstLineChars="200"/>
        <w:contextualSpacing/>
        <w:jc w:val="both"/>
        <w:textAlignment w:val="auto"/>
        <w:rPr>
          <w:rFonts w:ascii="宋体" w:hAnsi="宋体"/>
          <w:sz w:val="24"/>
          <w:szCs w:val="24"/>
        </w:rPr>
      </w:pPr>
      <w:r>
        <w:rPr>
          <w:rFonts w:hint="eastAsia" w:ascii="宋体" w:hAnsi="宋体"/>
          <w:sz w:val="24"/>
          <w:szCs w:val="24"/>
        </w:rPr>
        <w:t>2、投标人在收到谈判文件后，若有疑问应以书面形式（包括书面文字、传真、电子邮件等）在规定时间前向招标人提出。招标人将所有问题集中后在统一答复所有投标人。</w:t>
      </w:r>
    </w:p>
    <w:p w14:paraId="4C95B188">
      <w:pPr>
        <w:keepNext w:val="0"/>
        <w:keepLines w:val="0"/>
        <w:pageBreakBefore w:val="0"/>
        <w:widowControl w:val="0"/>
        <w:tabs>
          <w:tab w:val="left" w:pos="9214"/>
        </w:tabs>
        <w:kinsoku/>
        <w:wordWrap/>
        <w:overflowPunct/>
        <w:topLinePunct w:val="0"/>
        <w:autoSpaceDE/>
        <w:autoSpaceDN/>
        <w:bidi w:val="0"/>
        <w:adjustRightInd w:val="0"/>
        <w:snapToGrid w:val="0"/>
        <w:spacing w:line="360" w:lineRule="auto"/>
        <w:ind w:left="0" w:leftChars="0" w:right="0" w:rightChars="0" w:firstLine="480" w:firstLineChars="200"/>
        <w:contextualSpacing/>
        <w:jc w:val="both"/>
        <w:textAlignment w:val="auto"/>
        <w:rPr>
          <w:rFonts w:ascii="宋体" w:hAnsi="宋体"/>
          <w:sz w:val="24"/>
          <w:szCs w:val="24"/>
        </w:rPr>
      </w:pPr>
      <w:r>
        <w:rPr>
          <w:rFonts w:hint="eastAsia" w:ascii="宋体" w:hAnsi="宋体"/>
          <w:sz w:val="24"/>
          <w:szCs w:val="24"/>
        </w:rPr>
        <w:t>3、明确标明“正本”或“副本”字样，一旦正本和副本有差异，以正本为准。所有投标资料均需A4纸打印，按照谈判文件规定的顺序装订。</w:t>
      </w:r>
    </w:p>
    <w:p w14:paraId="546100BA">
      <w:pPr>
        <w:keepNext w:val="0"/>
        <w:keepLines w:val="0"/>
        <w:pageBreakBefore w:val="0"/>
        <w:widowControl w:val="0"/>
        <w:kinsoku/>
        <w:overflowPunct/>
        <w:topLinePunct w:val="0"/>
        <w:bidi w:val="0"/>
        <w:spacing w:line="360" w:lineRule="auto"/>
        <w:ind w:left="0" w:leftChars="0" w:right="0" w:rightChars="0" w:firstLine="0" w:firstLineChars="0"/>
        <w:jc w:val="both"/>
        <w:textAlignment w:val="auto"/>
        <w:rPr>
          <w:b/>
          <w:sz w:val="28"/>
          <w:szCs w:val="28"/>
        </w:rPr>
      </w:pPr>
      <w:r>
        <w:rPr>
          <w:rFonts w:hint="eastAsia"/>
          <w:b/>
          <w:sz w:val="28"/>
          <w:szCs w:val="28"/>
        </w:rPr>
        <w:t>（二）资格审查要求</w:t>
      </w:r>
      <w:bookmarkEnd w:id="5"/>
    </w:p>
    <w:p w14:paraId="1950885D">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2" w:firstLineChars="200"/>
        <w:contextualSpacing/>
        <w:jc w:val="both"/>
        <w:textAlignment w:val="auto"/>
        <w:rPr>
          <w:rFonts w:ascii="宋体" w:hAnsi="宋体"/>
          <w:b/>
          <w:sz w:val="24"/>
          <w:szCs w:val="24"/>
        </w:rPr>
      </w:pPr>
      <w:r>
        <w:rPr>
          <w:rFonts w:hint="eastAsia" w:ascii="宋体" w:hAnsi="宋体"/>
          <w:b/>
          <w:color w:val="FF0000"/>
          <w:sz w:val="24"/>
          <w:szCs w:val="24"/>
        </w:rPr>
        <w:t>202</w:t>
      </w:r>
      <w:r>
        <w:rPr>
          <w:rFonts w:hint="eastAsia" w:ascii="宋体" w:hAnsi="宋体"/>
          <w:b/>
          <w:color w:val="FF0000"/>
          <w:sz w:val="24"/>
          <w:szCs w:val="24"/>
          <w:lang w:val="en-US" w:eastAsia="zh-CN"/>
        </w:rPr>
        <w:t>6</w:t>
      </w:r>
      <w:r>
        <w:rPr>
          <w:rFonts w:hint="eastAsia" w:ascii="宋体" w:hAnsi="宋体"/>
          <w:b/>
          <w:color w:val="FF0000"/>
          <w:sz w:val="24"/>
          <w:szCs w:val="24"/>
        </w:rPr>
        <w:t>年</w:t>
      </w:r>
      <w:r>
        <w:rPr>
          <w:rFonts w:hint="eastAsia" w:ascii="宋体" w:hAnsi="宋体"/>
          <w:b/>
          <w:color w:val="FF0000"/>
          <w:sz w:val="24"/>
          <w:szCs w:val="24"/>
          <w:lang w:val="en-US" w:eastAsia="zh-CN"/>
        </w:rPr>
        <w:t>7</w:t>
      </w:r>
      <w:r>
        <w:rPr>
          <w:rFonts w:hint="eastAsia" w:ascii="宋体" w:hAnsi="宋体"/>
          <w:b/>
          <w:color w:val="FF0000"/>
          <w:sz w:val="24"/>
          <w:szCs w:val="24"/>
        </w:rPr>
        <w:t>月</w:t>
      </w:r>
      <w:r>
        <w:rPr>
          <w:rFonts w:hint="eastAsia" w:ascii="宋体" w:hAnsi="宋体"/>
          <w:b/>
          <w:color w:val="FF0000"/>
          <w:sz w:val="24"/>
          <w:szCs w:val="24"/>
          <w:lang w:val="en-US" w:eastAsia="zh-CN"/>
        </w:rPr>
        <w:t>20</w:t>
      </w:r>
      <w:bookmarkStart w:id="9" w:name="_GoBack"/>
      <w:bookmarkEnd w:id="9"/>
      <w:r>
        <w:rPr>
          <w:rFonts w:hint="eastAsia" w:ascii="宋体" w:hAnsi="宋体"/>
          <w:b/>
          <w:color w:val="FF0000"/>
          <w:sz w:val="24"/>
          <w:szCs w:val="24"/>
        </w:rPr>
        <w:t>日17：00</w:t>
      </w:r>
      <w:r>
        <w:rPr>
          <w:rFonts w:hint="eastAsia" w:ascii="宋体" w:hAnsi="宋体"/>
          <w:b/>
          <w:sz w:val="24"/>
          <w:szCs w:val="24"/>
        </w:rPr>
        <w:t>前须向招标人提供法人授权委托书、供应商参加谈判确认函、营业执照复印件扫描件发送电子邮箱，该授权委托代理为</w:t>
      </w:r>
      <w:r>
        <w:rPr>
          <w:rFonts w:hint="eastAsia" w:ascii="宋体" w:hAnsi="宋体"/>
          <w:b/>
          <w:sz w:val="24"/>
          <w:szCs w:val="24"/>
          <w:lang w:val="en-US" w:eastAsia="zh-CN"/>
        </w:rPr>
        <w:t>该</w:t>
      </w:r>
      <w:r>
        <w:rPr>
          <w:rFonts w:hint="eastAsia" w:ascii="宋体" w:hAnsi="宋体"/>
          <w:b/>
          <w:sz w:val="24"/>
          <w:szCs w:val="24"/>
        </w:rPr>
        <w:t>项目指定联系人。</w:t>
      </w:r>
    </w:p>
    <w:p w14:paraId="418C117B">
      <w:pPr>
        <w:keepNext w:val="0"/>
        <w:keepLines w:val="0"/>
        <w:pageBreakBefore w:val="0"/>
        <w:widowControl w:val="0"/>
        <w:tabs>
          <w:tab w:val="left" w:pos="9214"/>
        </w:tabs>
        <w:kinsoku/>
        <w:wordWrap/>
        <w:overflowPunct/>
        <w:topLinePunct w:val="0"/>
        <w:bidi w:val="0"/>
        <w:adjustRightInd w:val="0"/>
        <w:snapToGrid w:val="0"/>
        <w:spacing w:line="360" w:lineRule="auto"/>
        <w:ind w:left="0" w:leftChars="0" w:right="0" w:rightChars="0" w:firstLine="480" w:firstLineChars="200"/>
        <w:contextualSpacing/>
        <w:jc w:val="both"/>
        <w:textAlignment w:val="auto"/>
        <w:rPr>
          <w:rFonts w:ascii="宋体" w:hAnsi="宋体"/>
          <w:sz w:val="24"/>
          <w:szCs w:val="24"/>
        </w:rPr>
      </w:pPr>
      <w:r>
        <w:rPr>
          <w:rFonts w:hint="eastAsia" w:ascii="宋体" w:hAnsi="宋体"/>
          <w:sz w:val="24"/>
          <w:szCs w:val="24"/>
          <w:lang w:val="en-US" w:eastAsia="zh-CN"/>
        </w:rPr>
        <w:t>1、</w:t>
      </w:r>
      <w:r>
        <w:rPr>
          <w:rFonts w:ascii="宋体" w:hAnsi="宋体"/>
          <w:sz w:val="24"/>
          <w:szCs w:val="24"/>
        </w:rPr>
        <w:t>投标人资质要求</w:t>
      </w:r>
    </w:p>
    <w:p w14:paraId="35877047">
      <w:pPr>
        <w:keepNext w:val="0"/>
        <w:keepLines w:val="0"/>
        <w:pageBreakBefore w:val="0"/>
        <w:widowControl w:val="0"/>
        <w:tabs>
          <w:tab w:val="left" w:pos="9214"/>
        </w:tabs>
        <w:kinsoku/>
        <w:wordWrap/>
        <w:overflowPunct/>
        <w:topLinePunct w:val="0"/>
        <w:bidi w:val="0"/>
        <w:adjustRightInd w:val="0"/>
        <w:snapToGrid w:val="0"/>
        <w:spacing w:line="360" w:lineRule="auto"/>
        <w:ind w:left="0" w:leftChars="0" w:right="0" w:rightChars="0" w:firstLine="480" w:firstLineChars="200"/>
        <w:contextualSpacing/>
        <w:jc w:val="both"/>
        <w:textAlignment w:val="auto"/>
        <w:rPr>
          <w:rFonts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1</w:t>
      </w:r>
      <w:r>
        <w:rPr>
          <w:rFonts w:hint="eastAsia" w:ascii="宋体" w:hAnsi="宋体"/>
          <w:sz w:val="24"/>
          <w:szCs w:val="24"/>
          <w:lang w:eastAsia="zh-CN"/>
        </w:rPr>
        <w:t>）</w:t>
      </w:r>
      <w:r>
        <w:rPr>
          <w:rFonts w:ascii="宋体" w:hAnsi="宋体"/>
          <w:sz w:val="24"/>
          <w:szCs w:val="24"/>
        </w:rPr>
        <w:t>投标人要求</w:t>
      </w:r>
    </w:p>
    <w:p w14:paraId="27EB3068">
      <w:pPr>
        <w:keepNext w:val="0"/>
        <w:keepLines w:val="0"/>
        <w:pageBreakBefore w:val="0"/>
        <w:widowControl w:val="0"/>
        <w:tabs>
          <w:tab w:val="left" w:pos="9214"/>
        </w:tabs>
        <w:kinsoku/>
        <w:wordWrap/>
        <w:overflowPunct/>
        <w:topLinePunct w:val="0"/>
        <w:bidi w:val="0"/>
        <w:adjustRightInd w:val="0"/>
        <w:snapToGrid w:val="0"/>
        <w:spacing w:line="360" w:lineRule="auto"/>
        <w:ind w:left="0" w:leftChars="0" w:right="0" w:rightChars="0" w:firstLine="480" w:firstLineChars="200"/>
        <w:contextualSpacing/>
        <w:jc w:val="both"/>
        <w:textAlignment w:val="auto"/>
        <w:rPr>
          <w:rFonts w:ascii="宋体" w:hAnsi="宋体" w:cs="宋体"/>
          <w:sz w:val="24"/>
          <w:szCs w:val="24"/>
        </w:rPr>
      </w:pPr>
      <w:r>
        <w:rPr>
          <w:rFonts w:hint="eastAsia" w:ascii="宋体" w:hAnsi="宋体"/>
          <w:sz w:val="24"/>
          <w:szCs w:val="24"/>
          <w:lang w:val="en-US" w:eastAsia="zh-CN"/>
        </w:rPr>
        <w:t>①</w:t>
      </w:r>
      <w:r>
        <w:rPr>
          <w:rFonts w:hint="eastAsia" w:ascii="宋体" w:hAnsi="宋体"/>
          <w:sz w:val="24"/>
          <w:szCs w:val="24"/>
        </w:rPr>
        <w:t>投标人必须是具有独立法人资格的公司；</w:t>
      </w:r>
      <w:r>
        <w:rPr>
          <w:rFonts w:hint="eastAsia" w:ascii="宋体" w:hAnsi="宋体" w:cs="宋体"/>
          <w:sz w:val="24"/>
          <w:szCs w:val="24"/>
        </w:rPr>
        <w:t>经营范围包含软件开发或软件销售内容</w:t>
      </w:r>
      <w:r>
        <w:rPr>
          <w:rFonts w:ascii="宋体" w:hAnsi="宋体" w:cs="宋体"/>
          <w:sz w:val="24"/>
          <w:szCs w:val="24"/>
        </w:rPr>
        <w:t>。</w:t>
      </w:r>
    </w:p>
    <w:p w14:paraId="04ACCCBE">
      <w:pPr>
        <w:keepNext w:val="0"/>
        <w:keepLines w:val="0"/>
        <w:pageBreakBefore w:val="0"/>
        <w:widowControl w:val="0"/>
        <w:tabs>
          <w:tab w:val="left" w:pos="9214"/>
        </w:tabs>
        <w:kinsoku/>
        <w:wordWrap/>
        <w:overflowPunct/>
        <w:topLinePunct w:val="0"/>
        <w:bidi w:val="0"/>
        <w:adjustRightInd w:val="0"/>
        <w:snapToGrid w:val="0"/>
        <w:spacing w:line="360" w:lineRule="auto"/>
        <w:ind w:left="0" w:leftChars="0" w:right="0" w:rightChars="0" w:firstLine="480" w:firstLineChars="200"/>
        <w:contextualSpacing/>
        <w:jc w:val="both"/>
        <w:textAlignment w:val="auto"/>
        <w:rPr>
          <w:rFonts w:hint="eastAsia" w:ascii="宋体" w:hAnsi="宋体" w:eastAsia="宋体"/>
          <w:sz w:val="24"/>
          <w:szCs w:val="24"/>
          <w:lang w:eastAsia="zh-CN"/>
        </w:rPr>
      </w:pPr>
      <w:r>
        <w:rPr>
          <w:rFonts w:hint="eastAsia" w:ascii="宋体" w:hAnsi="宋体"/>
          <w:sz w:val="24"/>
          <w:szCs w:val="24"/>
          <w:lang w:val="en-US" w:eastAsia="zh-CN"/>
        </w:rPr>
        <w:t>②</w:t>
      </w:r>
      <w:r>
        <w:rPr>
          <w:rFonts w:hint="eastAsia" w:ascii="宋体" w:hAnsi="宋体"/>
          <w:sz w:val="24"/>
          <w:szCs w:val="24"/>
        </w:rPr>
        <w:t>投标人认为需要提供的资质文件</w:t>
      </w:r>
      <w:r>
        <w:rPr>
          <w:rFonts w:hint="eastAsia" w:ascii="宋体" w:hAnsi="宋体"/>
          <w:sz w:val="24"/>
          <w:szCs w:val="24"/>
          <w:lang w:eastAsia="zh-CN"/>
        </w:rPr>
        <w:t>。</w:t>
      </w:r>
    </w:p>
    <w:p w14:paraId="74374905">
      <w:pPr>
        <w:keepNext w:val="0"/>
        <w:keepLines w:val="0"/>
        <w:pageBreakBefore w:val="0"/>
        <w:widowControl w:val="0"/>
        <w:tabs>
          <w:tab w:val="left" w:pos="9214"/>
        </w:tabs>
        <w:kinsoku/>
        <w:wordWrap/>
        <w:overflowPunct/>
        <w:topLinePunct w:val="0"/>
        <w:bidi w:val="0"/>
        <w:adjustRightInd w:val="0"/>
        <w:snapToGrid w:val="0"/>
        <w:spacing w:line="360" w:lineRule="auto"/>
        <w:ind w:left="0" w:leftChars="0" w:right="0" w:rightChars="0" w:firstLine="480" w:firstLineChars="200"/>
        <w:contextualSpacing/>
        <w:jc w:val="both"/>
        <w:textAlignment w:val="auto"/>
        <w:rPr>
          <w:rFonts w:ascii="宋体" w:hAnsi="宋体"/>
          <w:sz w:val="24"/>
          <w:szCs w:val="24"/>
        </w:rPr>
      </w:pPr>
      <w:r>
        <w:rPr>
          <w:rFonts w:hint="eastAsia" w:ascii="宋体" w:hAnsi="宋体"/>
          <w:sz w:val="24"/>
          <w:szCs w:val="24"/>
          <w:lang w:val="en-US" w:eastAsia="zh-CN"/>
        </w:rPr>
        <w:t>2、</w:t>
      </w:r>
      <w:r>
        <w:rPr>
          <w:rFonts w:ascii="宋体" w:hAnsi="宋体"/>
          <w:sz w:val="24"/>
          <w:szCs w:val="24"/>
        </w:rPr>
        <w:t>承担本项目能力和资格的有关资格证明材料</w:t>
      </w:r>
    </w:p>
    <w:p w14:paraId="07F94745">
      <w:pPr>
        <w:keepNext w:val="0"/>
        <w:keepLines w:val="0"/>
        <w:pageBreakBefore w:val="0"/>
        <w:widowControl w:val="0"/>
        <w:tabs>
          <w:tab w:val="left" w:pos="9214"/>
        </w:tabs>
        <w:kinsoku/>
        <w:wordWrap/>
        <w:overflowPunct/>
        <w:topLinePunct w:val="0"/>
        <w:bidi w:val="0"/>
        <w:adjustRightInd w:val="0"/>
        <w:snapToGrid w:val="0"/>
        <w:spacing w:line="360" w:lineRule="auto"/>
        <w:ind w:left="0" w:leftChars="0" w:right="0" w:rightChars="0" w:firstLine="480" w:firstLineChars="200"/>
        <w:contextualSpacing/>
        <w:jc w:val="both"/>
        <w:textAlignment w:val="auto"/>
        <w:rPr>
          <w:rFonts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1</w:t>
      </w:r>
      <w:r>
        <w:rPr>
          <w:rFonts w:hint="eastAsia" w:ascii="宋体" w:hAnsi="宋体"/>
          <w:sz w:val="24"/>
          <w:szCs w:val="24"/>
          <w:lang w:eastAsia="zh-CN"/>
        </w:rPr>
        <w:t>）</w:t>
      </w:r>
      <w:r>
        <w:rPr>
          <w:rFonts w:ascii="宋体" w:hAnsi="宋体"/>
          <w:sz w:val="24"/>
          <w:szCs w:val="24"/>
        </w:rPr>
        <w:t xml:space="preserve"> 由工商局签发的投标人工商营业执照副本复印件（加盖公章）；</w:t>
      </w:r>
    </w:p>
    <w:p w14:paraId="012FDEB0">
      <w:pPr>
        <w:keepNext w:val="0"/>
        <w:keepLines w:val="0"/>
        <w:pageBreakBefore w:val="0"/>
        <w:widowControl w:val="0"/>
        <w:tabs>
          <w:tab w:val="left" w:pos="9214"/>
        </w:tabs>
        <w:kinsoku/>
        <w:wordWrap/>
        <w:overflowPunct/>
        <w:topLinePunct w:val="0"/>
        <w:bidi w:val="0"/>
        <w:adjustRightInd w:val="0"/>
        <w:snapToGrid w:val="0"/>
        <w:spacing w:line="360" w:lineRule="auto"/>
        <w:ind w:left="0" w:leftChars="0" w:right="0" w:rightChars="0" w:firstLine="480" w:firstLineChars="200"/>
        <w:contextualSpacing/>
        <w:jc w:val="both"/>
        <w:textAlignment w:val="auto"/>
        <w:rPr>
          <w:rFonts w:hint="eastAsia" w:ascii="宋体" w:hAnsi="宋体" w:eastAsia="宋体"/>
          <w:sz w:val="24"/>
          <w:szCs w:val="24"/>
          <w:lang w:eastAsia="zh-CN"/>
        </w:rPr>
      </w:pPr>
      <w:r>
        <w:rPr>
          <w:rFonts w:hint="eastAsia" w:ascii="宋体" w:hAnsi="宋体"/>
          <w:sz w:val="24"/>
          <w:szCs w:val="24"/>
          <w:lang w:eastAsia="zh-CN"/>
        </w:rPr>
        <w:t>（</w:t>
      </w:r>
      <w:r>
        <w:rPr>
          <w:rFonts w:hint="eastAsia" w:ascii="宋体" w:hAnsi="宋体"/>
          <w:sz w:val="24"/>
          <w:szCs w:val="24"/>
          <w:lang w:val="en-US" w:eastAsia="zh-CN"/>
        </w:rPr>
        <w:t>2</w:t>
      </w:r>
      <w:r>
        <w:rPr>
          <w:rFonts w:hint="eastAsia" w:ascii="宋体" w:hAnsi="宋体"/>
          <w:sz w:val="24"/>
          <w:szCs w:val="24"/>
          <w:lang w:eastAsia="zh-CN"/>
        </w:rPr>
        <w:t>）</w:t>
      </w:r>
      <w:r>
        <w:rPr>
          <w:rFonts w:ascii="宋体" w:hAnsi="宋体"/>
          <w:sz w:val="24"/>
          <w:szCs w:val="24"/>
        </w:rPr>
        <w:t>投标人各类资质证书材料复印件（加盖公章）</w:t>
      </w:r>
      <w:r>
        <w:rPr>
          <w:rFonts w:hint="eastAsia" w:ascii="宋体" w:hAnsi="宋体"/>
          <w:sz w:val="24"/>
          <w:szCs w:val="24"/>
          <w:lang w:eastAsia="zh-CN"/>
        </w:rPr>
        <w:t>；</w:t>
      </w:r>
    </w:p>
    <w:p w14:paraId="247EB764">
      <w:pPr>
        <w:keepNext w:val="0"/>
        <w:keepLines w:val="0"/>
        <w:pageBreakBefore w:val="0"/>
        <w:widowControl w:val="0"/>
        <w:tabs>
          <w:tab w:val="left" w:pos="9214"/>
        </w:tabs>
        <w:kinsoku/>
        <w:wordWrap/>
        <w:overflowPunct/>
        <w:topLinePunct w:val="0"/>
        <w:bidi w:val="0"/>
        <w:adjustRightInd w:val="0"/>
        <w:snapToGrid w:val="0"/>
        <w:spacing w:line="360" w:lineRule="auto"/>
        <w:ind w:left="0" w:leftChars="0" w:right="0" w:rightChars="0" w:firstLine="480" w:firstLineChars="200"/>
        <w:contextualSpacing/>
        <w:jc w:val="both"/>
        <w:textAlignment w:val="auto"/>
        <w:rPr>
          <w:rFonts w:hint="eastAsia" w:ascii="宋体" w:hAnsi="宋体" w:eastAsia="宋体"/>
          <w:sz w:val="24"/>
          <w:szCs w:val="24"/>
          <w:lang w:eastAsia="zh-CN"/>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ascii="宋体" w:hAnsi="宋体"/>
          <w:sz w:val="24"/>
          <w:szCs w:val="24"/>
        </w:rPr>
        <w:t>实施交付能力：投标方必须具备实施开发项目和提供后续服务的能力，且提供必要的使用、配置、系统集成及二次开发培训等相应的知识转移服务</w:t>
      </w:r>
      <w:r>
        <w:rPr>
          <w:rFonts w:hint="eastAsia" w:ascii="宋体" w:hAnsi="宋体"/>
          <w:sz w:val="24"/>
          <w:szCs w:val="24"/>
          <w:lang w:eastAsia="zh-CN"/>
        </w:rPr>
        <w:t>；</w:t>
      </w:r>
    </w:p>
    <w:p w14:paraId="2C4E4CAD">
      <w:pPr>
        <w:keepNext w:val="0"/>
        <w:keepLines w:val="0"/>
        <w:pageBreakBefore w:val="0"/>
        <w:widowControl w:val="0"/>
        <w:tabs>
          <w:tab w:val="left" w:pos="9214"/>
        </w:tabs>
        <w:kinsoku/>
        <w:wordWrap/>
        <w:overflowPunct/>
        <w:topLinePunct w:val="0"/>
        <w:bidi w:val="0"/>
        <w:adjustRightInd w:val="0"/>
        <w:snapToGrid w:val="0"/>
        <w:spacing w:line="360" w:lineRule="auto"/>
        <w:ind w:left="0" w:leftChars="0" w:right="0" w:rightChars="0" w:firstLine="480" w:firstLineChars="200"/>
        <w:contextualSpacing/>
        <w:jc w:val="both"/>
        <w:textAlignment w:val="auto"/>
        <w:rPr>
          <w:rFonts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4</w:t>
      </w:r>
      <w:r>
        <w:rPr>
          <w:rFonts w:hint="eastAsia" w:ascii="宋体" w:hAnsi="宋体"/>
          <w:sz w:val="24"/>
          <w:szCs w:val="24"/>
          <w:lang w:eastAsia="zh-CN"/>
        </w:rPr>
        <w:t>）</w:t>
      </w:r>
      <w:r>
        <w:rPr>
          <w:rFonts w:ascii="宋体" w:hAnsi="宋体"/>
          <w:sz w:val="24"/>
          <w:szCs w:val="24"/>
        </w:rPr>
        <w:t>近三年以来完</w:t>
      </w:r>
      <w:r>
        <w:rPr>
          <w:rFonts w:ascii="宋体" w:hAnsi="宋体"/>
          <w:color w:val="auto"/>
          <w:sz w:val="24"/>
          <w:szCs w:val="24"/>
        </w:rPr>
        <w:t>成</w:t>
      </w:r>
      <w:r>
        <w:rPr>
          <w:rFonts w:hint="eastAsia" w:ascii="宋体" w:hAnsi="宋体"/>
          <w:color w:val="auto"/>
          <w:sz w:val="24"/>
          <w:szCs w:val="24"/>
        </w:rPr>
        <w:t>相关</w:t>
      </w:r>
      <w:r>
        <w:rPr>
          <w:rFonts w:ascii="宋体" w:hAnsi="宋体"/>
          <w:color w:val="auto"/>
          <w:sz w:val="24"/>
          <w:szCs w:val="24"/>
        </w:rPr>
        <w:t>项目一览</w:t>
      </w:r>
      <w:r>
        <w:rPr>
          <w:rFonts w:ascii="宋体" w:hAnsi="宋体"/>
          <w:sz w:val="24"/>
          <w:szCs w:val="24"/>
        </w:rPr>
        <w:t>表，在表中需注明完成该项目的项目经理；</w:t>
      </w:r>
    </w:p>
    <w:p w14:paraId="52E0438E">
      <w:pPr>
        <w:keepNext w:val="0"/>
        <w:keepLines w:val="0"/>
        <w:pageBreakBefore w:val="0"/>
        <w:widowControl w:val="0"/>
        <w:tabs>
          <w:tab w:val="left" w:pos="9214"/>
        </w:tabs>
        <w:kinsoku/>
        <w:wordWrap/>
        <w:overflowPunct/>
        <w:topLinePunct w:val="0"/>
        <w:bidi w:val="0"/>
        <w:adjustRightInd w:val="0"/>
        <w:snapToGrid w:val="0"/>
        <w:spacing w:line="360" w:lineRule="auto"/>
        <w:ind w:left="0" w:leftChars="0" w:right="0" w:rightChars="0" w:firstLine="480" w:firstLineChars="200"/>
        <w:contextualSpacing/>
        <w:jc w:val="both"/>
        <w:textAlignment w:val="auto"/>
        <w:rPr>
          <w:rFonts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5</w:t>
      </w:r>
      <w:r>
        <w:rPr>
          <w:rFonts w:hint="eastAsia" w:ascii="宋体" w:hAnsi="宋体"/>
          <w:sz w:val="24"/>
          <w:szCs w:val="24"/>
          <w:lang w:eastAsia="zh-CN"/>
        </w:rPr>
        <w:t>）</w:t>
      </w:r>
      <w:r>
        <w:rPr>
          <w:rFonts w:ascii="宋体" w:hAnsi="宋体"/>
          <w:sz w:val="24"/>
          <w:szCs w:val="24"/>
        </w:rPr>
        <w:t>投标方必须由法定代表人或其委托代理人（具有法定代表人签署的授权书）携带身份证原件参加投标、开标仪式，在评标过程中随时接受评委就投标文件内容提出的质询，并予以解答。</w:t>
      </w:r>
    </w:p>
    <w:p w14:paraId="50ACEF0C">
      <w:pPr>
        <w:keepNext w:val="0"/>
        <w:keepLines w:val="0"/>
        <w:pageBreakBefore w:val="0"/>
        <w:widowControl w:val="0"/>
        <w:kinsoku/>
        <w:overflowPunct/>
        <w:topLinePunct w:val="0"/>
        <w:bidi w:val="0"/>
        <w:adjustRightInd w:val="0"/>
        <w:snapToGrid w:val="0"/>
        <w:spacing w:line="360" w:lineRule="auto"/>
        <w:ind w:left="0" w:leftChars="0" w:right="0" w:rightChars="0" w:firstLine="0" w:firstLineChars="0"/>
        <w:contextualSpacing/>
        <w:jc w:val="both"/>
        <w:textAlignment w:val="auto"/>
        <w:rPr>
          <w:b/>
          <w:sz w:val="28"/>
          <w:szCs w:val="28"/>
        </w:rPr>
      </w:pPr>
      <w:bookmarkStart w:id="6" w:name="_Toc39744256"/>
      <w:r>
        <w:rPr>
          <w:rFonts w:hint="eastAsia"/>
          <w:b/>
          <w:sz w:val="28"/>
          <w:szCs w:val="28"/>
        </w:rPr>
        <w:t>（三）投标文件要求</w:t>
      </w:r>
      <w:bookmarkEnd w:id="6"/>
    </w:p>
    <w:p w14:paraId="155B9081">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contextualSpacing/>
        <w:jc w:val="both"/>
        <w:textAlignment w:val="auto"/>
        <w:rPr>
          <w:rFonts w:ascii="宋体" w:hAnsi="宋体"/>
          <w:sz w:val="24"/>
          <w:szCs w:val="24"/>
        </w:rPr>
      </w:pPr>
      <w:r>
        <w:rPr>
          <w:rFonts w:hint="eastAsia" w:ascii="宋体" w:hAnsi="宋体"/>
          <w:sz w:val="24"/>
          <w:szCs w:val="24"/>
        </w:rPr>
        <w:t>1、</w:t>
      </w:r>
      <w:r>
        <w:rPr>
          <w:rFonts w:hint="eastAsia" w:ascii="宋体" w:hAnsi="宋体"/>
          <w:b/>
          <w:sz w:val="24"/>
          <w:szCs w:val="24"/>
        </w:rPr>
        <w:t>投标文件的组成</w:t>
      </w:r>
      <w:r>
        <w:rPr>
          <w:rFonts w:hint="eastAsia" w:ascii="宋体" w:hAnsi="宋体"/>
          <w:sz w:val="24"/>
          <w:szCs w:val="24"/>
        </w:rPr>
        <w:t>：</w:t>
      </w:r>
    </w:p>
    <w:p w14:paraId="74C362FA">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contextualSpacing/>
        <w:jc w:val="both"/>
        <w:textAlignment w:val="auto"/>
        <w:rPr>
          <w:rFonts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1</w:t>
      </w:r>
      <w:r>
        <w:rPr>
          <w:rFonts w:hint="eastAsia" w:ascii="宋体" w:hAnsi="宋体"/>
          <w:sz w:val="24"/>
          <w:szCs w:val="24"/>
          <w:lang w:eastAsia="zh-CN"/>
        </w:rPr>
        <w:t>）</w:t>
      </w:r>
      <w:r>
        <w:rPr>
          <w:rFonts w:hint="eastAsia" w:ascii="宋体" w:hAnsi="宋体"/>
          <w:sz w:val="24"/>
          <w:szCs w:val="24"/>
        </w:rPr>
        <w:t>资格审查文件，所有复印件需加盖公章：</w:t>
      </w:r>
    </w:p>
    <w:p w14:paraId="06B900EB">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contextualSpacing/>
        <w:jc w:val="both"/>
        <w:textAlignment w:val="auto"/>
        <w:rPr>
          <w:rFonts w:ascii="宋体" w:hAnsi="宋体"/>
          <w:sz w:val="24"/>
          <w:szCs w:val="24"/>
        </w:rPr>
      </w:pPr>
      <w:r>
        <w:rPr>
          <w:rFonts w:hint="eastAsia" w:ascii="宋体" w:hAnsi="宋体"/>
          <w:sz w:val="24"/>
          <w:szCs w:val="24"/>
          <w:lang w:val="en-US" w:eastAsia="zh-CN"/>
        </w:rPr>
        <w:t>①</w:t>
      </w:r>
      <w:r>
        <w:rPr>
          <w:rFonts w:hint="eastAsia" w:ascii="宋体" w:hAnsi="宋体"/>
          <w:sz w:val="24"/>
          <w:szCs w:val="24"/>
        </w:rPr>
        <w:t>针对本项目谈判的授权委托书；</w:t>
      </w:r>
    </w:p>
    <w:p w14:paraId="0264E0A9">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right="0" w:rightChars="0" w:firstLine="480" w:firstLineChars="200"/>
        <w:contextualSpacing/>
        <w:jc w:val="both"/>
        <w:textAlignment w:val="auto"/>
        <w:rPr>
          <w:rFonts w:ascii="宋体" w:hAnsi="宋体"/>
          <w:sz w:val="24"/>
          <w:szCs w:val="24"/>
        </w:rPr>
      </w:pPr>
      <w:r>
        <w:rPr>
          <w:rFonts w:hint="eastAsia" w:ascii="宋体" w:hAnsi="宋体"/>
          <w:sz w:val="24"/>
          <w:szCs w:val="24"/>
          <w:lang w:val="en-US" w:eastAsia="zh-CN"/>
        </w:rPr>
        <w:t>②</w:t>
      </w:r>
      <w:r>
        <w:rPr>
          <w:rFonts w:hint="eastAsia" w:ascii="宋体" w:hAnsi="宋体"/>
          <w:sz w:val="24"/>
          <w:szCs w:val="24"/>
        </w:rPr>
        <w:t>企业法人营业执照；</w:t>
      </w:r>
    </w:p>
    <w:p w14:paraId="730B6A17">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right="0" w:rightChars="0" w:firstLine="480" w:firstLineChars="200"/>
        <w:contextualSpacing/>
        <w:jc w:val="both"/>
        <w:textAlignment w:val="auto"/>
        <w:rPr>
          <w:rFonts w:ascii="宋体" w:hAnsi="宋体"/>
          <w:sz w:val="24"/>
          <w:szCs w:val="24"/>
        </w:rPr>
      </w:pPr>
      <w:r>
        <w:rPr>
          <w:rFonts w:hint="eastAsia" w:ascii="宋体" w:hAnsi="宋体"/>
          <w:sz w:val="24"/>
          <w:szCs w:val="24"/>
          <w:lang w:val="en-US" w:eastAsia="zh-CN"/>
        </w:rPr>
        <w:t>③</w:t>
      </w:r>
      <w:r>
        <w:rPr>
          <w:rFonts w:hint="eastAsia" w:ascii="宋体" w:hAnsi="宋体"/>
          <w:sz w:val="24"/>
          <w:szCs w:val="24"/>
        </w:rPr>
        <w:t>企业资质证书</w:t>
      </w:r>
      <w:r>
        <w:rPr>
          <w:rFonts w:hint="eastAsia" w:ascii="宋体"/>
          <w:sz w:val="24"/>
          <w:szCs w:val="24"/>
        </w:rPr>
        <w:t>；</w:t>
      </w:r>
    </w:p>
    <w:p w14:paraId="17F1E52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right="0" w:rightChars="0" w:firstLine="480" w:firstLineChars="200"/>
        <w:contextualSpacing/>
        <w:jc w:val="both"/>
        <w:textAlignment w:val="auto"/>
        <w:rPr>
          <w:rFonts w:hint="eastAsia" w:ascii="宋体" w:hAnsi="宋体" w:eastAsia="宋体"/>
          <w:sz w:val="24"/>
          <w:szCs w:val="24"/>
          <w:lang w:eastAsia="zh-CN"/>
        </w:rPr>
      </w:pPr>
      <w:r>
        <w:rPr>
          <w:rFonts w:hint="eastAsia" w:ascii="宋体" w:hAnsi="宋体"/>
          <w:sz w:val="24"/>
          <w:szCs w:val="24"/>
          <w:lang w:val="en-US" w:eastAsia="zh-CN"/>
        </w:rPr>
        <w:t>④</w:t>
      </w:r>
      <w:r>
        <w:rPr>
          <w:rFonts w:hint="eastAsia" w:ascii="宋体" w:hAnsi="宋体"/>
          <w:sz w:val="24"/>
          <w:szCs w:val="24"/>
        </w:rPr>
        <w:t>由社保部门出具的投标人</w:t>
      </w:r>
      <w:r>
        <w:rPr>
          <w:rFonts w:hint="eastAsia" w:ascii="宋体" w:hAnsi="宋体"/>
          <w:sz w:val="24"/>
          <w:szCs w:val="24"/>
          <w:highlight w:val="none"/>
        </w:rPr>
        <w:t>为授权委托人及谈判经办人缴纳的</w:t>
      </w:r>
      <w:r>
        <w:rPr>
          <w:rFonts w:hint="eastAsia" w:ascii="宋体" w:hAnsi="宋体"/>
          <w:b/>
          <w:bCs/>
          <w:sz w:val="24"/>
          <w:szCs w:val="24"/>
          <w:highlight w:val="none"/>
          <w:lang w:val="en-US" w:eastAsia="zh-CN"/>
        </w:rPr>
        <w:t>近三个月中任意一个月</w:t>
      </w:r>
      <w:r>
        <w:rPr>
          <w:rFonts w:hint="eastAsia" w:ascii="宋体" w:hAnsi="宋体"/>
          <w:sz w:val="24"/>
          <w:szCs w:val="24"/>
          <w:highlight w:val="none"/>
          <w:lang w:val="en-US" w:eastAsia="zh-CN"/>
        </w:rPr>
        <w:t>的</w:t>
      </w:r>
      <w:r>
        <w:rPr>
          <w:rFonts w:hint="eastAsia" w:ascii="宋体" w:hAnsi="宋体"/>
          <w:sz w:val="24"/>
          <w:szCs w:val="24"/>
          <w:highlight w:val="none"/>
        </w:rPr>
        <w:t>养老保险费用的证明</w:t>
      </w:r>
      <w:r>
        <w:rPr>
          <w:rFonts w:hint="eastAsia" w:ascii="宋体" w:hAnsi="宋体"/>
          <w:sz w:val="24"/>
          <w:szCs w:val="24"/>
        </w:rPr>
        <w:t>材料</w:t>
      </w:r>
      <w:r>
        <w:rPr>
          <w:rFonts w:hint="eastAsia" w:ascii="宋体" w:hAnsi="宋体"/>
          <w:sz w:val="24"/>
          <w:szCs w:val="24"/>
          <w:lang w:eastAsia="zh-CN"/>
        </w:rPr>
        <w:t>。</w:t>
      </w:r>
    </w:p>
    <w:p w14:paraId="35EFD544">
      <w:pPr>
        <w:keepNext w:val="0"/>
        <w:keepLines w:val="0"/>
        <w:pageBreakBefore w:val="0"/>
        <w:widowControl w:val="0"/>
        <w:kinsoku/>
        <w:wordWrap/>
        <w:overflowPunct/>
        <w:topLinePunct w:val="0"/>
        <w:bidi w:val="0"/>
        <w:adjustRightInd w:val="0"/>
        <w:snapToGrid w:val="0"/>
        <w:spacing w:line="360" w:lineRule="auto"/>
        <w:ind w:left="0" w:leftChars="0" w:right="0" w:rightChars="0" w:firstLine="482" w:firstLineChars="200"/>
        <w:contextualSpacing/>
        <w:jc w:val="both"/>
        <w:textAlignment w:val="auto"/>
        <w:rPr>
          <w:rFonts w:ascii="宋体" w:hAnsi="宋体"/>
          <w:sz w:val="24"/>
          <w:szCs w:val="24"/>
        </w:rPr>
      </w:pPr>
      <w:r>
        <w:rPr>
          <w:rFonts w:hint="eastAsia" w:ascii="宋体" w:hAnsi="宋体"/>
          <w:b/>
          <w:sz w:val="24"/>
          <w:szCs w:val="24"/>
          <w:lang w:val="en-US" w:eastAsia="zh-CN"/>
        </w:rPr>
        <w:t>2、</w:t>
      </w:r>
      <w:r>
        <w:rPr>
          <w:rFonts w:hint="eastAsia" w:ascii="宋体" w:hAnsi="宋体"/>
          <w:b/>
          <w:sz w:val="24"/>
          <w:szCs w:val="24"/>
        </w:rPr>
        <w:t>报价文件</w:t>
      </w:r>
      <w:r>
        <w:rPr>
          <w:rFonts w:hint="eastAsia" w:ascii="宋体" w:hAnsi="宋体"/>
          <w:sz w:val="24"/>
          <w:szCs w:val="24"/>
        </w:rPr>
        <w:t>（须</w:t>
      </w:r>
      <w:r>
        <w:rPr>
          <w:rFonts w:hint="eastAsia" w:ascii="宋体" w:hAnsi="宋体"/>
          <w:b/>
          <w:bCs/>
          <w:sz w:val="24"/>
          <w:szCs w:val="24"/>
        </w:rPr>
        <w:t>单独装订</w:t>
      </w:r>
      <w:r>
        <w:rPr>
          <w:rFonts w:hint="eastAsia" w:ascii="宋体" w:hAnsi="宋体"/>
          <w:sz w:val="24"/>
          <w:szCs w:val="24"/>
        </w:rPr>
        <w:t>编页码做目录，A4纸打印并在封面注明“报价文件”）</w:t>
      </w:r>
    </w:p>
    <w:p w14:paraId="4CD566F9">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contextualSpacing/>
        <w:jc w:val="both"/>
        <w:textAlignment w:val="auto"/>
        <w:rPr>
          <w:rFonts w:ascii="宋体" w:hAnsi="宋体"/>
          <w:bCs/>
          <w:sz w:val="24"/>
          <w:szCs w:val="24"/>
        </w:rPr>
      </w:pPr>
      <w:r>
        <w:rPr>
          <w:rFonts w:hint="eastAsia" w:ascii="宋体" w:hAnsi="宋体"/>
          <w:bCs/>
          <w:sz w:val="24"/>
          <w:szCs w:val="24"/>
        </w:rPr>
        <w:t>（1）投标函</w:t>
      </w:r>
    </w:p>
    <w:p w14:paraId="31DC2D0F">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contextualSpacing/>
        <w:jc w:val="both"/>
        <w:textAlignment w:val="auto"/>
        <w:rPr>
          <w:rFonts w:ascii="宋体" w:hAnsi="宋体"/>
          <w:bCs/>
          <w:sz w:val="24"/>
          <w:szCs w:val="24"/>
        </w:rPr>
      </w:pPr>
      <w:r>
        <w:rPr>
          <w:rFonts w:hint="eastAsia" w:ascii="宋体" w:hAnsi="宋体"/>
          <w:bCs/>
          <w:sz w:val="24"/>
          <w:szCs w:val="24"/>
        </w:rPr>
        <w:t>（2）授权委托书</w:t>
      </w:r>
    </w:p>
    <w:p w14:paraId="66B960AE">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contextualSpacing/>
        <w:jc w:val="both"/>
        <w:textAlignment w:val="auto"/>
        <w:rPr>
          <w:rFonts w:ascii="宋体" w:hAnsi="宋体"/>
          <w:color w:val="FF0000"/>
          <w:sz w:val="24"/>
          <w:szCs w:val="24"/>
        </w:rPr>
      </w:pPr>
      <w:r>
        <w:rPr>
          <w:rFonts w:hint="eastAsia" w:ascii="宋体" w:hAnsi="宋体"/>
          <w:bCs/>
          <w:sz w:val="24"/>
          <w:szCs w:val="24"/>
        </w:rPr>
        <w:t>（3）</w:t>
      </w:r>
      <w:r>
        <w:rPr>
          <w:rFonts w:hint="eastAsia" w:ascii="宋体" w:hAnsi="宋体"/>
          <w:sz w:val="24"/>
          <w:szCs w:val="24"/>
        </w:rPr>
        <w:t>投标报价</w:t>
      </w:r>
    </w:p>
    <w:p w14:paraId="70BED0F2">
      <w:pPr>
        <w:keepNext w:val="0"/>
        <w:keepLines w:val="0"/>
        <w:pageBreakBefore w:val="0"/>
        <w:widowControl w:val="0"/>
        <w:kinsoku/>
        <w:wordWrap/>
        <w:overflowPunct/>
        <w:topLinePunct w:val="0"/>
        <w:bidi w:val="0"/>
        <w:adjustRightInd w:val="0"/>
        <w:snapToGrid w:val="0"/>
        <w:spacing w:line="360" w:lineRule="auto"/>
        <w:ind w:left="0" w:leftChars="0" w:right="0" w:rightChars="0" w:firstLine="482" w:firstLineChars="200"/>
        <w:contextualSpacing/>
        <w:jc w:val="both"/>
        <w:textAlignment w:val="auto"/>
        <w:rPr>
          <w:rFonts w:ascii="宋体" w:hAnsi="宋体"/>
          <w:b/>
          <w:sz w:val="24"/>
          <w:szCs w:val="24"/>
        </w:rPr>
      </w:pPr>
      <w:r>
        <w:rPr>
          <w:rFonts w:hint="eastAsia" w:ascii="宋体" w:hAnsi="宋体"/>
          <w:b/>
          <w:sz w:val="24"/>
          <w:szCs w:val="24"/>
        </w:rPr>
        <w:t>以上投标文件组成及报价要求将作为否决投标单位标书的重要条件。</w:t>
      </w:r>
    </w:p>
    <w:p w14:paraId="6362B6AB">
      <w:pPr>
        <w:keepNext w:val="0"/>
        <w:keepLines w:val="0"/>
        <w:pageBreakBefore w:val="0"/>
        <w:widowControl w:val="0"/>
        <w:kinsoku/>
        <w:overflowPunct/>
        <w:topLinePunct w:val="0"/>
        <w:bidi w:val="0"/>
        <w:spacing w:line="360" w:lineRule="auto"/>
        <w:ind w:left="0" w:leftChars="0" w:right="0" w:rightChars="0" w:firstLine="0" w:firstLineChars="0"/>
        <w:jc w:val="both"/>
        <w:textAlignment w:val="auto"/>
        <w:rPr>
          <w:b/>
          <w:sz w:val="28"/>
          <w:szCs w:val="28"/>
        </w:rPr>
      </w:pPr>
      <w:bookmarkStart w:id="7" w:name="_Toc39744257"/>
      <w:r>
        <w:rPr>
          <w:rFonts w:hint="eastAsia"/>
          <w:b/>
          <w:sz w:val="28"/>
          <w:szCs w:val="28"/>
        </w:rPr>
        <w:t>（四）开标、</w:t>
      </w:r>
      <w:bookmarkEnd w:id="7"/>
      <w:r>
        <w:rPr>
          <w:rFonts w:hint="eastAsia"/>
          <w:b/>
          <w:sz w:val="28"/>
          <w:szCs w:val="28"/>
        </w:rPr>
        <w:t>评标</w:t>
      </w:r>
    </w:p>
    <w:p w14:paraId="5D06A78B">
      <w:pPr>
        <w:keepNext w:val="0"/>
        <w:keepLines w:val="0"/>
        <w:pageBreakBefore w:val="0"/>
        <w:widowControl w:val="0"/>
        <w:kinsoku/>
        <w:overflowPunct/>
        <w:topLinePunct w:val="0"/>
        <w:autoSpaceDE/>
        <w:autoSpaceDN/>
        <w:bidi w:val="0"/>
        <w:adjustRightInd w:val="0"/>
        <w:snapToGrid w:val="0"/>
        <w:spacing w:line="360" w:lineRule="auto"/>
        <w:ind w:left="0" w:leftChars="0" w:right="0" w:rightChars="0" w:firstLine="480" w:firstLineChars="200"/>
        <w:contextualSpacing/>
        <w:jc w:val="both"/>
        <w:textAlignment w:val="auto"/>
        <w:rPr>
          <w:rFonts w:ascii="宋体" w:hAnsi="宋体"/>
          <w:sz w:val="24"/>
          <w:szCs w:val="24"/>
        </w:rPr>
      </w:pPr>
      <w:r>
        <w:rPr>
          <w:rFonts w:hint="eastAsia" w:ascii="宋体" w:hAnsi="宋体"/>
          <w:sz w:val="24"/>
          <w:szCs w:val="24"/>
        </w:rPr>
        <w:t>1、开标时，招标方代表或监管部门或投标单位检查投标文件的密封情况，在确认无误后拆封读标。投标文件一经开封不得进行改动。</w:t>
      </w:r>
    </w:p>
    <w:p w14:paraId="63566F23">
      <w:pPr>
        <w:keepNext w:val="0"/>
        <w:keepLines w:val="0"/>
        <w:pageBreakBefore w:val="0"/>
        <w:widowControl w:val="0"/>
        <w:kinsoku/>
        <w:overflowPunct/>
        <w:topLinePunct w:val="0"/>
        <w:autoSpaceDE/>
        <w:autoSpaceDN/>
        <w:bidi w:val="0"/>
        <w:adjustRightInd w:val="0"/>
        <w:snapToGrid w:val="0"/>
        <w:spacing w:line="360" w:lineRule="auto"/>
        <w:ind w:left="0" w:leftChars="0" w:right="0" w:rightChars="0" w:firstLine="480" w:firstLineChars="200"/>
        <w:contextualSpacing/>
        <w:jc w:val="both"/>
        <w:textAlignment w:val="auto"/>
        <w:rPr>
          <w:rFonts w:ascii="宋体" w:hAnsi="宋体"/>
          <w:sz w:val="24"/>
          <w:szCs w:val="24"/>
        </w:rPr>
      </w:pPr>
      <w:r>
        <w:rPr>
          <w:rFonts w:hint="eastAsia" w:ascii="宋体" w:hAnsi="宋体"/>
          <w:sz w:val="24"/>
          <w:szCs w:val="24"/>
        </w:rPr>
        <w:t>2、初步评审要求：开标后，招标方将组织审查投标文件是否完整；是否有计算错误。投标文件出现下列情形之一的，将作为无效投标文件：</w:t>
      </w:r>
    </w:p>
    <w:p w14:paraId="05F28449">
      <w:pPr>
        <w:keepNext w:val="0"/>
        <w:keepLines w:val="0"/>
        <w:pageBreakBefore w:val="0"/>
        <w:widowControl w:val="0"/>
        <w:kinsoku/>
        <w:overflowPunct/>
        <w:topLinePunct w:val="0"/>
        <w:autoSpaceDE/>
        <w:autoSpaceDN/>
        <w:bidi w:val="0"/>
        <w:adjustRightInd w:val="0"/>
        <w:snapToGrid w:val="0"/>
        <w:spacing w:line="360" w:lineRule="auto"/>
        <w:ind w:left="0" w:leftChars="0" w:right="0" w:rightChars="0" w:firstLine="480" w:firstLineChars="200"/>
        <w:contextualSpacing/>
        <w:jc w:val="both"/>
        <w:textAlignment w:val="auto"/>
        <w:rPr>
          <w:rFonts w:ascii="宋体" w:hAnsi="宋体"/>
          <w:sz w:val="24"/>
          <w:szCs w:val="24"/>
        </w:rPr>
      </w:pPr>
      <w:r>
        <w:rPr>
          <w:rFonts w:hint="eastAsia" w:ascii="宋体" w:hAnsi="宋体"/>
          <w:sz w:val="24"/>
          <w:szCs w:val="24"/>
        </w:rPr>
        <w:t>（1）投标文件不响应谈判文件要求的；</w:t>
      </w:r>
    </w:p>
    <w:p w14:paraId="43C98D95">
      <w:pPr>
        <w:keepNext w:val="0"/>
        <w:keepLines w:val="0"/>
        <w:pageBreakBefore w:val="0"/>
        <w:widowControl w:val="0"/>
        <w:kinsoku/>
        <w:overflowPunct/>
        <w:topLinePunct w:val="0"/>
        <w:autoSpaceDE/>
        <w:autoSpaceDN/>
        <w:bidi w:val="0"/>
        <w:adjustRightInd w:val="0"/>
        <w:snapToGrid w:val="0"/>
        <w:spacing w:line="360" w:lineRule="auto"/>
        <w:ind w:left="0" w:leftChars="0" w:right="0" w:rightChars="0" w:firstLine="480" w:firstLineChars="200"/>
        <w:contextualSpacing/>
        <w:jc w:val="both"/>
        <w:textAlignment w:val="auto"/>
        <w:rPr>
          <w:rFonts w:ascii="宋体" w:hAnsi="宋体"/>
          <w:sz w:val="24"/>
          <w:szCs w:val="24"/>
        </w:rPr>
      </w:pPr>
      <w:r>
        <w:rPr>
          <w:rFonts w:hint="eastAsia" w:ascii="宋体" w:hAnsi="宋体"/>
          <w:sz w:val="24"/>
          <w:szCs w:val="24"/>
        </w:rPr>
        <w:t>（2）投标函未盖投标人的企业及企业法定代表人印章并签字的，或者企业法定代表人委托代理人没有合法、有效的委托书（原件）及委托代理人印章并签字的；</w:t>
      </w:r>
    </w:p>
    <w:p w14:paraId="26495549">
      <w:pPr>
        <w:keepNext w:val="0"/>
        <w:keepLines w:val="0"/>
        <w:pageBreakBefore w:val="0"/>
        <w:widowControl w:val="0"/>
        <w:kinsoku/>
        <w:overflowPunct/>
        <w:topLinePunct w:val="0"/>
        <w:autoSpaceDE/>
        <w:autoSpaceDN/>
        <w:bidi w:val="0"/>
        <w:adjustRightInd w:val="0"/>
        <w:snapToGrid w:val="0"/>
        <w:spacing w:line="360" w:lineRule="auto"/>
        <w:ind w:left="0" w:leftChars="0" w:right="0" w:rightChars="0" w:firstLine="480" w:firstLineChars="200"/>
        <w:contextualSpacing/>
        <w:jc w:val="both"/>
        <w:textAlignment w:val="auto"/>
        <w:rPr>
          <w:rFonts w:hint="eastAsia" w:ascii="宋体" w:hAnsi="宋体" w:eastAsia="宋体"/>
          <w:sz w:val="24"/>
          <w:szCs w:val="24"/>
          <w:lang w:eastAsia="zh-CN"/>
        </w:rPr>
      </w:pPr>
      <w:r>
        <w:rPr>
          <w:rFonts w:hint="eastAsia" w:ascii="宋体" w:hAnsi="宋体"/>
          <w:sz w:val="24"/>
          <w:szCs w:val="24"/>
        </w:rPr>
        <w:t>（3）投标文件的关键内容模糊、无法辨认的</w:t>
      </w:r>
      <w:r>
        <w:rPr>
          <w:rFonts w:hint="eastAsia" w:ascii="宋体" w:hAnsi="宋体"/>
          <w:sz w:val="24"/>
          <w:szCs w:val="24"/>
          <w:lang w:eastAsia="zh-CN"/>
        </w:rPr>
        <w:t>。</w:t>
      </w:r>
    </w:p>
    <w:p w14:paraId="6659A849">
      <w:pPr>
        <w:keepNext w:val="0"/>
        <w:keepLines w:val="0"/>
        <w:pageBreakBefore w:val="0"/>
        <w:widowControl w:val="0"/>
        <w:kinsoku/>
        <w:overflowPunct/>
        <w:topLinePunct w:val="0"/>
        <w:autoSpaceDE/>
        <w:autoSpaceDN/>
        <w:bidi w:val="0"/>
        <w:adjustRightInd w:val="0"/>
        <w:snapToGrid w:val="0"/>
        <w:spacing w:line="360" w:lineRule="auto"/>
        <w:ind w:left="0" w:leftChars="0" w:right="0" w:rightChars="0" w:firstLine="480" w:firstLineChars="200"/>
        <w:contextualSpacing/>
        <w:jc w:val="both"/>
        <w:textAlignment w:val="auto"/>
        <w:rPr>
          <w:rFonts w:ascii="宋体" w:hAnsi="宋体"/>
          <w:sz w:val="24"/>
          <w:szCs w:val="24"/>
        </w:rPr>
      </w:pPr>
      <w:r>
        <w:rPr>
          <w:rFonts w:hint="eastAsia" w:ascii="宋体" w:hAnsi="宋体"/>
          <w:sz w:val="24"/>
          <w:szCs w:val="24"/>
        </w:rPr>
        <w:t>3、评标小组先评审技术文件，后评审报价文件。</w:t>
      </w:r>
    </w:p>
    <w:p w14:paraId="1899DF66">
      <w:pPr>
        <w:keepNext w:val="0"/>
        <w:keepLines w:val="0"/>
        <w:pageBreakBefore w:val="0"/>
        <w:widowControl w:val="0"/>
        <w:kinsoku/>
        <w:overflowPunct/>
        <w:topLinePunct w:val="0"/>
        <w:autoSpaceDE/>
        <w:autoSpaceDN/>
        <w:bidi w:val="0"/>
        <w:adjustRightInd w:val="0"/>
        <w:snapToGrid w:val="0"/>
        <w:spacing w:line="360" w:lineRule="auto"/>
        <w:ind w:left="0" w:leftChars="0" w:right="0" w:rightChars="0" w:firstLine="480" w:firstLineChars="200"/>
        <w:contextualSpacing/>
        <w:jc w:val="both"/>
        <w:textAlignment w:val="auto"/>
        <w:rPr>
          <w:rFonts w:ascii="宋体" w:hAnsi="宋体"/>
          <w:sz w:val="24"/>
          <w:szCs w:val="24"/>
        </w:rPr>
      </w:pPr>
      <w:r>
        <w:rPr>
          <w:rFonts w:hint="eastAsia" w:ascii="宋体" w:hAnsi="宋体"/>
          <w:sz w:val="24"/>
          <w:szCs w:val="24"/>
        </w:rPr>
        <w:t>4、严格按照扬州大学附属医院采购管理暂行办法，组成项目评标小组。严格按招标文件，公平、公正、科学、严谨地对投标文件进行综合评定。</w:t>
      </w:r>
    </w:p>
    <w:p w14:paraId="621C0E97">
      <w:pPr>
        <w:keepNext w:val="0"/>
        <w:keepLines w:val="0"/>
        <w:pageBreakBefore w:val="0"/>
        <w:widowControl w:val="0"/>
        <w:kinsoku/>
        <w:overflowPunct/>
        <w:topLinePunct w:val="0"/>
        <w:autoSpaceDE/>
        <w:autoSpaceDN/>
        <w:bidi w:val="0"/>
        <w:adjustRightInd w:val="0"/>
        <w:snapToGrid w:val="0"/>
        <w:spacing w:line="360" w:lineRule="auto"/>
        <w:ind w:left="0" w:leftChars="0" w:right="0" w:rightChars="0" w:firstLine="480" w:firstLineChars="200"/>
        <w:contextualSpacing/>
        <w:jc w:val="both"/>
        <w:textAlignment w:val="auto"/>
        <w:rPr>
          <w:rFonts w:ascii="宋体" w:hAnsi="宋体"/>
          <w:sz w:val="24"/>
          <w:szCs w:val="24"/>
        </w:rPr>
      </w:pPr>
      <w:r>
        <w:rPr>
          <w:rFonts w:hint="eastAsia" w:ascii="宋体" w:hAnsi="宋体"/>
          <w:sz w:val="24"/>
          <w:szCs w:val="24"/>
        </w:rPr>
        <w:t>5、竞争性谈判程序：</w:t>
      </w:r>
    </w:p>
    <w:p w14:paraId="69689C15">
      <w:pPr>
        <w:keepNext w:val="0"/>
        <w:keepLines w:val="0"/>
        <w:pageBreakBefore w:val="0"/>
        <w:widowControl w:val="0"/>
        <w:kinsoku/>
        <w:overflowPunct/>
        <w:topLinePunct w:val="0"/>
        <w:autoSpaceDE/>
        <w:autoSpaceDN/>
        <w:bidi w:val="0"/>
        <w:adjustRightInd w:val="0"/>
        <w:snapToGrid w:val="0"/>
        <w:spacing w:line="360" w:lineRule="auto"/>
        <w:ind w:left="0" w:leftChars="0" w:right="0" w:rightChars="0" w:firstLine="482" w:firstLineChars="200"/>
        <w:contextualSpacing/>
        <w:jc w:val="both"/>
        <w:textAlignment w:val="auto"/>
        <w:rPr>
          <w:rFonts w:ascii="宋体" w:hAnsi="宋体"/>
          <w:b/>
          <w:sz w:val="24"/>
          <w:szCs w:val="24"/>
        </w:rPr>
      </w:pPr>
      <w:r>
        <w:rPr>
          <w:rFonts w:hint="eastAsia" w:ascii="宋体" w:hAnsi="宋体"/>
          <w:b/>
          <w:sz w:val="24"/>
          <w:szCs w:val="24"/>
        </w:rPr>
        <w:t>（1）资格审查；（2）投标单位自我介绍</w:t>
      </w:r>
      <w:r>
        <w:rPr>
          <w:rFonts w:hint="eastAsia" w:ascii="宋体" w:hAnsi="宋体"/>
          <w:b/>
          <w:sz w:val="24"/>
          <w:szCs w:val="24"/>
          <w:lang w:val="en-US" w:eastAsia="zh-CN"/>
        </w:rPr>
        <w:t>及产品介绍</w:t>
      </w:r>
      <w:r>
        <w:rPr>
          <w:rFonts w:hint="eastAsia" w:ascii="宋体" w:hAnsi="宋体"/>
          <w:b/>
          <w:sz w:val="24"/>
          <w:szCs w:val="24"/>
        </w:rPr>
        <w:t>；（3）</w:t>
      </w:r>
      <w:r>
        <w:rPr>
          <w:rFonts w:hint="eastAsia" w:ascii="宋体" w:hAnsi="宋体"/>
          <w:b/>
          <w:sz w:val="24"/>
          <w:szCs w:val="24"/>
          <w:lang w:val="en-US" w:eastAsia="zh-CN"/>
        </w:rPr>
        <w:t>二轮报价</w:t>
      </w:r>
      <w:r>
        <w:rPr>
          <w:rFonts w:hint="eastAsia" w:ascii="宋体" w:hAnsi="宋体"/>
          <w:b/>
          <w:sz w:val="24"/>
          <w:szCs w:val="24"/>
        </w:rPr>
        <w:t>谈判。</w:t>
      </w:r>
    </w:p>
    <w:p w14:paraId="6D38BAAD">
      <w:pPr>
        <w:keepNext w:val="0"/>
        <w:keepLines w:val="0"/>
        <w:pageBreakBefore w:val="0"/>
        <w:widowControl w:val="0"/>
        <w:kinsoku/>
        <w:overflowPunct/>
        <w:topLinePunct w:val="0"/>
        <w:autoSpaceDE/>
        <w:autoSpaceDN/>
        <w:bidi w:val="0"/>
        <w:adjustRightInd w:val="0"/>
        <w:snapToGrid w:val="0"/>
        <w:spacing w:line="360" w:lineRule="auto"/>
        <w:ind w:left="0" w:leftChars="0" w:right="0" w:rightChars="0" w:firstLine="480" w:firstLineChars="200"/>
        <w:contextualSpacing/>
        <w:jc w:val="both"/>
        <w:textAlignment w:val="auto"/>
        <w:rPr>
          <w:rFonts w:ascii="宋体" w:hAnsi="宋体"/>
          <w:sz w:val="24"/>
          <w:szCs w:val="24"/>
        </w:rPr>
      </w:pPr>
      <w:r>
        <w:rPr>
          <w:rFonts w:hint="eastAsia" w:ascii="宋体" w:hAnsi="宋体"/>
          <w:sz w:val="24"/>
          <w:szCs w:val="24"/>
        </w:rPr>
        <w:t>6、定标</w:t>
      </w:r>
    </w:p>
    <w:p w14:paraId="2648BDF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contextualSpacing/>
        <w:jc w:val="both"/>
        <w:textAlignment w:val="auto"/>
      </w:pPr>
      <w:r>
        <w:rPr>
          <w:rFonts w:hint="eastAsia" w:ascii="宋体" w:hAnsi="宋体"/>
          <w:sz w:val="24"/>
          <w:szCs w:val="24"/>
        </w:rPr>
        <w:t>根据综合评分进行排序，排名第一为中标单位。</w:t>
      </w:r>
      <w:bookmarkStart w:id="8" w:name="_Toc39744258"/>
    </w:p>
    <w:p w14:paraId="4FACCDFA">
      <w:pPr>
        <w:pStyle w:val="28"/>
      </w:pPr>
    </w:p>
    <w:p w14:paraId="3366C577">
      <w:pPr>
        <w:pStyle w:val="28"/>
      </w:pPr>
    </w:p>
    <w:p w14:paraId="79E17E21">
      <w:pPr>
        <w:rPr>
          <w:rFonts w:hint="eastAsia"/>
          <w:b/>
          <w:sz w:val="32"/>
          <w:szCs w:val="32"/>
        </w:rPr>
      </w:pPr>
      <w:r>
        <w:rPr>
          <w:rFonts w:hint="eastAsia"/>
          <w:b/>
          <w:sz w:val="32"/>
          <w:szCs w:val="32"/>
        </w:rPr>
        <w:br w:type="page"/>
      </w:r>
    </w:p>
    <w:p w14:paraId="08B23150">
      <w:pPr>
        <w:wordWrap w:val="0"/>
        <w:spacing w:line="440" w:lineRule="exact"/>
        <w:ind w:left="424" w:leftChars="202" w:right="531" w:rightChars="253" w:firstLine="553" w:firstLineChars="172"/>
        <w:contextualSpacing/>
        <w:jc w:val="center"/>
        <w:rPr>
          <w:rFonts w:ascii="宋体" w:hAnsi="宋体"/>
          <w:b/>
          <w:sz w:val="32"/>
          <w:szCs w:val="32"/>
        </w:rPr>
      </w:pPr>
      <w:r>
        <w:rPr>
          <w:rFonts w:hint="eastAsia"/>
          <w:b/>
          <w:sz w:val="32"/>
          <w:szCs w:val="32"/>
        </w:rPr>
        <w:t>四、投标文件格式及附件要求</w:t>
      </w:r>
      <w:bookmarkEnd w:id="8"/>
    </w:p>
    <w:p w14:paraId="371A7DB0">
      <w:pPr>
        <w:jc w:val="center"/>
        <w:rPr>
          <w:b/>
          <w:sz w:val="36"/>
          <w:szCs w:val="36"/>
        </w:rPr>
      </w:pPr>
    </w:p>
    <w:p w14:paraId="0E54A88D">
      <w:pPr>
        <w:jc w:val="center"/>
        <w:rPr>
          <w:rFonts w:ascii="宋体" w:hAnsi="宋体"/>
          <w:b/>
          <w:sz w:val="36"/>
          <w:szCs w:val="36"/>
          <w:u w:val="single"/>
        </w:rPr>
      </w:pPr>
      <w:r>
        <w:rPr>
          <w:rFonts w:hint="eastAsia"/>
          <w:b/>
          <w:sz w:val="36"/>
          <w:szCs w:val="36"/>
        </w:rPr>
        <w:t>目录</w:t>
      </w:r>
    </w:p>
    <w:p w14:paraId="60D2D40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contextualSpacing/>
        <w:textAlignment w:val="auto"/>
        <w:rPr>
          <w:rFonts w:hint="eastAsia" w:asciiTheme="majorEastAsia" w:hAnsiTheme="majorEastAsia" w:eastAsiaTheme="majorEastAsia" w:cstheme="majorEastAsia"/>
          <w:snapToGrid w:val="0"/>
          <w:sz w:val="24"/>
          <w:szCs w:val="24"/>
        </w:rPr>
      </w:pPr>
      <w:r>
        <w:rPr>
          <w:rFonts w:hint="eastAsia" w:asciiTheme="majorEastAsia" w:hAnsiTheme="majorEastAsia" w:eastAsiaTheme="majorEastAsia" w:cstheme="majorEastAsia"/>
          <w:snapToGrid w:val="0"/>
          <w:sz w:val="24"/>
          <w:szCs w:val="24"/>
        </w:rPr>
        <w:t>（一）资格审查</w:t>
      </w:r>
    </w:p>
    <w:p w14:paraId="131C1FB4">
      <w:pPr>
        <w:keepNext w:val="0"/>
        <w:keepLines w:val="0"/>
        <w:pageBreakBefore w:val="0"/>
        <w:widowControl w:val="0"/>
        <w:tabs>
          <w:tab w:val="left" w:pos="1300"/>
          <w:tab w:val="left" w:pos="1600"/>
        </w:tabs>
        <w:kinsoku/>
        <w:wordWrap/>
        <w:overflowPunct/>
        <w:topLinePunct w:val="0"/>
        <w:autoSpaceDE/>
        <w:autoSpaceDN/>
        <w:bidi w:val="0"/>
        <w:adjustRightInd w:val="0"/>
        <w:snapToGrid w:val="0"/>
        <w:spacing w:line="360" w:lineRule="auto"/>
        <w:ind w:left="0" w:leftChars="0" w:firstLine="480" w:firstLineChars="200"/>
        <w:contextualSpacing/>
        <w:textAlignment w:val="auto"/>
        <w:rPr>
          <w:rFonts w:hint="eastAsia" w:asciiTheme="majorEastAsia" w:hAnsiTheme="majorEastAsia" w:eastAsiaTheme="majorEastAsia" w:cstheme="majorEastAsia"/>
          <w:snapToGrid w:val="0"/>
          <w:sz w:val="24"/>
          <w:szCs w:val="24"/>
        </w:rPr>
      </w:pPr>
      <w:r>
        <w:rPr>
          <w:rFonts w:hint="eastAsia" w:asciiTheme="majorEastAsia" w:hAnsiTheme="majorEastAsia" w:eastAsiaTheme="majorEastAsia" w:cstheme="majorEastAsia"/>
          <w:snapToGrid w:val="0"/>
          <w:sz w:val="24"/>
          <w:szCs w:val="24"/>
        </w:rPr>
        <w:t>1、针对本项目的授权委托书原件；</w:t>
      </w:r>
    </w:p>
    <w:p w14:paraId="38F9011A">
      <w:pPr>
        <w:keepNext w:val="0"/>
        <w:keepLines w:val="0"/>
        <w:pageBreakBefore w:val="0"/>
        <w:widowControl w:val="0"/>
        <w:tabs>
          <w:tab w:val="left" w:pos="1300"/>
          <w:tab w:val="left" w:pos="1600"/>
        </w:tabs>
        <w:kinsoku/>
        <w:wordWrap/>
        <w:overflowPunct/>
        <w:topLinePunct w:val="0"/>
        <w:autoSpaceDE/>
        <w:autoSpaceDN/>
        <w:bidi w:val="0"/>
        <w:adjustRightInd w:val="0"/>
        <w:snapToGrid w:val="0"/>
        <w:spacing w:line="360" w:lineRule="auto"/>
        <w:ind w:left="0" w:leftChars="0" w:firstLine="480" w:firstLineChars="200"/>
        <w:contextualSpacing/>
        <w:textAlignment w:val="auto"/>
        <w:rPr>
          <w:rFonts w:hint="eastAsia" w:asciiTheme="majorEastAsia" w:hAnsiTheme="majorEastAsia" w:eastAsiaTheme="majorEastAsia" w:cstheme="majorEastAsia"/>
          <w:snapToGrid w:val="0"/>
          <w:sz w:val="24"/>
          <w:szCs w:val="24"/>
        </w:rPr>
      </w:pPr>
      <w:r>
        <w:rPr>
          <w:rFonts w:hint="eastAsia" w:asciiTheme="majorEastAsia" w:hAnsiTheme="majorEastAsia" w:eastAsiaTheme="majorEastAsia" w:cstheme="majorEastAsia"/>
          <w:snapToGrid w:val="0"/>
          <w:sz w:val="24"/>
          <w:szCs w:val="24"/>
        </w:rPr>
        <w:t>2、企业法人营业执照；</w:t>
      </w:r>
    </w:p>
    <w:p w14:paraId="43AC0B93">
      <w:pPr>
        <w:keepNext w:val="0"/>
        <w:keepLines w:val="0"/>
        <w:pageBreakBefore w:val="0"/>
        <w:widowControl w:val="0"/>
        <w:tabs>
          <w:tab w:val="left" w:pos="1300"/>
          <w:tab w:val="left" w:pos="1600"/>
        </w:tabs>
        <w:kinsoku/>
        <w:wordWrap/>
        <w:overflowPunct/>
        <w:topLinePunct w:val="0"/>
        <w:autoSpaceDE/>
        <w:autoSpaceDN/>
        <w:bidi w:val="0"/>
        <w:adjustRightInd w:val="0"/>
        <w:snapToGrid w:val="0"/>
        <w:spacing w:line="360" w:lineRule="auto"/>
        <w:ind w:left="0" w:leftChars="0" w:firstLine="480" w:firstLineChars="200"/>
        <w:contextualSpacing/>
        <w:textAlignment w:val="auto"/>
        <w:rPr>
          <w:rFonts w:hint="eastAsia" w:asciiTheme="majorEastAsia" w:hAnsiTheme="majorEastAsia" w:eastAsiaTheme="majorEastAsia" w:cstheme="majorEastAsia"/>
          <w:snapToGrid w:val="0"/>
          <w:sz w:val="24"/>
          <w:szCs w:val="24"/>
        </w:rPr>
      </w:pPr>
      <w:r>
        <w:rPr>
          <w:rFonts w:hint="eastAsia" w:asciiTheme="majorEastAsia" w:hAnsiTheme="majorEastAsia" w:eastAsiaTheme="majorEastAsia" w:cstheme="majorEastAsia"/>
          <w:snapToGrid w:val="0"/>
          <w:sz w:val="24"/>
          <w:szCs w:val="24"/>
        </w:rPr>
        <w:t>3、企业资质证书；</w:t>
      </w:r>
    </w:p>
    <w:p w14:paraId="3A44EB08">
      <w:pPr>
        <w:keepNext w:val="0"/>
        <w:keepLines w:val="0"/>
        <w:pageBreakBefore w:val="0"/>
        <w:widowControl w:val="0"/>
        <w:tabs>
          <w:tab w:val="left" w:pos="1300"/>
          <w:tab w:val="left" w:pos="1600"/>
        </w:tabs>
        <w:kinsoku/>
        <w:wordWrap/>
        <w:overflowPunct/>
        <w:topLinePunct w:val="0"/>
        <w:autoSpaceDE/>
        <w:autoSpaceDN/>
        <w:bidi w:val="0"/>
        <w:adjustRightInd w:val="0"/>
        <w:snapToGrid w:val="0"/>
        <w:spacing w:line="360" w:lineRule="auto"/>
        <w:ind w:left="0" w:leftChars="0" w:firstLine="480" w:firstLineChars="200"/>
        <w:contextualSpacing/>
        <w:textAlignment w:val="auto"/>
        <w:rPr>
          <w:rFonts w:hint="eastAsia" w:asciiTheme="majorEastAsia" w:hAnsiTheme="majorEastAsia" w:eastAsiaTheme="majorEastAsia" w:cstheme="majorEastAsia"/>
          <w:snapToGrid w:val="0"/>
          <w:color w:val="auto"/>
          <w:sz w:val="24"/>
          <w:szCs w:val="24"/>
        </w:rPr>
      </w:pPr>
      <w:r>
        <w:rPr>
          <w:rFonts w:hint="eastAsia" w:asciiTheme="majorEastAsia" w:hAnsiTheme="majorEastAsia" w:eastAsiaTheme="majorEastAsia" w:cstheme="majorEastAsia"/>
          <w:snapToGrid w:val="0"/>
          <w:sz w:val="24"/>
          <w:szCs w:val="24"/>
          <w:highlight w:val="none"/>
        </w:rPr>
        <w:t>4、由社保部</w:t>
      </w:r>
      <w:r>
        <w:rPr>
          <w:rFonts w:hint="eastAsia" w:asciiTheme="majorEastAsia" w:hAnsiTheme="majorEastAsia" w:eastAsiaTheme="majorEastAsia" w:cstheme="majorEastAsia"/>
          <w:snapToGrid w:val="0"/>
          <w:color w:val="auto"/>
          <w:sz w:val="24"/>
          <w:szCs w:val="24"/>
          <w:highlight w:val="none"/>
        </w:rPr>
        <w:t>门出具的投标人为经办人及投标报名项目负责人缴纳的</w:t>
      </w:r>
      <w:r>
        <w:rPr>
          <w:rFonts w:hint="eastAsia" w:asciiTheme="majorEastAsia" w:hAnsiTheme="majorEastAsia" w:eastAsiaTheme="majorEastAsia" w:cstheme="majorEastAsia"/>
          <w:snapToGrid w:val="0"/>
          <w:color w:val="auto"/>
          <w:sz w:val="24"/>
          <w:szCs w:val="24"/>
          <w:highlight w:val="none"/>
          <w:lang w:val="en-US" w:eastAsia="zh-CN"/>
        </w:rPr>
        <w:t>近三个月任意一个月</w:t>
      </w:r>
      <w:r>
        <w:rPr>
          <w:rFonts w:hint="eastAsia" w:asciiTheme="majorEastAsia" w:hAnsiTheme="majorEastAsia" w:eastAsiaTheme="majorEastAsia" w:cstheme="majorEastAsia"/>
          <w:snapToGrid w:val="0"/>
          <w:color w:val="auto"/>
          <w:sz w:val="24"/>
          <w:szCs w:val="24"/>
          <w:highlight w:val="none"/>
        </w:rPr>
        <w:t>养老保险费用</w:t>
      </w:r>
      <w:r>
        <w:rPr>
          <w:rFonts w:hint="eastAsia" w:asciiTheme="majorEastAsia" w:hAnsiTheme="majorEastAsia" w:eastAsiaTheme="majorEastAsia" w:cstheme="majorEastAsia"/>
          <w:snapToGrid w:val="0"/>
          <w:color w:val="auto"/>
          <w:sz w:val="24"/>
          <w:szCs w:val="24"/>
        </w:rPr>
        <w:t>的证明材料；</w:t>
      </w:r>
    </w:p>
    <w:p w14:paraId="00F96994">
      <w:pPr>
        <w:keepNext w:val="0"/>
        <w:keepLines w:val="0"/>
        <w:pageBreakBefore w:val="0"/>
        <w:widowControl w:val="0"/>
        <w:tabs>
          <w:tab w:val="left" w:pos="1300"/>
          <w:tab w:val="left" w:pos="1600"/>
        </w:tabs>
        <w:kinsoku/>
        <w:wordWrap/>
        <w:overflowPunct/>
        <w:topLinePunct w:val="0"/>
        <w:autoSpaceDE/>
        <w:autoSpaceDN/>
        <w:bidi w:val="0"/>
        <w:adjustRightInd w:val="0"/>
        <w:snapToGrid w:val="0"/>
        <w:spacing w:line="360" w:lineRule="auto"/>
        <w:ind w:left="0" w:leftChars="0" w:firstLine="480" w:firstLineChars="200"/>
        <w:contextualSpacing/>
        <w:textAlignment w:val="auto"/>
        <w:rPr>
          <w:rFonts w:hint="eastAsia" w:asciiTheme="majorEastAsia" w:hAnsiTheme="majorEastAsia" w:eastAsiaTheme="majorEastAsia" w:cstheme="majorEastAsia"/>
          <w:snapToGrid w:val="0"/>
          <w:sz w:val="24"/>
          <w:szCs w:val="24"/>
        </w:rPr>
      </w:pPr>
      <w:r>
        <w:rPr>
          <w:rFonts w:hint="eastAsia" w:asciiTheme="majorEastAsia" w:hAnsiTheme="majorEastAsia" w:eastAsiaTheme="majorEastAsia" w:cstheme="majorEastAsia"/>
          <w:snapToGrid w:val="0"/>
          <w:color w:val="auto"/>
          <w:sz w:val="24"/>
          <w:szCs w:val="24"/>
        </w:rPr>
        <w:t>5、投标单位不在供</w:t>
      </w:r>
      <w:r>
        <w:rPr>
          <w:rFonts w:hint="eastAsia" w:asciiTheme="majorEastAsia" w:hAnsiTheme="majorEastAsia" w:eastAsiaTheme="majorEastAsia" w:cstheme="majorEastAsia"/>
          <w:snapToGrid w:val="0"/>
          <w:sz w:val="24"/>
          <w:szCs w:val="24"/>
        </w:rPr>
        <w:t>应商被“信用中国”网站（www.creditchina.gov.cn）、“中国政府采购网</w:t>
      </w:r>
      <w:r>
        <w:rPr>
          <w:rFonts w:hint="eastAsia" w:asciiTheme="majorEastAsia" w:hAnsiTheme="majorEastAsia" w:eastAsiaTheme="majorEastAsia" w:cstheme="majorEastAsia"/>
          <w:snapToGrid w:val="0"/>
          <w:sz w:val="24"/>
          <w:szCs w:val="24"/>
          <w:lang w:eastAsia="zh-CN"/>
        </w:rPr>
        <w:t>”</w:t>
      </w:r>
      <w:r>
        <w:rPr>
          <w:rFonts w:hint="eastAsia" w:asciiTheme="majorEastAsia" w:hAnsiTheme="majorEastAsia" w:eastAsiaTheme="majorEastAsia" w:cstheme="majorEastAsia"/>
          <w:snapToGrid w:val="0"/>
          <w:sz w:val="24"/>
          <w:szCs w:val="24"/>
        </w:rPr>
        <w:t>(www.ccgp.gov.cn)列入失信被执行人、重大税收违法案件当事人名单、政府采购严重违法失信行为记录名单的截图，并盖章。</w:t>
      </w:r>
    </w:p>
    <w:p w14:paraId="16AE4887">
      <w:pPr>
        <w:keepNext w:val="0"/>
        <w:keepLines w:val="0"/>
        <w:pageBreakBefore w:val="0"/>
        <w:widowControl w:val="0"/>
        <w:tabs>
          <w:tab w:val="left" w:pos="1300"/>
          <w:tab w:val="left" w:pos="1600"/>
        </w:tabs>
        <w:kinsoku/>
        <w:wordWrap/>
        <w:overflowPunct/>
        <w:topLinePunct w:val="0"/>
        <w:autoSpaceDE/>
        <w:autoSpaceDN/>
        <w:bidi w:val="0"/>
        <w:adjustRightInd w:val="0"/>
        <w:snapToGrid w:val="0"/>
        <w:spacing w:line="360" w:lineRule="auto"/>
        <w:ind w:left="0" w:leftChars="0" w:firstLine="480" w:firstLineChars="200"/>
        <w:contextualSpacing/>
        <w:textAlignment w:val="auto"/>
        <w:rPr>
          <w:rFonts w:hint="eastAsia" w:asciiTheme="majorEastAsia" w:hAnsiTheme="majorEastAsia" w:eastAsiaTheme="majorEastAsia" w:cstheme="majorEastAsia"/>
          <w:snapToGrid w:val="0"/>
          <w:sz w:val="24"/>
          <w:szCs w:val="24"/>
        </w:rPr>
      </w:pPr>
      <w:r>
        <w:rPr>
          <w:rFonts w:hint="eastAsia" w:asciiTheme="majorEastAsia" w:hAnsiTheme="majorEastAsia" w:eastAsiaTheme="majorEastAsia" w:cstheme="majorEastAsia"/>
          <w:snapToGrid w:val="0"/>
          <w:sz w:val="24"/>
          <w:szCs w:val="24"/>
        </w:rPr>
        <w:t>6、需求响应表（格式自拟）；</w:t>
      </w:r>
    </w:p>
    <w:p w14:paraId="37213098">
      <w:pPr>
        <w:keepNext w:val="0"/>
        <w:keepLines w:val="0"/>
        <w:pageBreakBefore w:val="0"/>
        <w:widowControl w:val="0"/>
        <w:tabs>
          <w:tab w:val="left" w:pos="1300"/>
          <w:tab w:val="left" w:pos="1600"/>
        </w:tabs>
        <w:kinsoku/>
        <w:wordWrap/>
        <w:overflowPunct/>
        <w:topLinePunct w:val="0"/>
        <w:autoSpaceDE/>
        <w:autoSpaceDN/>
        <w:bidi w:val="0"/>
        <w:adjustRightInd w:val="0"/>
        <w:snapToGrid w:val="0"/>
        <w:spacing w:line="360" w:lineRule="auto"/>
        <w:ind w:left="0" w:leftChars="0" w:firstLine="480" w:firstLineChars="200"/>
        <w:contextualSpacing/>
        <w:textAlignment w:val="auto"/>
        <w:rPr>
          <w:rFonts w:hint="eastAsia" w:asciiTheme="majorEastAsia" w:hAnsiTheme="majorEastAsia" w:eastAsiaTheme="majorEastAsia" w:cstheme="majorEastAsia"/>
          <w:snapToGrid w:val="0"/>
          <w:sz w:val="24"/>
          <w:szCs w:val="24"/>
        </w:rPr>
      </w:pPr>
      <w:r>
        <w:rPr>
          <w:rFonts w:hint="eastAsia" w:asciiTheme="majorEastAsia" w:hAnsiTheme="majorEastAsia" w:eastAsiaTheme="majorEastAsia" w:cstheme="majorEastAsia"/>
          <w:snapToGrid w:val="0"/>
          <w:sz w:val="24"/>
          <w:szCs w:val="24"/>
        </w:rPr>
        <w:t>7、投标人认为需要提供的其他材料。</w:t>
      </w:r>
    </w:p>
    <w:p w14:paraId="7B53F3C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contextualSpacing/>
        <w:textAlignment w:val="auto"/>
        <w:rPr>
          <w:rFonts w:hint="eastAsia" w:asciiTheme="majorEastAsia" w:hAnsiTheme="majorEastAsia" w:eastAsiaTheme="majorEastAsia" w:cstheme="majorEastAsia"/>
          <w:snapToGrid w:val="0"/>
          <w:sz w:val="24"/>
          <w:szCs w:val="24"/>
        </w:rPr>
      </w:pPr>
      <w:r>
        <w:rPr>
          <w:rFonts w:hint="eastAsia" w:asciiTheme="majorEastAsia" w:hAnsiTheme="majorEastAsia" w:eastAsiaTheme="majorEastAsia" w:cstheme="majorEastAsia"/>
          <w:snapToGrid w:val="0"/>
          <w:sz w:val="24"/>
          <w:szCs w:val="24"/>
        </w:rPr>
        <w:t>（二）报价文件</w:t>
      </w:r>
    </w:p>
    <w:p w14:paraId="5EBD2A02">
      <w:pPr>
        <w:keepNext w:val="0"/>
        <w:keepLines w:val="0"/>
        <w:pageBreakBefore w:val="0"/>
        <w:widowControl w:val="0"/>
        <w:tabs>
          <w:tab w:val="left" w:pos="1300"/>
          <w:tab w:val="left" w:pos="1600"/>
        </w:tabs>
        <w:kinsoku/>
        <w:wordWrap/>
        <w:overflowPunct/>
        <w:topLinePunct w:val="0"/>
        <w:autoSpaceDE/>
        <w:autoSpaceDN/>
        <w:bidi w:val="0"/>
        <w:adjustRightInd w:val="0"/>
        <w:snapToGrid w:val="0"/>
        <w:spacing w:line="360" w:lineRule="auto"/>
        <w:ind w:left="0" w:leftChars="0" w:firstLine="480" w:firstLineChars="200"/>
        <w:contextualSpacing/>
        <w:textAlignment w:val="auto"/>
        <w:rPr>
          <w:rFonts w:hint="eastAsia" w:asciiTheme="majorEastAsia" w:hAnsiTheme="majorEastAsia" w:eastAsiaTheme="majorEastAsia" w:cstheme="majorEastAsia"/>
          <w:snapToGrid w:val="0"/>
          <w:sz w:val="24"/>
          <w:szCs w:val="24"/>
        </w:rPr>
      </w:pPr>
      <w:r>
        <w:rPr>
          <w:rFonts w:hint="eastAsia" w:asciiTheme="majorEastAsia" w:hAnsiTheme="majorEastAsia" w:eastAsiaTheme="majorEastAsia" w:cstheme="majorEastAsia"/>
          <w:snapToGrid w:val="0"/>
          <w:sz w:val="24"/>
          <w:szCs w:val="24"/>
        </w:rPr>
        <w:t>1、投标函</w:t>
      </w:r>
    </w:p>
    <w:p w14:paraId="1A0183FE">
      <w:pPr>
        <w:keepNext w:val="0"/>
        <w:keepLines w:val="0"/>
        <w:pageBreakBefore w:val="0"/>
        <w:widowControl w:val="0"/>
        <w:tabs>
          <w:tab w:val="left" w:pos="1300"/>
          <w:tab w:val="left" w:pos="1600"/>
        </w:tabs>
        <w:kinsoku/>
        <w:wordWrap/>
        <w:overflowPunct/>
        <w:topLinePunct w:val="0"/>
        <w:autoSpaceDE/>
        <w:autoSpaceDN/>
        <w:bidi w:val="0"/>
        <w:adjustRightInd w:val="0"/>
        <w:snapToGrid w:val="0"/>
        <w:spacing w:line="360" w:lineRule="auto"/>
        <w:ind w:left="0" w:leftChars="0" w:firstLine="480" w:firstLineChars="200"/>
        <w:contextualSpacing/>
        <w:textAlignment w:val="auto"/>
        <w:rPr>
          <w:rFonts w:hint="eastAsia" w:asciiTheme="majorEastAsia" w:hAnsiTheme="majorEastAsia" w:eastAsiaTheme="majorEastAsia" w:cstheme="majorEastAsia"/>
          <w:snapToGrid w:val="0"/>
          <w:sz w:val="24"/>
          <w:szCs w:val="24"/>
        </w:rPr>
      </w:pPr>
      <w:r>
        <w:rPr>
          <w:rFonts w:hint="eastAsia" w:asciiTheme="majorEastAsia" w:hAnsiTheme="majorEastAsia" w:eastAsiaTheme="majorEastAsia" w:cstheme="majorEastAsia"/>
          <w:snapToGrid w:val="0"/>
          <w:sz w:val="24"/>
          <w:szCs w:val="24"/>
        </w:rPr>
        <w:t>2、授权委托书</w:t>
      </w:r>
    </w:p>
    <w:p w14:paraId="47316504">
      <w:pPr>
        <w:keepNext w:val="0"/>
        <w:keepLines w:val="0"/>
        <w:pageBreakBefore w:val="0"/>
        <w:widowControl w:val="0"/>
        <w:tabs>
          <w:tab w:val="left" w:pos="1300"/>
          <w:tab w:val="left" w:pos="1600"/>
        </w:tabs>
        <w:kinsoku/>
        <w:wordWrap/>
        <w:overflowPunct/>
        <w:topLinePunct w:val="0"/>
        <w:autoSpaceDE/>
        <w:autoSpaceDN/>
        <w:bidi w:val="0"/>
        <w:adjustRightInd w:val="0"/>
        <w:snapToGrid w:val="0"/>
        <w:spacing w:line="360" w:lineRule="auto"/>
        <w:ind w:left="0" w:leftChars="0" w:firstLine="480" w:firstLineChars="200"/>
        <w:contextualSpacing/>
        <w:textAlignment w:val="auto"/>
        <w:rPr>
          <w:rFonts w:hint="eastAsia" w:asciiTheme="majorEastAsia" w:hAnsiTheme="majorEastAsia" w:eastAsiaTheme="majorEastAsia" w:cstheme="majorEastAsia"/>
          <w:snapToGrid w:val="0"/>
          <w:sz w:val="24"/>
          <w:szCs w:val="24"/>
        </w:rPr>
      </w:pPr>
      <w:r>
        <w:rPr>
          <w:rFonts w:hint="eastAsia" w:asciiTheme="majorEastAsia" w:hAnsiTheme="majorEastAsia" w:eastAsiaTheme="majorEastAsia" w:cstheme="majorEastAsia"/>
          <w:snapToGrid w:val="0"/>
          <w:sz w:val="24"/>
          <w:szCs w:val="24"/>
          <w:lang w:val="en-US" w:eastAsia="zh-CN"/>
        </w:rPr>
        <w:t>3</w:t>
      </w:r>
      <w:r>
        <w:rPr>
          <w:rFonts w:hint="eastAsia" w:asciiTheme="majorEastAsia" w:hAnsiTheme="majorEastAsia" w:eastAsiaTheme="majorEastAsia" w:cstheme="majorEastAsia"/>
          <w:snapToGrid w:val="0"/>
          <w:sz w:val="24"/>
          <w:szCs w:val="24"/>
        </w:rPr>
        <w:t>、投标报价</w:t>
      </w:r>
    </w:p>
    <w:p w14:paraId="4CFD17B4">
      <w:pPr>
        <w:keepNext w:val="0"/>
        <w:keepLines w:val="0"/>
        <w:pageBreakBefore w:val="0"/>
        <w:widowControl w:val="0"/>
        <w:tabs>
          <w:tab w:val="left" w:pos="1300"/>
          <w:tab w:val="left" w:pos="1600"/>
        </w:tabs>
        <w:kinsoku/>
        <w:wordWrap/>
        <w:overflowPunct/>
        <w:topLinePunct w:val="0"/>
        <w:autoSpaceDE/>
        <w:autoSpaceDN/>
        <w:bidi w:val="0"/>
        <w:adjustRightInd w:val="0"/>
        <w:snapToGrid w:val="0"/>
        <w:spacing w:line="360" w:lineRule="auto"/>
        <w:ind w:left="0" w:leftChars="0" w:firstLine="480" w:firstLineChars="200"/>
        <w:contextualSpacing/>
        <w:textAlignment w:val="auto"/>
        <w:rPr>
          <w:rFonts w:hint="eastAsia" w:asciiTheme="majorEastAsia" w:hAnsiTheme="majorEastAsia" w:eastAsiaTheme="majorEastAsia" w:cstheme="majorEastAsia"/>
          <w:snapToGrid w:val="0"/>
          <w:sz w:val="24"/>
          <w:szCs w:val="24"/>
        </w:rPr>
      </w:pPr>
      <w:r>
        <w:rPr>
          <w:rFonts w:hint="eastAsia" w:asciiTheme="majorEastAsia" w:hAnsiTheme="majorEastAsia" w:eastAsiaTheme="majorEastAsia" w:cstheme="majorEastAsia"/>
          <w:snapToGrid w:val="0"/>
          <w:sz w:val="24"/>
          <w:szCs w:val="24"/>
          <w:lang w:val="en-US" w:eastAsia="zh-CN"/>
        </w:rPr>
        <w:t>4</w:t>
      </w:r>
      <w:r>
        <w:rPr>
          <w:rFonts w:hint="eastAsia" w:asciiTheme="majorEastAsia" w:hAnsiTheme="majorEastAsia" w:eastAsiaTheme="majorEastAsia" w:cstheme="majorEastAsia"/>
          <w:snapToGrid w:val="0"/>
          <w:sz w:val="24"/>
          <w:szCs w:val="24"/>
        </w:rPr>
        <w:t>、供应商廉洁自律承诺书</w:t>
      </w:r>
    </w:p>
    <w:p w14:paraId="248338A6">
      <w:pPr>
        <w:pStyle w:val="28"/>
        <w:keepNext w:val="0"/>
        <w:keepLines w:val="0"/>
        <w:pageBreakBefore w:val="0"/>
        <w:widowControl w:val="0"/>
        <w:kinsoku/>
        <w:wordWrap/>
        <w:overflowPunct/>
        <w:topLinePunct w:val="0"/>
        <w:bidi w:val="0"/>
        <w:adjustRightInd w:val="0"/>
        <w:spacing w:line="440" w:lineRule="exact"/>
        <w:textAlignment w:val="auto"/>
      </w:pPr>
    </w:p>
    <w:p w14:paraId="5920ED21">
      <w:pPr>
        <w:pStyle w:val="28"/>
      </w:pPr>
    </w:p>
    <w:p w14:paraId="5F35E700">
      <w:pPr>
        <w:adjustRightInd w:val="0"/>
        <w:snapToGrid w:val="0"/>
        <w:spacing w:line="440" w:lineRule="exact"/>
        <w:ind w:left="424" w:leftChars="202" w:firstLine="371" w:firstLineChars="177"/>
        <w:contextualSpacing/>
        <w:rPr>
          <w:rFonts w:ascii="宋体" w:hAnsi="宋体"/>
          <w:bCs/>
          <w:szCs w:val="21"/>
        </w:rPr>
      </w:pPr>
    </w:p>
    <w:p w14:paraId="31EBC6F0">
      <w:pPr>
        <w:tabs>
          <w:tab w:val="left" w:pos="1300"/>
          <w:tab w:val="left" w:pos="1600"/>
        </w:tabs>
        <w:spacing w:line="560" w:lineRule="exact"/>
        <w:ind w:firstLine="420" w:firstLineChars="200"/>
        <w:rPr>
          <w:rFonts w:ascii="宋体" w:hAnsi="宋体"/>
          <w:bCs/>
          <w:szCs w:val="21"/>
        </w:rPr>
      </w:pPr>
    </w:p>
    <w:p w14:paraId="3D3BBA28">
      <w:pPr>
        <w:tabs>
          <w:tab w:val="left" w:pos="1300"/>
          <w:tab w:val="left" w:pos="1600"/>
        </w:tabs>
        <w:spacing w:line="560" w:lineRule="exact"/>
        <w:ind w:firstLine="420" w:firstLineChars="200"/>
        <w:rPr>
          <w:rFonts w:ascii="宋体" w:hAnsi="宋体"/>
          <w:bCs/>
          <w:szCs w:val="21"/>
        </w:rPr>
      </w:pPr>
    </w:p>
    <w:p w14:paraId="3761699F">
      <w:pPr>
        <w:tabs>
          <w:tab w:val="left" w:pos="1300"/>
          <w:tab w:val="left" w:pos="1600"/>
        </w:tabs>
        <w:spacing w:line="560" w:lineRule="exact"/>
        <w:ind w:firstLine="480" w:firstLineChars="200"/>
        <w:rPr>
          <w:rFonts w:ascii="宋体" w:hAnsi="宋体"/>
          <w:snapToGrid w:val="0"/>
          <w:sz w:val="24"/>
        </w:rPr>
      </w:pPr>
    </w:p>
    <w:p w14:paraId="2F1DD17A">
      <w:pPr>
        <w:pStyle w:val="10"/>
        <w:rPr>
          <w:rFonts w:ascii="黑体" w:hAnsi="Times New Roman" w:eastAsia="黑体"/>
          <w:b/>
          <w:sz w:val="36"/>
        </w:rPr>
      </w:pPr>
    </w:p>
    <w:p w14:paraId="25FA118F">
      <w:pPr>
        <w:pStyle w:val="10"/>
        <w:rPr>
          <w:rFonts w:ascii="黑体" w:hAnsi="Times New Roman" w:eastAsia="黑体"/>
          <w:b/>
          <w:sz w:val="36"/>
        </w:rPr>
      </w:pPr>
    </w:p>
    <w:p w14:paraId="0580656F">
      <w:pPr>
        <w:pStyle w:val="10"/>
        <w:rPr>
          <w:rFonts w:ascii="黑体" w:hAnsi="Times New Roman" w:eastAsia="黑体"/>
          <w:b/>
          <w:sz w:val="36"/>
        </w:rPr>
      </w:pPr>
    </w:p>
    <w:p w14:paraId="28874FA8">
      <w:pPr>
        <w:spacing w:line="360" w:lineRule="auto"/>
        <w:ind w:firstLine="3975" w:firstLineChars="1100"/>
        <w:rPr>
          <w:rFonts w:ascii="宋体" w:hAnsi="宋体"/>
          <w:b/>
          <w:sz w:val="36"/>
          <w:szCs w:val="36"/>
        </w:rPr>
      </w:pPr>
      <w:r>
        <w:rPr>
          <w:rFonts w:hint="eastAsia" w:hAnsi="宋体"/>
          <w:b/>
          <w:sz w:val="36"/>
        </w:rPr>
        <w:t xml:space="preserve">  </w:t>
      </w:r>
      <w:r>
        <w:rPr>
          <w:rFonts w:hint="eastAsia" w:ascii="宋体" w:hAnsi="宋体"/>
          <w:b/>
          <w:sz w:val="36"/>
          <w:szCs w:val="36"/>
        </w:rPr>
        <w:t>投标函</w:t>
      </w:r>
    </w:p>
    <w:p w14:paraId="1E664F6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contextualSpacing/>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招标人：</w:t>
      </w:r>
      <w:r>
        <w:rPr>
          <w:rFonts w:hint="eastAsia" w:asciiTheme="minorEastAsia" w:hAnsiTheme="minorEastAsia" w:eastAsiaTheme="minorEastAsia" w:cstheme="minorEastAsia"/>
          <w:sz w:val="24"/>
          <w:szCs w:val="24"/>
          <w:u w:val="single"/>
        </w:rPr>
        <w:t xml:space="preserve">扬州大学附属医院 </w:t>
      </w:r>
    </w:p>
    <w:p w14:paraId="4009B4E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contextualSpacing/>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根据已收到贵方的</w:t>
      </w:r>
      <w:r>
        <w:rPr>
          <w:rFonts w:hint="eastAsia" w:asciiTheme="minorEastAsia" w:hAnsiTheme="minorEastAsia" w:eastAsiaTheme="minorEastAsia" w:cstheme="minorEastAsia"/>
          <w:b/>
          <w:bCs/>
          <w:sz w:val="24"/>
          <w:szCs w:val="24"/>
          <w:u w:val="single"/>
        </w:rPr>
        <w:t xml:space="preserve">                                </w:t>
      </w:r>
      <w:r>
        <w:rPr>
          <w:rFonts w:hint="eastAsia" w:asciiTheme="minorEastAsia" w:hAnsiTheme="minorEastAsia" w:eastAsiaTheme="minorEastAsia" w:cstheme="minorEastAsia"/>
          <w:bCs/>
          <w:sz w:val="24"/>
          <w:szCs w:val="24"/>
        </w:rPr>
        <w:t>项目的院内公开谈判文件，遵照扬州大学采购管理暂行办法，我单位经研究上述院内公开谈判文件的投标须知、合同条件、技术规范、和其他有关文件后，我方投标报价为</w:t>
      </w:r>
    </w:p>
    <w:p w14:paraId="11487A1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contextualSpacing/>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u w:val="single"/>
          <w:lang w:val="en-US" w:eastAsia="zh-CN"/>
        </w:rPr>
        <w:t xml:space="preserve"> </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u w:val="single"/>
          <w:lang w:val="en-US" w:eastAsia="zh-CN"/>
        </w:rPr>
        <w:t xml:space="preserve">   </w:t>
      </w:r>
      <w:r>
        <w:rPr>
          <w:rFonts w:hint="eastAsia" w:asciiTheme="minorEastAsia" w:hAnsiTheme="minorEastAsia" w:eastAsiaTheme="minorEastAsia" w:cstheme="minorEastAsia"/>
          <w:bCs/>
          <w:sz w:val="24"/>
          <w:szCs w:val="24"/>
          <w:u w:val="single"/>
        </w:rPr>
        <w:t>万元</w:t>
      </w:r>
      <w:r>
        <w:rPr>
          <w:rFonts w:hint="eastAsia" w:asciiTheme="minorEastAsia" w:hAnsiTheme="minorEastAsia" w:eastAsiaTheme="minorEastAsia" w:cstheme="minorEastAsia"/>
          <w:bCs/>
          <w:sz w:val="24"/>
          <w:szCs w:val="24"/>
        </w:rPr>
        <w:t>。</w:t>
      </w:r>
    </w:p>
    <w:p w14:paraId="7732BFEC">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textAlignment w:val="auto"/>
        <w:rPr>
          <w:rFonts w:hint="eastAsia" w:asciiTheme="minorEastAsia" w:hAnsiTheme="minorEastAsia" w:eastAsiaTheme="minorEastAsia" w:cstheme="minorEastAsia"/>
          <w:bCs/>
          <w:sz w:val="24"/>
          <w:szCs w:val="24"/>
        </w:rPr>
      </w:pPr>
    </w:p>
    <w:p w14:paraId="651034D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contextualSpacing/>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投标人（盖章）：</w:t>
      </w:r>
    </w:p>
    <w:p w14:paraId="1E5207EA">
      <w:pPr>
        <w:pStyle w:val="28"/>
        <w:rPr>
          <w:rFonts w:hint="eastAsia"/>
        </w:rPr>
      </w:pPr>
    </w:p>
    <w:p w14:paraId="738D9EB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contextualSpacing/>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法定代表人或授权委托人（签字）：</w:t>
      </w:r>
    </w:p>
    <w:p w14:paraId="4ED79E1F">
      <w:pPr>
        <w:pStyle w:val="28"/>
        <w:rPr>
          <w:rFonts w:hint="eastAsia"/>
        </w:rPr>
      </w:pPr>
    </w:p>
    <w:p w14:paraId="0C878A3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contextualSpacing/>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日  期：</w:t>
      </w:r>
    </w:p>
    <w:p w14:paraId="39EC2E82">
      <w:pPr>
        <w:rPr>
          <w:rFonts w:hint="eastAsia" w:hAnsi="宋体"/>
          <w:b/>
          <w:sz w:val="36"/>
        </w:rPr>
      </w:pPr>
      <w:r>
        <w:rPr>
          <w:rFonts w:hint="eastAsia" w:hAnsi="宋体"/>
          <w:b/>
          <w:sz w:val="36"/>
        </w:rPr>
        <w:br w:type="page"/>
      </w:r>
    </w:p>
    <w:p w14:paraId="443C95E4">
      <w:pPr>
        <w:pStyle w:val="10"/>
        <w:jc w:val="center"/>
        <w:rPr>
          <w:rFonts w:hAnsi="宋体"/>
          <w:b/>
          <w:sz w:val="36"/>
        </w:rPr>
      </w:pPr>
      <w:r>
        <w:rPr>
          <w:rFonts w:hint="eastAsia" w:hAnsi="宋体"/>
          <w:b/>
          <w:sz w:val="36"/>
        </w:rPr>
        <w:t>授权</w:t>
      </w:r>
      <w:r>
        <w:rPr>
          <w:rFonts w:hint="eastAsia" w:hAnsi="宋体"/>
          <w:b/>
          <w:sz w:val="36"/>
          <w:lang w:val="en-US" w:eastAsia="zh-CN"/>
        </w:rPr>
        <w:t>委托</w:t>
      </w:r>
      <w:r>
        <w:rPr>
          <w:rFonts w:hint="eastAsia" w:hAnsi="宋体"/>
          <w:b/>
          <w:sz w:val="36"/>
        </w:rPr>
        <w:t>书</w:t>
      </w:r>
    </w:p>
    <w:p w14:paraId="634F19FA">
      <w:pPr>
        <w:pStyle w:val="10"/>
        <w:jc w:val="center"/>
        <w:rPr>
          <w:rFonts w:hAnsi="宋体"/>
          <w:b/>
          <w:sz w:val="24"/>
          <w:szCs w:val="24"/>
        </w:rPr>
      </w:pPr>
    </w:p>
    <w:p w14:paraId="5501123D">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sz w:val="24"/>
          <w:szCs w:val="24"/>
        </w:rPr>
      </w:pPr>
      <w:r>
        <w:rPr>
          <w:rFonts w:hint="eastAsia" w:hAnsi="宋体"/>
          <w:sz w:val="24"/>
          <w:szCs w:val="24"/>
        </w:rPr>
        <w:t>本授权委托书声明：我</w:t>
      </w:r>
      <w:r>
        <w:rPr>
          <w:rFonts w:hAnsi="宋体"/>
          <w:sz w:val="24"/>
          <w:szCs w:val="24"/>
        </w:rPr>
        <w:t>(</w:t>
      </w:r>
      <w:r>
        <w:rPr>
          <w:rFonts w:hint="eastAsia" w:hAnsi="宋体"/>
          <w:sz w:val="24"/>
          <w:szCs w:val="24"/>
        </w:rPr>
        <w:t>姓名</w:t>
      </w:r>
      <w:r>
        <w:rPr>
          <w:rFonts w:hAnsi="宋体"/>
          <w:sz w:val="24"/>
          <w:szCs w:val="24"/>
        </w:rPr>
        <w:t>)</w:t>
      </w:r>
      <w:r>
        <w:rPr>
          <w:rFonts w:hint="eastAsia" w:hAnsi="宋体"/>
          <w:sz w:val="24"/>
          <w:szCs w:val="24"/>
          <w:u w:val="single"/>
        </w:rPr>
        <w:t xml:space="preserve">          </w:t>
      </w:r>
      <w:r>
        <w:rPr>
          <w:rFonts w:hint="eastAsia" w:hAnsi="宋体"/>
          <w:sz w:val="24"/>
          <w:szCs w:val="24"/>
        </w:rPr>
        <w:t>系</w:t>
      </w:r>
      <w:r>
        <w:rPr>
          <w:rFonts w:hAnsi="宋体"/>
          <w:sz w:val="24"/>
          <w:szCs w:val="24"/>
        </w:rPr>
        <w:t>(</w:t>
      </w:r>
      <w:r>
        <w:rPr>
          <w:rFonts w:hint="eastAsia" w:hAnsi="宋体"/>
          <w:sz w:val="24"/>
          <w:szCs w:val="24"/>
        </w:rPr>
        <w:t>投标人名称</w:t>
      </w:r>
      <w:r>
        <w:rPr>
          <w:rFonts w:hAnsi="宋体"/>
          <w:sz w:val="24"/>
          <w:szCs w:val="24"/>
        </w:rPr>
        <w:t>)</w:t>
      </w:r>
      <w:r>
        <w:rPr>
          <w:rFonts w:hint="eastAsia" w:hAnsi="宋体"/>
          <w:sz w:val="24"/>
          <w:szCs w:val="24"/>
          <w:u w:val="single"/>
        </w:rPr>
        <w:t xml:space="preserve">    </w:t>
      </w:r>
      <w:r>
        <w:rPr>
          <w:rFonts w:hint="eastAsia" w:hAnsi="宋体"/>
          <w:sz w:val="24"/>
          <w:szCs w:val="24"/>
          <w:u w:val="single"/>
          <w:lang w:val="en-US" w:eastAsia="zh-CN"/>
        </w:rPr>
        <w:t xml:space="preserve">         </w:t>
      </w:r>
      <w:r>
        <w:rPr>
          <w:rFonts w:hint="eastAsia" w:hAnsi="宋体"/>
          <w:sz w:val="24"/>
          <w:szCs w:val="24"/>
          <w:u w:val="single"/>
        </w:rPr>
        <w:t xml:space="preserve">      </w:t>
      </w:r>
      <w:r>
        <w:rPr>
          <w:rFonts w:hint="eastAsia" w:hAnsi="宋体"/>
          <w:sz w:val="24"/>
          <w:szCs w:val="24"/>
        </w:rPr>
        <w:t>的法定代表人，现授权委托我单位的(姓名)</w:t>
      </w:r>
      <w:r>
        <w:rPr>
          <w:rFonts w:hint="eastAsia" w:hAnsi="宋体"/>
          <w:sz w:val="24"/>
          <w:szCs w:val="24"/>
          <w:u w:val="single"/>
        </w:rPr>
        <w:t xml:space="preserve">          </w:t>
      </w:r>
      <w:r>
        <w:rPr>
          <w:rFonts w:hint="eastAsia" w:hAnsi="宋体"/>
          <w:sz w:val="24"/>
          <w:szCs w:val="24"/>
        </w:rPr>
        <w:t>为我公司代理人。代理人在</w:t>
      </w:r>
    </w:p>
    <w:p w14:paraId="6CA476F7">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Ansi="宋体"/>
          <w:sz w:val="24"/>
          <w:szCs w:val="24"/>
          <w:u w:val="single"/>
        </w:rPr>
      </w:pPr>
      <w:r>
        <w:rPr>
          <w:rFonts w:hint="eastAsia" w:hAnsi="宋体"/>
          <w:sz w:val="24"/>
          <w:szCs w:val="24"/>
          <w:u w:val="single"/>
        </w:rPr>
        <w:t xml:space="preserve">                       </w:t>
      </w:r>
      <w:r>
        <w:rPr>
          <w:rFonts w:hint="eastAsia" w:hAnsi="宋体"/>
          <w:sz w:val="24"/>
          <w:szCs w:val="24"/>
        </w:rPr>
        <w:t>项目院内公开谈判活动中所签署的一切文件和处理与之有关的一切事务，我均予以承认。</w:t>
      </w:r>
    </w:p>
    <w:p w14:paraId="7C74D830">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sz w:val="24"/>
          <w:szCs w:val="24"/>
        </w:rPr>
      </w:pPr>
      <w:r>
        <w:rPr>
          <w:rFonts w:hint="eastAsia" w:hAnsi="宋体"/>
          <w:sz w:val="24"/>
          <w:szCs w:val="24"/>
        </w:rPr>
        <w:t>代理人无转委权。特此委托。</w:t>
      </w:r>
    </w:p>
    <w:p w14:paraId="24D4DFBB">
      <w:pPr>
        <w:pStyle w:val="10"/>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hAnsi="宋体"/>
          <w:sz w:val="24"/>
          <w:szCs w:val="24"/>
        </w:rPr>
      </w:pPr>
    </w:p>
    <w:p w14:paraId="2996B063">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sz w:val="24"/>
          <w:szCs w:val="24"/>
        </w:rPr>
      </w:pPr>
      <w:r>
        <w:rPr>
          <w:rFonts w:hint="eastAsia" w:hAnsi="宋体"/>
          <w:sz w:val="24"/>
          <w:szCs w:val="24"/>
        </w:rPr>
        <w:t>投标人：</w:t>
      </w:r>
      <w:r>
        <w:rPr>
          <w:rFonts w:hAnsi="宋体"/>
          <w:sz w:val="24"/>
          <w:szCs w:val="24"/>
        </w:rPr>
        <w:t>(</w:t>
      </w:r>
      <w:r>
        <w:rPr>
          <w:rFonts w:hint="eastAsia" w:hAnsi="宋体"/>
          <w:sz w:val="24"/>
          <w:szCs w:val="24"/>
        </w:rPr>
        <w:t>盖章</w:t>
      </w:r>
      <w:r>
        <w:rPr>
          <w:rFonts w:hAnsi="宋体"/>
          <w:sz w:val="24"/>
          <w:szCs w:val="24"/>
        </w:rPr>
        <w:t>)</w:t>
      </w:r>
    </w:p>
    <w:p w14:paraId="082B8992">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Ansi="宋体"/>
          <w:sz w:val="24"/>
          <w:szCs w:val="24"/>
        </w:rPr>
      </w:pPr>
    </w:p>
    <w:p w14:paraId="14F97EB0">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sz w:val="24"/>
          <w:szCs w:val="24"/>
        </w:rPr>
      </w:pPr>
      <w:r>
        <w:rPr>
          <w:rFonts w:hint="eastAsia" w:hAnsi="宋体"/>
          <w:sz w:val="24"/>
          <w:szCs w:val="24"/>
        </w:rPr>
        <w:t>法定代表人：</w:t>
      </w:r>
      <w:r>
        <w:rPr>
          <w:rFonts w:hAnsi="宋体"/>
          <w:sz w:val="24"/>
          <w:szCs w:val="24"/>
        </w:rPr>
        <w:t>(</w:t>
      </w:r>
      <w:r>
        <w:rPr>
          <w:rFonts w:hint="eastAsia" w:hAnsi="宋体"/>
          <w:sz w:val="24"/>
          <w:szCs w:val="24"/>
        </w:rPr>
        <w:t>签字</w:t>
      </w:r>
      <w:r>
        <w:rPr>
          <w:rFonts w:hAnsi="宋体"/>
          <w:sz w:val="24"/>
          <w:szCs w:val="24"/>
        </w:rPr>
        <w:t>)</w:t>
      </w:r>
    </w:p>
    <w:p w14:paraId="427DECAC">
      <w:pPr>
        <w:pStyle w:val="10"/>
        <w:spacing w:line="480" w:lineRule="auto"/>
        <w:ind w:firstLine="360" w:firstLineChars="150"/>
        <w:rPr>
          <w:rFonts w:hAnsi="宋体"/>
          <w:sz w:val="24"/>
          <w:szCs w:val="24"/>
        </w:rPr>
      </w:pPr>
    </w:p>
    <w:p w14:paraId="73ED47F1">
      <w:pPr>
        <w:pStyle w:val="10"/>
        <w:spacing w:line="480" w:lineRule="auto"/>
        <w:ind w:firstLine="6600" w:firstLineChars="2750"/>
        <w:rPr>
          <w:rFonts w:hAnsi="宋体"/>
          <w:sz w:val="24"/>
          <w:szCs w:val="24"/>
        </w:rPr>
      </w:pPr>
      <w:r>
        <w:rPr>
          <w:rFonts w:hint="eastAsia" w:hAnsi="宋体"/>
          <w:sz w:val="24"/>
          <w:szCs w:val="24"/>
        </w:rPr>
        <w:t xml:space="preserve">日期： </w:t>
      </w:r>
      <w:r>
        <w:rPr>
          <w:rFonts w:hint="eastAsia" w:hAnsi="宋体"/>
          <w:sz w:val="24"/>
          <w:szCs w:val="24"/>
          <w:lang w:val="en-US" w:eastAsia="zh-CN"/>
        </w:rPr>
        <w:t xml:space="preserve">  </w:t>
      </w:r>
      <w:r>
        <w:rPr>
          <w:rFonts w:hint="eastAsia" w:hAnsi="宋体"/>
          <w:sz w:val="24"/>
          <w:szCs w:val="24"/>
        </w:rPr>
        <w:t>年   月    日</w:t>
      </w:r>
    </w:p>
    <w:p w14:paraId="5EE3923D">
      <w:pPr>
        <w:pStyle w:val="10"/>
        <w:spacing w:line="480" w:lineRule="auto"/>
        <w:rPr>
          <w:rFonts w:hint="eastAsia" w:hAnsi="宋体"/>
          <w:sz w:val="24"/>
          <w:szCs w:val="24"/>
        </w:rPr>
      </w:pPr>
    </w:p>
    <w:p w14:paraId="6E77CEEE">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sz w:val="24"/>
          <w:szCs w:val="24"/>
        </w:rPr>
      </w:pPr>
      <w:r>
        <w:rPr>
          <w:rFonts w:hint="eastAsia" w:hAnsi="宋体"/>
          <w:sz w:val="24"/>
          <w:szCs w:val="24"/>
        </w:rPr>
        <w:t>代理人姓名：签字：</w:t>
      </w:r>
    </w:p>
    <w:p w14:paraId="5FDE7D7B">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Ansi="宋体"/>
          <w:sz w:val="24"/>
          <w:szCs w:val="24"/>
        </w:rPr>
      </w:pPr>
    </w:p>
    <w:p w14:paraId="054A69E4">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sz w:val="24"/>
          <w:szCs w:val="24"/>
        </w:rPr>
      </w:pPr>
      <w:r>
        <w:rPr>
          <w:rFonts w:hint="eastAsia" w:hAnsi="宋体"/>
          <w:sz w:val="24"/>
          <w:szCs w:val="24"/>
        </w:rPr>
        <w:t>身份证复印件：</w:t>
      </w:r>
    </w:p>
    <w:p w14:paraId="12CCF2D3">
      <w:pPr>
        <w:spacing w:line="400" w:lineRule="exact"/>
        <w:ind w:firstLine="480" w:firstLineChars="200"/>
        <w:rPr>
          <w:rFonts w:ascii="宋体" w:hAnsi="宋体"/>
          <w:sz w:val="24"/>
        </w:rPr>
      </w:pPr>
    </w:p>
    <w:p w14:paraId="5B8C3575">
      <w:pPr>
        <w:spacing w:line="400" w:lineRule="exact"/>
        <w:rPr>
          <w:rFonts w:ascii="宋体" w:hAnsi="宋体"/>
          <w:sz w:val="28"/>
        </w:rPr>
      </w:pPr>
    </w:p>
    <w:p w14:paraId="2CEBBB2C">
      <w:pPr>
        <w:spacing w:line="400" w:lineRule="exact"/>
        <w:rPr>
          <w:rFonts w:ascii="宋体" w:hAnsi="宋体"/>
          <w:sz w:val="28"/>
        </w:rPr>
      </w:pPr>
    </w:p>
    <w:p w14:paraId="6A784F83">
      <w:pPr>
        <w:spacing w:line="500" w:lineRule="exact"/>
        <w:jc w:val="center"/>
        <w:rPr>
          <w:rFonts w:ascii="黑体" w:eastAsia="黑体"/>
          <w:b/>
          <w:bCs/>
          <w:sz w:val="36"/>
          <w:szCs w:val="36"/>
        </w:rPr>
      </w:pPr>
    </w:p>
    <w:p w14:paraId="248F4E33">
      <w:pPr>
        <w:pStyle w:val="10"/>
        <w:jc w:val="center"/>
        <w:rPr>
          <w:rFonts w:ascii="黑体" w:hAnsi="Times New Roman" w:eastAsia="黑体"/>
          <w:b/>
          <w:sz w:val="36"/>
        </w:rPr>
      </w:pPr>
    </w:p>
    <w:p w14:paraId="28B7CCCD">
      <w:pPr>
        <w:pStyle w:val="10"/>
        <w:jc w:val="center"/>
        <w:rPr>
          <w:rFonts w:ascii="黑体" w:hAnsi="Times New Roman" w:eastAsia="黑体"/>
          <w:b/>
          <w:sz w:val="36"/>
        </w:rPr>
      </w:pPr>
    </w:p>
    <w:p w14:paraId="2E3898E2">
      <w:pPr>
        <w:pStyle w:val="10"/>
        <w:jc w:val="center"/>
        <w:rPr>
          <w:rFonts w:ascii="黑体" w:hAnsi="Times New Roman" w:eastAsia="黑体"/>
          <w:b/>
          <w:sz w:val="36"/>
        </w:rPr>
      </w:pPr>
    </w:p>
    <w:p w14:paraId="4C4DE9B9">
      <w:pPr>
        <w:pStyle w:val="10"/>
        <w:rPr>
          <w:rFonts w:ascii="黑体" w:eastAsia="黑体"/>
          <w:b/>
          <w:bCs/>
          <w:sz w:val="36"/>
          <w:szCs w:val="36"/>
        </w:rPr>
      </w:pPr>
    </w:p>
    <w:p w14:paraId="640C2CF4">
      <w:pPr>
        <w:pStyle w:val="11"/>
        <w:widowControl/>
        <w:spacing w:line="540" w:lineRule="exact"/>
        <w:ind w:left="0" w:leftChars="0"/>
        <w:jc w:val="center"/>
        <w:rPr>
          <w:rFonts w:ascii="宋体" w:hAnsi="宋体" w:eastAsia="宋体"/>
          <w:sz w:val="36"/>
          <w:szCs w:val="36"/>
        </w:rPr>
      </w:pPr>
      <w:r>
        <w:rPr>
          <w:rFonts w:hint="eastAsia" w:ascii="宋体" w:hAnsi="宋体"/>
          <w:b w:val="0"/>
          <w:bCs w:val="0"/>
          <w:szCs w:val="32"/>
        </w:rPr>
        <w:br w:type="page"/>
      </w:r>
      <w:r>
        <w:rPr>
          <w:rFonts w:hint="eastAsia" w:ascii="宋体" w:hAnsi="宋体" w:eastAsia="宋体"/>
          <w:sz w:val="36"/>
          <w:szCs w:val="36"/>
        </w:rPr>
        <w:t>承诺书(一)</w:t>
      </w:r>
    </w:p>
    <w:p w14:paraId="4225892C">
      <w:pPr>
        <w:spacing w:line="540" w:lineRule="exact"/>
      </w:pPr>
    </w:p>
    <w:p w14:paraId="350C327B">
      <w:pPr>
        <w:adjustRightInd w:val="0"/>
        <w:snapToGrid w:val="0"/>
        <w:spacing w:line="440" w:lineRule="exact"/>
        <w:ind w:left="424" w:leftChars="202" w:right="531" w:rightChars="253" w:firstLine="424" w:firstLineChars="177"/>
        <w:contextualSpacing/>
        <w:rPr>
          <w:sz w:val="24"/>
        </w:rPr>
      </w:pPr>
      <w:r>
        <w:rPr>
          <w:rFonts w:hint="eastAsia"/>
          <w:sz w:val="24"/>
        </w:rPr>
        <w:t>致：</w:t>
      </w:r>
      <w:r>
        <w:rPr>
          <w:rFonts w:hint="eastAsia"/>
          <w:sz w:val="24"/>
          <w:u w:val="single"/>
        </w:rPr>
        <w:t>扬州大学附属医院</w:t>
      </w:r>
      <w:r>
        <w:rPr>
          <w:rFonts w:hint="eastAsia"/>
          <w:sz w:val="24"/>
        </w:rPr>
        <w:t>（招标人名称）</w:t>
      </w:r>
    </w:p>
    <w:p w14:paraId="2FF955D4">
      <w:pPr>
        <w:adjustRightInd w:val="0"/>
        <w:snapToGrid w:val="0"/>
        <w:spacing w:line="440" w:lineRule="exact"/>
        <w:ind w:left="424" w:leftChars="202" w:right="531" w:rightChars="253" w:firstLine="424" w:firstLineChars="177"/>
        <w:contextualSpacing/>
        <w:rPr>
          <w:rFonts w:ascii="宋体" w:hAnsi="宋体"/>
          <w:sz w:val="24"/>
        </w:rPr>
      </w:pPr>
      <w:r>
        <w:rPr>
          <w:rFonts w:hint="eastAsia" w:ascii="宋体" w:hAnsi="宋体"/>
          <w:sz w:val="24"/>
        </w:rPr>
        <w:t>我公司自愿参加贵单位</w:t>
      </w:r>
      <w:r>
        <w:rPr>
          <w:rFonts w:hint="eastAsia" w:ascii="宋体" w:hAnsi="宋体"/>
          <w:b/>
          <w:sz w:val="24"/>
          <w:u w:val="single"/>
        </w:rPr>
        <w:t xml:space="preserve">                        </w:t>
      </w:r>
      <w:r>
        <w:rPr>
          <w:rFonts w:hint="eastAsia" w:ascii="宋体" w:hAnsi="宋体"/>
          <w:sz w:val="24"/>
        </w:rPr>
        <w:t>项目的院内公开谈判，并接受对我公司的资格审查，我公司承诺：根据贵单位提出的资格审查合格条件标准和要求，本公司没有因骗取中标或者严重违约以及发生重大工程质量、安全生产事故等问题，被有关部门暂停投标资格并在暂停期内。</w:t>
      </w:r>
    </w:p>
    <w:p w14:paraId="0B5E61E3">
      <w:pPr>
        <w:adjustRightInd w:val="0"/>
        <w:snapToGrid w:val="0"/>
        <w:spacing w:line="440" w:lineRule="exact"/>
        <w:ind w:left="424" w:leftChars="202" w:right="531" w:rightChars="253" w:firstLine="424" w:firstLineChars="177"/>
        <w:contextualSpacing/>
        <w:rPr>
          <w:sz w:val="24"/>
        </w:rPr>
      </w:pPr>
      <w:r>
        <w:rPr>
          <w:rFonts w:hint="eastAsia" w:ascii="宋体" w:hAnsi="宋体"/>
          <w:sz w:val="24"/>
        </w:rPr>
        <w:t>本公司递交的资格审查申请书中的内容没有隐瞒、虚假、伪造等弄虚作假行为。</w:t>
      </w:r>
    </w:p>
    <w:p w14:paraId="3EDDF9F6">
      <w:pPr>
        <w:pStyle w:val="11"/>
        <w:widowControl/>
        <w:adjustRightInd w:val="0"/>
        <w:snapToGrid w:val="0"/>
        <w:spacing w:line="440" w:lineRule="exact"/>
        <w:ind w:left="424" w:leftChars="202" w:right="531" w:rightChars="253" w:firstLine="426" w:firstLineChars="177"/>
        <w:contextualSpacing/>
        <w:jc w:val="left"/>
        <w:rPr>
          <w:rFonts w:ascii="宋体" w:hAnsi="宋体" w:eastAsia="宋体"/>
          <w:sz w:val="24"/>
        </w:rPr>
      </w:pPr>
    </w:p>
    <w:p w14:paraId="64CB2A8E">
      <w:pPr>
        <w:pStyle w:val="11"/>
        <w:widowControl/>
        <w:adjustRightInd w:val="0"/>
        <w:snapToGrid w:val="0"/>
        <w:spacing w:line="700" w:lineRule="exact"/>
        <w:ind w:left="424" w:leftChars="202" w:right="531" w:rightChars="253" w:firstLine="424" w:firstLineChars="177"/>
        <w:contextualSpacing/>
        <w:jc w:val="left"/>
        <w:rPr>
          <w:rFonts w:ascii="宋体" w:hAnsi="宋体" w:eastAsia="宋体" w:cs="宋体"/>
          <w:b w:val="0"/>
          <w:sz w:val="24"/>
        </w:rPr>
      </w:pPr>
      <w:r>
        <w:rPr>
          <w:rFonts w:hint="eastAsia" w:ascii="宋体" w:hAnsi="宋体" w:eastAsia="宋体" w:cs="宋体"/>
          <w:b w:val="0"/>
          <w:sz w:val="24"/>
        </w:rPr>
        <w:t>单位：（公章）</w:t>
      </w:r>
    </w:p>
    <w:p w14:paraId="612C81C5">
      <w:pPr>
        <w:pStyle w:val="11"/>
        <w:widowControl/>
        <w:adjustRightInd w:val="0"/>
        <w:snapToGrid w:val="0"/>
        <w:spacing w:line="700" w:lineRule="exact"/>
        <w:ind w:left="424" w:leftChars="202" w:right="531" w:rightChars="253" w:firstLine="424" w:firstLineChars="177"/>
        <w:contextualSpacing/>
        <w:jc w:val="left"/>
        <w:rPr>
          <w:rFonts w:ascii="宋体" w:hAnsi="宋体" w:eastAsia="宋体" w:cs="宋体"/>
          <w:b w:val="0"/>
          <w:sz w:val="24"/>
        </w:rPr>
      </w:pPr>
      <w:r>
        <w:rPr>
          <w:rFonts w:hint="eastAsia" w:ascii="宋体" w:hAnsi="宋体" w:eastAsia="宋体" w:cs="宋体"/>
          <w:b w:val="0"/>
          <w:sz w:val="24"/>
        </w:rPr>
        <w:t>法定代表人签字：</w:t>
      </w:r>
    </w:p>
    <w:p w14:paraId="037B49E6">
      <w:pPr>
        <w:adjustRightInd w:val="0"/>
        <w:snapToGrid w:val="0"/>
        <w:spacing w:line="700" w:lineRule="exact"/>
        <w:ind w:left="424" w:leftChars="202" w:right="531" w:rightChars="253" w:firstLine="424" w:firstLineChars="177"/>
        <w:contextualSpacing/>
        <w:jc w:val="left"/>
        <w:rPr>
          <w:rFonts w:ascii="宋体" w:hAnsi="宋体" w:cs="宋体"/>
          <w:bCs/>
          <w:sz w:val="24"/>
        </w:rPr>
      </w:pPr>
      <w:r>
        <w:rPr>
          <w:rFonts w:hint="eastAsia" w:ascii="宋体" w:hAnsi="宋体" w:cs="宋体"/>
          <w:bCs/>
          <w:sz w:val="24"/>
        </w:rPr>
        <w:t>项目负责人签名：</w:t>
      </w:r>
    </w:p>
    <w:p w14:paraId="2BCE9C2D">
      <w:pPr>
        <w:adjustRightInd w:val="0"/>
        <w:snapToGrid w:val="0"/>
        <w:spacing w:line="700" w:lineRule="exact"/>
        <w:ind w:left="424" w:leftChars="202" w:right="531" w:rightChars="253" w:firstLine="424" w:firstLineChars="177"/>
        <w:contextualSpacing/>
        <w:rPr>
          <w:rFonts w:ascii="宋体" w:hAnsi="宋体"/>
          <w:sz w:val="24"/>
        </w:rPr>
      </w:pPr>
    </w:p>
    <w:p w14:paraId="304A36DA">
      <w:pPr>
        <w:adjustRightInd w:val="0"/>
        <w:snapToGrid w:val="0"/>
        <w:spacing w:line="440" w:lineRule="exact"/>
        <w:ind w:left="424" w:leftChars="202" w:right="531" w:rightChars="253" w:firstLine="424" w:firstLineChars="177"/>
        <w:contextualSpacing/>
        <w:rPr>
          <w:rFonts w:ascii="宋体" w:hAnsi="宋体"/>
          <w:sz w:val="24"/>
        </w:rPr>
      </w:pPr>
      <w:r>
        <w:rPr>
          <w:rFonts w:hint="eastAsia" w:ascii="宋体" w:hAnsi="宋体"/>
          <w:sz w:val="24"/>
        </w:rPr>
        <w:t xml:space="preserve">                                                      年   月   日</w:t>
      </w:r>
    </w:p>
    <w:p w14:paraId="2A270E22">
      <w:pPr>
        <w:pStyle w:val="11"/>
        <w:widowControl/>
        <w:spacing w:line="540" w:lineRule="exact"/>
        <w:ind w:left="5250" w:leftChars="0"/>
        <w:jc w:val="center"/>
        <w:rPr>
          <w:rFonts w:hAnsi="宋体"/>
          <w:szCs w:val="32"/>
        </w:rPr>
      </w:pPr>
    </w:p>
    <w:p w14:paraId="3755E606">
      <w:pPr>
        <w:pStyle w:val="11"/>
        <w:widowControl/>
        <w:spacing w:line="540" w:lineRule="exact"/>
        <w:ind w:left="5250" w:leftChars="0"/>
        <w:jc w:val="center"/>
        <w:rPr>
          <w:rFonts w:ascii="宋体" w:hAnsi="宋体" w:eastAsia="宋体"/>
          <w:szCs w:val="32"/>
        </w:rPr>
      </w:pPr>
    </w:p>
    <w:p w14:paraId="75664C71">
      <w:pPr>
        <w:pStyle w:val="11"/>
        <w:widowControl/>
        <w:spacing w:line="540" w:lineRule="exact"/>
        <w:ind w:left="5250" w:leftChars="0"/>
        <w:jc w:val="center"/>
        <w:rPr>
          <w:rFonts w:ascii="宋体" w:hAnsi="宋体" w:eastAsia="宋体"/>
          <w:szCs w:val="32"/>
        </w:rPr>
      </w:pPr>
    </w:p>
    <w:p w14:paraId="708F8A34">
      <w:pPr>
        <w:pStyle w:val="11"/>
        <w:widowControl/>
        <w:spacing w:line="540" w:lineRule="exact"/>
        <w:ind w:left="5250" w:leftChars="0"/>
        <w:jc w:val="center"/>
        <w:rPr>
          <w:rFonts w:ascii="宋体" w:hAnsi="宋体" w:eastAsia="宋体"/>
          <w:szCs w:val="32"/>
        </w:rPr>
      </w:pPr>
    </w:p>
    <w:p w14:paraId="4DB5D02C">
      <w:pPr>
        <w:pStyle w:val="11"/>
        <w:widowControl/>
        <w:spacing w:line="540" w:lineRule="exact"/>
        <w:ind w:left="5250" w:leftChars="0"/>
        <w:jc w:val="center"/>
        <w:rPr>
          <w:rFonts w:ascii="宋体" w:hAnsi="宋体" w:eastAsia="宋体"/>
          <w:szCs w:val="32"/>
        </w:rPr>
      </w:pPr>
    </w:p>
    <w:p w14:paraId="52FFF562">
      <w:pPr>
        <w:pStyle w:val="11"/>
        <w:widowControl/>
        <w:spacing w:line="540" w:lineRule="exact"/>
        <w:ind w:left="5250" w:leftChars="0"/>
        <w:jc w:val="center"/>
        <w:rPr>
          <w:rFonts w:ascii="宋体" w:hAnsi="宋体" w:eastAsia="宋体"/>
          <w:szCs w:val="32"/>
        </w:rPr>
      </w:pPr>
    </w:p>
    <w:p w14:paraId="4075A2CB">
      <w:pPr>
        <w:rPr>
          <w:rFonts w:ascii="宋体" w:hAnsi="宋体"/>
          <w:szCs w:val="32"/>
        </w:rPr>
      </w:pPr>
      <w:r>
        <w:rPr>
          <w:rFonts w:hint="eastAsia" w:ascii="宋体" w:hAnsi="宋体"/>
          <w:szCs w:val="32"/>
        </w:rPr>
        <w:br w:type="page"/>
      </w:r>
    </w:p>
    <w:p w14:paraId="5E851CAB">
      <w:pPr>
        <w:jc w:val="center"/>
        <w:rPr>
          <w:rFonts w:ascii="宋体" w:hAnsi="宋体"/>
          <w:b/>
          <w:sz w:val="36"/>
          <w:szCs w:val="36"/>
        </w:rPr>
      </w:pPr>
      <w:r>
        <w:rPr>
          <w:rFonts w:hint="eastAsia" w:ascii="宋体" w:hAnsi="宋体"/>
          <w:b/>
          <w:sz w:val="36"/>
          <w:szCs w:val="36"/>
        </w:rPr>
        <w:t>投标报价</w:t>
      </w:r>
    </w:p>
    <w:p w14:paraId="33A9AF1A">
      <w:pPr>
        <w:jc w:val="center"/>
        <w:rPr>
          <w:rFonts w:ascii="宋体" w:hAnsi="宋体"/>
          <w:b/>
          <w:sz w:val="24"/>
        </w:rPr>
      </w:pPr>
    </w:p>
    <w:tbl>
      <w:tblPr>
        <w:tblStyle w:val="22"/>
        <w:tblW w:w="4483" w:type="pct"/>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
        <w:gridCol w:w="2581"/>
        <w:gridCol w:w="2823"/>
        <w:gridCol w:w="2490"/>
      </w:tblGrid>
      <w:tr w14:paraId="0B3B2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76" w:type="pct"/>
            <w:tcBorders>
              <w:top w:val="single" w:color="auto" w:sz="4" w:space="0"/>
              <w:left w:val="single" w:color="auto" w:sz="4" w:space="0"/>
              <w:bottom w:val="single" w:color="auto" w:sz="4" w:space="0"/>
              <w:right w:val="single" w:color="auto" w:sz="4" w:space="0"/>
            </w:tcBorders>
            <w:vAlign w:val="center"/>
          </w:tcPr>
          <w:p w14:paraId="0FAF5044">
            <w:pPr>
              <w:jc w:val="center"/>
              <w:rPr>
                <w:rFonts w:ascii="宋体" w:hAnsi="宋体"/>
                <w:b/>
                <w:sz w:val="28"/>
                <w:szCs w:val="28"/>
              </w:rPr>
            </w:pPr>
            <w:r>
              <w:rPr>
                <w:rFonts w:hint="eastAsia" w:ascii="宋体" w:hAnsi="宋体"/>
                <w:b/>
                <w:sz w:val="28"/>
                <w:szCs w:val="28"/>
              </w:rPr>
              <w:t>序号</w:t>
            </w:r>
          </w:p>
        </w:tc>
        <w:tc>
          <w:tcPr>
            <w:tcW w:w="1479" w:type="pct"/>
            <w:tcBorders>
              <w:top w:val="single" w:color="auto" w:sz="4" w:space="0"/>
              <w:left w:val="single" w:color="auto" w:sz="4" w:space="0"/>
              <w:bottom w:val="single" w:color="auto" w:sz="4" w:space="0"/>
              <w:right w:val="single" w:color="auto" w:sz="4" w:space="0"/>
            </w:tcBorders>
            <w:vAlign w:val="center"/>
          </w:tcPr>
          <w:p w14:paraId="53A6EFAF">
            <w:pPr>
              <w:jc w:val="center"/>
              <w:rPr>
                <w:rFonts w:ascii="宋体" w:hAnsi="宋体"/>
                <w:b/>
                <w:sz w:val="28"/>
                <w:szCs w:val="28"/>
              </w:rPr>
            </w:pPr>
            <w:r>
              <w:rPr>
                <w:rFonts w:hint="eastAsia" w:ascii="宋体" w:hAnsi="宋体"/>
                <w:b/>
                <w:sz w:val="28"/>
                <w:szCs w:val="28"/>
              </w:rPr>
              <w:t>项目内容</w:t>
            </w:r>
          </w:p>
        </w:tc>
        <w:tc>
          <w:tcPr>
            <w:tcW w:w="1618" w:type="pct"/>
            <w:tcBorders>
              <w:top w:val="single" w:color="auto" w:sz="4" w:space="0"/>
              <w:left w:val="single" w:color="auto" w:sz="4" w:space="0"/>
              <w:bottom w:val="single" w:color="auto" w:sz="4" w:space="0"/>
              <w:right w:val="single" w:color="auto" w:sz="4" w:space="0"/>
            </w:tcBorders>
            <w:vAlign w:val="center"/>
          </w:tcPr>
          <w:p w14:paraId="4645E224">
            <w:pPr>
              <w:jc w:val="center"/>
              <w:rPr>
                <w:rFonts w:ascii="宋体" w:hAnsi="宋体"/>
                <w:b/>
                <w:sz w:val="28"/>
                <w:szCs w:val="28"/>
              </w:rPr>
            </w:pPr>
            <w:r>
              <w:rPr>
                <w:rFonts w:hint="eastAsia" w:ascii="宋体" w:hAnsi="宋体"/>
                <w:b/>
                <w:sz w:val="28"/>
                <w:szCs w:val="28"/>
              </w:rPr>
              <w:t>投标内容</w:t>
            </w:r>
          </w:p>
        </w:tc>
        <w:tc>
          <w:tcPr>
            <w:tcW w:w="1428" w:type="pct"/>
            <w:tcBorders>
              <w:top w:val="single" w:color="auto" w:sz="4" w:space="0"/>
              <w:left w:val="single" w:color="auto" w:sz="4" w:space="0"/>
              <w:bottom w:val="single" w:color="auto" w:sz="4" w:space="0"/>
              <w:right w:val="single" w:color="auto" w:sz="4" w:space="0"/>
            </w:tcBorders>
            <w:vAlign w:val="center"/>
          </w:tcPr>
          <w:p w14:paraId="0201698E">
            <w:pPr>
              <w:jc w:val="center"/>
              <w:rPr>
                <w:rFonts w:ascii="宋体" w:hAnsi="宋体"/>
                <w:b/>
                <w:sz w:val="28"/>
                <w:szCs w:val="28"/>
              </w:rPr>
            </w:pPr>
            <w:r>
              <w:rPr>
                <w:rFonts w:hint="eastAsia" w:ascii="宋体" w:hAnsi="宋体"/>
                <w:b/>
                <w:sz w:val="28"/>
                <w:szCs w:val="28"/>
              </w:rPr>
              <w:t>报价</w:t>
            </w:r>
          </w:p>
        </w:tc>
      </w:tr>
      <w:tr w14:paraId="114FE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76EDB01D">
            <w:pPr>
              <w:jc w:val="center"/>
              <w:rPr>
                <w:rFonts w:ascii="宋体" w:hAnsi="宋体"/>
                <w:sz w:val="24"/>
              </w:rPr>
            </w:pPr>
            <w:r>
              <w:rPr>
                <w:rFonts w:hint="eastAsia" w:ascii="宋体" w:hAnsi="宋体"/>
                <w:sz w:val="24"/>
              </w:rPr>
              <w:t>1</w:t>
            </w:r>
          </w:p>
        </w:tc>
        <w:tc>
          <w:tcPr>
            <w:tcW w:w="1479" w:type="pct"/>
            <w:tcBorders>
              <w:top w:val="single" w:color="auto" w:sz="4" w:space="0"/>
              <w:left w:val="single" w:color="auto" w:sz="4" w:space="0"/>
              <w:bottom w:val="single" w:color="auto" w:sz="4" w:space="0"/>
              <w:right w:val="single" w:color="auto" w:sz="4" w:space="0"/>
            </w:tcBorders>
            <w:vAlign w:val="center"/>
          </w:tcPr>
          <w:p w14:paraId="178A3433">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2C0153D5">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49F9DAE9">
            <w:pPr>
              <w:jc w:val="center"/>
              <w:rPr>
                <w:rFonts w:ascii="宋体" w:hAnsi="宋体"/>
                <w:sz w:val="24"/>
              </w:rPr>
            </w:pPr>
          </w:p>
        </w:tc>
      </w:tr>
      <w:tr w14:paraId="3E873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42B2D019">
            <w:pPr>
              <w:jc w:val="center"/>
              <w:rPr>
                <w:rFonts w:ascii="宋体" w:hAnsi="宋体"/>
                <w:sz w:val="24"/>
              </w:rPr>
            </w:pPr>
            <w:r>
              <w:rPr>
                <w:rFonts w:hint="eastAsia" w:ascii="宋体" w:hAnsi="宋体"/>
                <w:sz w:val="24"/>
              </w:rPr>
              <w:t>2</w:t>
            </w:r>
          </w:p>
        </w:tc>
        <w:tc>
          <w:tcPr>
            <w:tcW w:w="1479" w:type="pct"/>
            <w:tcBorders>
              <w:top w:val="single" w:color="auto" w:sz="4" w:space="0"/>
              <w:left w:val="single" w:color="auto" w:sz="4" w:space="0"/>
              <w:bottom w:val="single" w:color="auto" w:sz="4" w:space="0"/>
              <w:right w:val="single" w:color="auto" w:sz="4" w:space="0"/>
            </w:tcBorders>
            <w:vAlign w:val="center"/>
          </w:tcPr>
          <w:p w14:paraId="60E639DA">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7B465A2D">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54FE6576">
            <w:pPr>
              <w:jc w:val="center"/>
              <w:rPr>
                <w:rFonts w:ascii="宋体" w:hAnsi="宋体"/>
                <w:sz w:val="24"/>
              </w:rPr>
            </w:pPr>
          </w:p>
        </w:tc>
      </w:tr>
      <w:tr w14:paraId="29C6C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6433ACA2">
            <w:pPr>
              <w:jc w:val="center"/>
              <w:rPr>
                <w:rFonts w:ascii="宋体" w:hAnsi="宋体"/>
                <w:sz w:val="24"/>
              </w:rPr>
            </w:pPr>
            <w:r>
              <w:rPr>
                <w:rFonts w:hint="eastAsia" w:ascii="宋体" w:hAnsi="宋体"/>
                <w:sz w:val="24"/>
              </w:rPr>
              <w:t>3</w:t>
            </w:r>
          </w:p>
        </w:tc>
        <w:tc>
          <w:tcPr>
            <w:tcW w:w="1479" w:type="pct"/>
            <w:tcBorders>
              <w:top w:val="single" w:color="auto" w:sz="4" w:space="0"/>
              <w:left w:val="single" w:color="auto" w:sz="4" w:space="0"/>
              <w:bottom w:val="single" w:color="auto" w:sz="4" w:space="0"/>
              <w:right w:val="single" w:color="auto" w:sz="4" w:space="0"/>
            </w:tcBorders>
            <w:vAlign w:val="center"/>
          </w:tcPr>
          <w:p w14:paraId="2D72A23D">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21C6BA68">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5FE9DCC1">
            <w:pPr>
              <w:jc w:val="center"/>
              <w:rPr>
                <w:rFonts w:ascii="宋体" w:hAnsi="宋体"/>
                <w:sz w:val="24"/>
              </w:rPr>
            </w:pPr>
          </w:p>
        </w:tc>
      </w:tr>
      <w:tr w14:paraId="2ABAF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490FB382">
            <w:pPr>
              <w:jc w:val="center"/>
              <w:rPr>
                <w:rFonts w:ascii="宋体" w:hAnsi="宋体"/>
                <w:sz w:val="24"/>
              </w:rPr>
            </w:pPr>
            <w:r>
              <w:rPr>
                <w:rFonts w:hint="eastAsia" w:ascii="宋体" w:hAnsi="宋体"/>
                <w:sz w:val="24"/>
              </w:rPr>
              <w:t>4</w:t>
            </w:r>
          </w:p>
        </w:tc>
        <w:tc>
          <w:tcPr>
            <w:tcW w:w="1479" w:type="pct"/>
            <w:tcBorders>
              <w:top w:val="single" w:color="auto" w:sz="4" w:space="0"/>
              <w:left w:val="single" w:color="auto" w:sz="4" w:space="0"/>
              <w:bottom w:val="single" w:color="auto" w:sz="4" w:space="0"/>
              <w:right w:val="single" w:color="auto" w:sz="4" w:space="0"/>
            </w:tcBorders>
            <w:vAlign w:val="center"/>
          </w:tcPr>
          <w:p w14:paraId="7A6657F1">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4348B0F6">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56B9A34F">
            <w:pPr>
              <w:jc w:val="left"/>
              <w:rPr>
                <w:rFonts w:ascii="宋体" w:hAnsi="宋体"/>
                <w:sz w:val="24"/>
              </w:rPr>
            </w:pPr>
          </w:p>
        </w:tc>
      </w:tr>
      <w:tr w14:paraId="16216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6148742C">
            <w:pPr>
              <w:jc w:val="center"/>
              <w:rPr>
                <w:rFonts w:ascii="宋体" w:hAnsi="宋体"/>
                <w:sz w:val="24"/>
              </w:rPr>
            </w:pPr>
            <w:r>
              <w:rPr>
                <w:rFonts w:hint="eastAsia" w:ascii="宋体" w:hAnsi="宋体"/>
                <w:sz w:val="24"/>
              </w:rPr>
              <w:t>5</w:t>
            </w:r>
          </w:p>
        </w:tc>
        <w:tc>
          <w:tcPr>
            <w:tcW w:w="1479" w:type="pct"/>
            <w:tcBorders>
              <w:top w:val="single" w:color="auto" w:sz="4" w:space="0"/>
              <w:left w:val="single" w:color="auto" w:sz="4" w:space="0"/>
              <w:bottom w:val="single" w:color="auto" w:sz="4" w:space="0"/>
              <w:right w:val="single" w:color="auto" w:sz="4" w:space="0"/>
            </w:tcBorders>
            <w:vAlign w:val="center"/>
          </w:tcPr>
          <w:p w14:paraId="339D9D18">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40A064C8">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644715EF">
            <w:pPr>
              <w:jc w:val="left"/>
              <w:rPr>
                <w:rFonts w:ascii="宋体" w:hAnsi="宋体"/>
                <w:sz w:val="24"/>
              </w:rPr>
            </w:pPr>
          </w:p>
        </w:tc>
      </w:tr>
      <w:tr w14:paraId="391E1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1A151FC1">
            <w:pPr>
              <w:jc w:val="center"/>
              <w:rPr>
                <w:rFonts w:ascii="宋体" w:hAnsi="宋体"/>
                <w:sz w:val="24"/>
              </w:rPr>
            </w:pPr>
            <w:r>
              <w:rPr>
                <w:rFonts w:hint="eastAsia" w:ascii="宋体" w:hAnsi="宋体"/>
                <w:sz w:val="24"/>
              </w:rPr>
              <w:t>6</w:t>
            </w:r>
          </w:p>
        </w:tc>
        <w:tc>
          <w:tcPr>
            <w:tcW w:w="1479" w:type="pct"/>
            <w:tcBorders>
              <w:top w:val="single" w:color="auto" w:sz="4" w:space="0"/>
              <w:left w:val="single" w:color="auto" w:sz="4" w:space="0"/>
              <w:bottom w:val="single" w:color="auto" w:sz="4" w:space="0"/>
              <w:right w:val="single" w:color="auto" w:sz="4" w:space="0"/>
            </w:tcBorders>
            <w:vAlign w:val="center"/>
          </w:tcPr>
          <w:p w14:paraId="376FF745">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5D6DE8D5">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5C8A1A41">
            <w:pPr>
              <w:jc w:val="left"/>
              <w:rPr>
                <w:rFonts w:ascii="宋体" w:hAnsi="宋体"/>
                <w:sz w:val="24"/>
              </w:rPr>
            </w:pPr>
          </w:p>
        </w:tc>
      </w:tr>
      <w:tr w14:paraId="063E6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529F3ED1">
            <w:pPr>
              <w:jc w:val="center"/>
              <w:rPr>
                <w:rFonts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4239C0FA">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3CAD039F">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5470CB91">
            <w:pPr>
              <w:jc w:val="left"/>
              <w:rPr>
                <w:rFonts w:ascii="宋体" w:hAnsi="宋体"/>
                <w:sz w:val="24"/>
              </w:rPr>
            </w:pPr>
          </w:p>
        </w:tc>
      </w:tr>
      <w:tr w14:paraId="1D1F2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23FF139F">
            <w:pPr>
              <w:jc w:val="center"/>
              <w:rPr>
                <w:rFonts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0BA08578">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282D03BE">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61F55DDF">
            <w:pPr>
              <w:jc w:val="center"/>
              <w:rPr>
                <w:rFonts w:ascii="宋体" w:hAnsi="宋体"/>
                <w:sz w:val="24"/>
              </w:rPr>
            </w:pPr>
          </w:p>
        </w:tc>
      </w:tr>
      <w:tr w14:paraId="51A6D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4F8DA5E3">
            <w:pPr>
              <w:jc w:val="center"/>
              <w:rPr>
                <w:rFonts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0821D47A">
            <w:pP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14E10C16">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18997193">
            <w:pPr>
              <w:jc w:val="center"/>
              <w:rPr>
                <w:rFonts w:ascii="宋体" w:hAnsi="宋体"/>
                <w:sz w:val="24"/>
              </w:rPr>
            </w:pPr>
          </w:p>
        </w:tc>
      </w:tr>
      <w:tr w14:paraId="2765A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0870FBD8">
            <w:pPr>
              <w:jc w:val="center"/>
              <w:rPr>
                <w:rFonts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717A30C2">
            <w:pPr>
              <w:jc w:val="left"/>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77AD7184">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53E8DCA6">
            <w:pPr>
              <w:jc w:val="center"/>
              <w:rPr>
                <w:rFonts w:ascii="宋体" w:hAnsi="宋体"/>
                <w:sz w:val="24"/>
              </w:rPr>
            </w:pPr>
          </w:p>
        </w:tc>
      </w:tr>
      <w:tr w14:paraId="06C2E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015EAE39">
            <w:pPr>
              <w:jc w:val="center"/>
              <w:rPr>
                <w:rFonts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284E638D">
            <w:pPr>
              <w:jc w:val="left"/>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624DDD75">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6035B08C">
            <w:pPr>
              <w:jc w:val="center"/>
              <w:rPr>
                <w:rFonts w:ascii="宋体" w:hAnsi="宋体"/>
                <w:sz w:val="24"/>
              </w:rPr>
            </w:pPr>
          </w:p>
        </w:tc>
      </w:tr>
      <w:tr w14:paraId="70833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7E3F3C4D">
            <w:pPr>
              <w:jc w:val="center"/>
              <w:rPr>
                <w:rFonts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5AF94F5B">
            <w:pPr>
              <w:jc w:val="left"/>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296639CA">
            <w:pPr>
              <w:jc w:val="center"/>
              <w:rPr>
                <w:rFonts w:ascii="宋体" w:hAnsi="宋体"/>
                <w:sz w:val="24"/>
              </w:rPr>
            </w:pPr>
          </w:p>
          <w:p w14:paraId="51C3CB28">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tcPr>
          <w:p w14:paraId="5F559007">
            <w:pPr>
              <w:jc w:val="center"/>
              <w:rPr>
                <w:rFonts w:ascii="宋体" w:hAnsi="宋体"/>
                <w:sz w:val="24"/>
              </w:rPr>
            </w:pPr>
          </w:p>
        </w:tc>
      </w:tr>
      <w:tr w14:paraId="33788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74B6002D">
            <w:pPr>
              <w:jc w:val="center"/>
              <w:rPr>
                <w:rFonts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0531B4AA">
            <w:pPr>
              <w:jc w:val="center"/>
              <w:rPr>
                <w:rFonts w:ascii="宋体" w:hAnsi="宋体"/>
                <w:sz w:val="24"/>
              </w:rPr>
            </w:pPr>
            <w:r>
              <w:rPr>
                <w:rFonts w:hint="eastAsia" w:ascii="宋体" w:hAnsi="宋体"/>
                <w:sz w:val="24"/>
              </w:rPr>
              <w:t>其他条件</w:t>
            </w:r>
          </w:p>
        </w:tc>
        <w:tc>
          <w:tcPr>
            <w:tcW w:w="3046" w:type="pct"/>
            <w:gridSpan w:val="2"/>
            <w:tcBorders>
              <w:top w:val="single" w:color="auto" w:sz="4" w:space="0"/>
              <w:left w:val="single" w:color="auto" w:sz="4" w:space="0"/>
              <w:bottom w:val="single" w:color="auto" w:sz="4" w:space="0"/>
              <w:right w:val="single" w:color="auto" w:sz="4" w:space="0"/>
            </w:tcBorders>
            <w:vAlign w:val="center"/>
          </w:tcPr>
          <w:p w14:paraId="5EEC8A0A">
            <w:pPr>
              <w:jc w:val="center"/>
              <w:rPr>
                <w:rFonts w:ascii="宋体" w:hAnsi="宋体"/>
                <w:b/>
                <w:sz w:val="24"/>
              </w:rPr>
            </w:pPr>
          </w:p>
        </w:tc>
      </w:tr>
    </w:tbl>
    <w:p w14:paraId="32282B7B">
      <w:pPr>
        <w:jc w:val="center"/>
        <w:rPr>
          <w:rFonts w:ascii="宋体" w:hAnsi="宋体"/>
          <w:b/>
          <w:sz w:val="24"/>
        </w:rPr>
      </w:pPr>
    </w:p>
    <w:p w14:paraId="4A18DE4E">
      <w:pPr>
        <w:adjustRightInd w:val="0"/>
        <w:snapToGrid w:val="0"/>
        <w:spacing w:line="600" w:lineRule="exact"/>
        <w:ind w:firstLine="566" w:firstLineChars="236"/>
        <w:contextualSpacing/>
        <w:rPr>
          <w:rFonts w:ascii="宋体" w:hAnsi="宋体"/>
          <w:bCs/>
          <w:sz w:val="24"/>
        </w:rPr>
      </w:pPr>
      <w:r>
        <w:rPr>
          <w:rFonts w:hint="eastAsia" w:ascii="宋体" w:hAnsi="宋体"/>
          <w:bCs/>
          <w:sz w:val="24"/>
        </w:rPr>
        <w:t>投标人（盖章）：</w:t>
      </w:r>
    </w:p>
    <w:p w14:paraId="37154142">
      <w:pPr>
        <w:adjustRightInd w:val="0"/>
        <w:snapToGrid w:val="0"/>
        <w:spacing w:line="600" w:lineRule="exact"/>
        <w:ind w:firstLine="566" w:firstLineChars="236"/>
        <w:contextualSpacing/>
        <w:rPr>
          <w:rFonts w:ascii="宋体" w:hAnsi="宋体"/>
          <w:bCs/>
          <w:sz w:val="24"/>
        </w:rPr>
      </w:pPr>
      <w:r>
        <w:rPr>
          <w:rFonts w:hint="eastAsia" w:ascii="宋体" w:hAnsi="宋体"/>
          <w:bCs/>
          <w:sz w:val="24"/>
        </w:rPr>
        <w:t>法定代表人或委托代理人（签字）：</w:t>
      </w:r>
    </w:p>
    <w:p w14:paraId="45756288">
      <w:pPr>
        <w:adjustRightInd w:val="0"/>
        <w:snapToGrid w:val="0"/>
        <w:spacing w:line="600" w:lineRule="exact"/>
        <w:ind w:firstLine="566" w:firstLineChars="236"/>
        <w:contextualSpacing/>
        <w:rPr>
          <w:rFonts w:ascii="宋体" w:hAnsi="宋体"/>
          <w:bCs/>
          <w:sz w:val="24"/>
        </w:rPr>
      </w:pPr>
      <w:r>
        <w:rPr>
          <w:rFonts w:hint="eastAsia" w:ascii="宋体" w:hAnsi="宋体"/>
          <w:bCs/>
          <w:sz w:val="24"/>
        </w:rPr>
        <w:t>日  期：</w:t>
      </w:r>
    </w:p>
    <w:p w14:paraId="4351E847">
      <w:pPr>
        <w:jc w:val="center"/>
        <w:rPr>
          <w:rFonts w:ascii="宋体" w:hAnsi="宋体"/>
          <w:b/>
          <w:sz w:val="24"/>
        </w:rPr>
      </w:pPr>
    </w:p>
    <w:p w14:paraId="3848C2B6">
      <w:pPr>
        <w:jc w:val="center"/>
        <w:rPr>
          <w:rFonts w:ascii="宋体" w:hAnsi="宋体"/>
          <w:b/>
          <w:sz w:val="24"/>
        </w:rPr>
      </w:pPr>
    </w:p>
    <w:p w14:paraId="5A628E91">
      <w:pPr>
        <w:rPr>
          <w:rFonts w:ascii="宋体" w:hAnsi="宋体"/>
          <w:b/>
          <w:sz w:val="24"/>
        </w:rPr>
      </w:pPr>
    </w:p>
    <w:p w14:paraId="12043156">
      <w:pPr>
        <w:jc w:val="center"/>
        <w:rPr>
          <w:rFonts w:ascii="宋体" w:hAnsi="宋体"/>
          <w:b/>
          <w:bCs/>
          <w:sz w:val="36"/>
          <w:szCs w:val="36"/>
        </w:rPr>
      </w:pPr>
      <w:r>
        <w:rPr>
          <w:rFonts w:hint="eastAsia" w:ascii="宋体" w:hAnsi="宋体"/>
          <w:b/>
          <w:bCs/>
          <w:sz w:val="36"/>
          <w:szCs w:val="36"/>
        </w:rPr>
        <w:t>供应商廉洁自律承诺书</w:t>
      </w:r>
    </w:p>
    <w:p w14:paraId="45E56FDB">
      <w:pPr>
        <w:rPr>
          <w:rFonts w:ascii="楷体_GB2312" w:eastAsia="楷体_GB2312"/>
        </w:rPr>
      </w:pPr>
    </w:p>
    <w:p w14:paraId="0E010691">
      <w:pPr>
        <w:pStyle w:val="12"/>
        <w:keepNext w:val="0"/>
        <w:keepLines w:val="0"/>
        <w:pageBreakBefore w:val="0"/>
        <w:widowControl w:val="0"/>
        <w:kinsoku/>
        <w:wordWrap/>
        <w:overflowPunct/>
        <w:topLinePunct w:val="0"/>
        <w:autoSpaceDE/>
        <w:autoSpaceDN/>
        <w:bidi w:val="0"/>
        <w:adjustRightInd w:val="0"/>
        <w:snapToGrid w:val="0"/>
        <w:spacing w:after="0" w:line="360" w:lineRule="auto"/>
        <w:ind w:left="424" w:leftChars="202" w:right="531" w:rightChars="253" w:firstLine="480" w:firstLineChars="200"/>
        <w:contextualSpacing/>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扬州大学附属医院</w:t>
      </w:r>
      <w:r>
        <w:rPr>
          <w:rFonts w:hint="eastAsia" w:asciiTheme="minorEastAsia" w:hAnsiTheme="minorEastAsia" w:eastAsiaTheme="minorEastAsia" w:cstheme="minorEastAsia"/>
          <w:bCs/>
          <w:sz w:val="24"/>
          <w:szCs w:val="24"/>
          <w:u w:val="single"/>
          <w:lang w:val="en-US" w:eastAsia="zh-CN"/>
        </w:rPr>
        <w:t xml:space="preserve">                        </w:t>
      </w:r>
      <w:r>
        <w:rPr>
          <w:rFonts w:hint="eastAsia" w:asciiTheme="minorEastAsia" w:hAnsiTheme="minorEastAsia" w:eastAsiaTheme="minorEastAsia" w:cstheme="minorEastAsia"/>
          <w:bCs/>
          <w:sz w:val="24"/>
          <w:szCs w:val="24"/>
        </w:rPr>
        <w:t>项目院内公开谈判是实行公开、公平、公正的阳光工程，给予了每个供应商平等竞争的机会。作为参与此次谈判活动的承包商,我公司现郑重作出以下承诺：</w:t>
      </w:r>
    </w:p>
    <w:p w14:paraId="5865B2A1">
      <w:pPr>
        <w:keepNext w:val="0"/>
        <w:keepLines w:val="0"/>
        <w:pageBreakBefore w:val="0"/>
        <w:widowControl w:val="0"/>
        <w:kinsoku/>
        <w:wordWrap/>
        <w:overflowPunct/>
        <w:topLinePunct w:val="0"/>
        <w:autoSpaceDE/>
        <w:autoSpaceDN/>
        <w:bidi w:val="0"/>
        <w:adjustRightInd w:val="0"/>
        <w:snapToGrid w:val="0"/>
        <w:spacing w:line="360" w:lineRule="auto"/>
        <w:ind w:left="424" w:leftChars="202" w:right="531" w:rightChars="253" w:firstLine="480" w:firstLineChars="200"/>
        <w:contextualSpacing/>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一、遵守《中华人民共和国政府采购法》及省、市有关政府采购的各项法律、法规和制度以及《扬州大学采购管理暂行办法》的规定。</w:t>
      </w:r>
    </w:p>
    <w:p w14:paraId="5082AF0B">
      <w:pPr>
        <w:keepNext w:val="0"/>
        <w:keepLines w:val="0"/>
        <w:pageBreakBefore w:val="0"/>
        <w:widowControl w:val="0"/>
        <w:kinsoku/>
        <w:wordWrap/>
        <w:overflowPunct/>
        <w:topLinePunct w:val="0"/>
        <w:autoSpaceDE/>
        <w:autoSpaceDN/>
        <w:bidi w:val="0"/>
        <w:adjustRightInd w:val="0"/>
        <w:snapToGrid w:val="0"/>
        <w:spacing w:line="360" w:lineRule="auto"/>
        <w:ind w:left="424" w:leftChars="202" w:right="531" w:rightChars="253" w:firstLine="480" w:firstLineChars="200"/>
        <w:contextualSpacing/>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二、客观真实反映自身情况，按规定接受采购供应商资格审查,不提供虚假材料，不夸大自身技术和提供服务的能力。</w:t>
      </w:r>
    </w:p>
    <w:p w14:paraId="408209B2">
      <w:pPr>
        <w:keepNext w:val="0"/>
        <w:keepLines w:val="0"/>
        <w:pageBreakBefore w:val="0"/>
        <w:widowControl w:val="0"/>
        <w:kinsoku/>
        <w:wordWrap/>
        <w:overflowPunct/>
        <w:topLinePunct w:val="0"/>
        <w:autoSpaceDE/>
        <w:autoSpaceDN/>
        <w:bidi w:val="0"/>
        <w:adjustRightInd w:val="0"/>
        <w:snapToGrid w:val="0"/>
        <w:spacing w:line="360" w:lineRule="auto"/>
        <w:ind w:left="424" w:leftChars="202" w:right="531" w:rightChars="253" w:firstLine="480" w:firstLineChars="200"/>
        <w:contextualSpacing/>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三、以合法正当的手段参与采购的公平竞争。不与采购人、其他供应商或者采购代理机构恶意串通，不以不正当手段诋毁、排挤其他供应商，不向采购人、评审机构行贿或者提供其他不正当利益。</w:t>
      </w:r>
    </w:p>
    <w:p w14:paraId="57BABD31">
      <w:pPr>
        <w:keepNext w:val="0"/>
        <w:keepLines w:val="0"/>
        <w:pageBreakBefore w:val="0"/>
        <w:widowControl w:val="0"/>
        <w:kinsoku/>
        <w:wordWrap/>
        <w:overflowPunct/>
        <w:topLinePunct w:val="0"/>
        <w:autoSpaceDE/>
        <w:autoSpaceDN/>
        <w:bidi w:val="0"/>
        <w:adjustRightInd w:val="0"/>
        <w:snapToGrid w:val="0"/>
        <w:spacing w:line="360" w:lineRule="auto"/>
        <w:ind w:left="424" w:leftChars="202" w:right="531" w:rightChars="253" w:firstLine="480" w:firstLineChars="200"/>
        <w:contextualSpacing/>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四、在采购活动中，认真履行规定义务,包括</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遵守采购程序，按要求编写投标、响应文件，并保证投标、响应文件内容的真实可靠；按时递交投标、响应文件；在评标、谈判现场遵守相关纪律，不影响正常的采购秩序。</w:t>
      </w:r>
    </w:p>
    <w:p w14:paraId="31F8DE3D">
      <w:pPr>
        <w:keepNext w:val="0"/>
        <w:keepLines w:val="0"/>
        <w:pageBreakBefore w:val="0"/>
        <w:widowControl w:val="0"/>
        <w:kinsoku/>
        <w:wordWrap/>
        <w:overflowPunct/>
        <w:topLinePunct w:val="0"/>
        <w:autoSpaceDE/>
        <w:autoSpaceDN/>
        <w:bidi w:val="0"/>
        <w:adjustRightInd w:val="0"/>
        <w:snapToGrid w:val="0"/>
        <w:spacing w:line="360" w:lineRule="auto"/>
        <w:ind w:left="424" w:leftChars="202" w:right="531" w:rightChars="253" w:firstLine="480" w:firstLineChars="200"/>
        <w:contextualSpacing/>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五、自觉接受采购监督管理部门及其他相关部门的监督检查。</w:t>
      </w:r>
    </w:p>
    <w:p w14:paraId="3372910B">
      <w:pPr>
        <w:pStyle w:val="12"/>
        <w:keepNext w:val="0"/>
        <w:keepLines w:val="0"/>
        <w:pageBreakBefore w:val="0"/>
        <w:widowControl w:val="0"/>
        <w:kinsoku/>
        <w:wordWrap/>
        <w:overflowPunct/>
        <w:topLinePunct w:val="0"/>
        <w:autoSpaceDE/>
        <w:autoSpaceDN/>
        <w:bidi w:val="0"/>
        <w:adjustRightInd w:val="0"/>
        <w:snapToGrid w:val="0"/>
        <w:spacing w:after="0" w:line="360" w:lineRule="auto"/>
        <w:ind w:left="424" w:leftChars="202" w:right="531" w:rightChars="253" w:firstLine="482" w:firstLineChars="200"/>
        <w:contextualSpacing/>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如违反以上承诺，我公司愿承担一切法律责任，并接受采购监督管理部门及其他相关部门依法作出的处罚。</w:t>
      </w:r>
    </w:p>
    <w:p w14:paraId="4D332664">
      <w:pPr>
        <w:pStyle w:val="12"/>
        <w:adjustRightInd w:val="0"/>
        <w:snapToGrid w:val="0"/>
        <w:spacing w:line="440" w:lineRule="exact"/>
        <w:ind w:left="424" w:leftChars="202" w:right="531" w:rightChars="253" w:firstLine="424" w:firstLineChars="177"/>
        <w:contextualSpacing/>
        <w:rPr>
          <w:rFonts w:ascii="宋体" w:hAnsi="宋体"/>
          <w:sz w:val="24"/>
        </w:rPr>
      </w:pPr>
    </w:p>
    <w:p w14:paraId="3E54AA89">
      <w:pPr>
        <w:adjustRightInd w:val="0"/>
        <w:snapToGrid w:val="0"/>
        <w:spacing w:line="440" w:lineRule="exact"/>
        <w:ind w:left="424" w:leftChars="202" w:right="531" w:rightChars="253" w:firstLine="424" w:firstLineChars="177"/>
        <w:contextualSpacing/>
        <w:rPr>
          <w:rFonts w:ascii="宋体" w:hAnsi="宋体"/>
          <w:sz w:val="24"/>
        </w:rPr>
      </w:pPr>
    </w:p>
    <w:p w14:paraId="511F2C4D">
      <w:pPr>
        <w:keepNext w:val="0"/>
        <w:keepLines w:val="0"/>
        <w:pageBreakBefore w:val="0"/>
        <w:widowControl w:val="0"/>
        <w:kinsoku/>
        <w:wordWrap/>
        <w:overflowPunct/>
        <w:topLinePunct w:val="0"/>
        <w:autoSpaceDE/>
        <w:autoSpaceDN/>
        <w:bidi w:val="0"/>
        <w:adjustRightInd w:val="0"/>
        <w:snapToGrid w:val="0"/>
        <w:spacing w:line="360" w:lineRule="auto"/>
        <w:ind w:left="424" w:leftChars="202" w:right="531" w:rightChars="253" w:firstLine="480" w:firstLineChars="200"/>
        <w:contextualSpacing/>
        <w:textAlignment w:val="auto"/>
        <w:rPr>
          <w:rFonts w:hint="eastAsia" w:ascii="宋体" w:hAnsi="宋体"/>
          <w:sz w:val="24"/>
          <w:lang w:eastAsia="zh-CN"/>
        </w:rPr>
      </w:pPr>
      <w:r>
        <w:rPr>
          <w:rFonts w:hint="eastAsia" w:ascii="宋体" w:hAnsi="宋体"/>
          <w:sz w:val="24"/>
        </w:rPr>
        <w:t>承诺单位（盖章）</w:t>
      </w:r>
      <w:r>
        <w:rPr>
          <w:rFonts w:hint="eastAsia" w:ascii="宋体" w:hAnsi="宋体"/>
          <w:sz w:val="24"/>
          <w:lang w:eastAsia="zh-CN"/>
        </w:rPr>
        <w:t>：</w:t>
      </w:r>
    </w:p>
    <w:p w14:paraId="2A85252D">
      <w:pPr>
        <w:pStyle w:val="28"/>
        <w:rPr>
          <w:rFonts w:hint="eastAsia"/>
          <w:lang w:eastAsia="zh-CN"/>
        </w:rPr>
      </w:pPr>
    </w:p>
    <w:p w14:paraId="33F35A58">
      <w:pPr>
        <w:keepNext w:val="0"/>
        <w:keepLines w:val="0"/>
        <w:pageBreakBefore w:val="0"/>
        <w:widowControl w:val="0"/>
        <w:kinsoku/>
        <w:wordWrap/>
        <w:overflowPunct/>
        <w:topLinePunct w:val="0"/>
        <w:autoSpaceDE/>
        <w:autoSpaceDN/>
        <w:bidi w:val="0"/>
        <w:adjustRightInd w:val="0"/>
        <w:snapToGrid w:val="0"/>
        <w:spacing w:line="360" w:lineRule="auto"/>
        <w:ind w:left="424" w:leftChars="202" w:right="531" w:rightChars="253" w:firstLine="480" w:firstLineChars="200"/>
        <w:contextualSpacing/>
        <w:textAlignment w:val="auto"/>
        <w:rPr>
          <w:rFonts w:hint="eastAsia" w:ascii="宋体" w:hAnsi="宋体"/>
          <w:sz w:val="24"/>
        </w:rPr>
      </w:pPr>
      <w:r>
        <w:rPr>
          <w:rFonts w:hint="eastAsia" w:ascii="宋体" w:hAnsi="宋体"/>
          <w:sz w:val="24"/>
        </w:rPr>
        <w:t>法定代表人（授权代表签字）：</w:t>
      </w:r>
    </w:p>
    <w:p w14:paraId="794FB570">
      <w:pPr>
        <w:pStyle w:val="28"/>
      </w:pPr>
    </w:p>
    <w:p w14:paraId="19DDA9AE">
      <w:pPr>
        <w:pStyle w:val="8"/>
        <w:keepNext w:val="0"/>
        <w:keepLines w:val="0"/>
        <w:pageBreakBefore w:val="0"/>
        <w:widowControl w:val="0"/>
        <w:kinsoku/>
        <w:wordWrap/>
        <w:overflowPunct/>
        <w:topLinePunct w:val="0"/>
        <w:autoSpaceDE/>
        <w:autoSpaceDN/>
        <w:bidi w:val="0"/>
        <w:adjustRightInd w:val="0"/>
        <w:snapToGrid w:val="0"/>
        <w:spacing w:after="0" w:line="360" w:lineRule="auto"/>
        <w:ind w:left="424" w:leftChars="202" w:right="531" w:rightChars="253" w:firstLine="480" w:firstLineChars="200"/>
        <w:contextualSpacing/>
        <w:textAlignment w:val="auto"/>
        <w:rPr>
          <w:rFonts w:ascii="宋体" w:hAnsi="宋体"/>
          <w:sz w:val="24"/>
          <w:highlight w:val="none"/>
        </w:rPr>
      </w:pPr>
      <w:r>
        <w:rPr>
          <w:rFonts w:hint="eastAsia" w:ascii="宋体" w:hAnsi="宋体"/>
          <w:sz w:val="24"/>
          <w:highlight w:val="none"/>
        </w:rPr>
        <w:t>202</w:t>
      </w:r>
      <w:r>
        <w:rPr>
          <w:rFonts w:ascii="宋体" w:hAnsi="宋体"/>
          <w:sz w:val="24"/>
          <w:highlight w:val="none"/>
        </w:rPr>
        <w:t>6</w:t>
      </w:r>
      <w:r>
        <w:rPr>
          <w:rFonts w:hint="eastAsia" w:ascii="宋体" w:hAnsi="宋体"/>
          <w:sz w:val="24"/>
          <w:highlight w:val="none"/>
        </w:rPr>
        <w:t>年    月   日</w:t>
      </w:r>
    </w:p>
    <w:p w14:paraId="67C3252A">
      <w:pPr>
        <w:jc w:val="center"/>
        <w:rPr>
          <w:rFonts w:ascii="宋体" w:hAnsi="宋体"/>
          <w:b/>
          <w:sz w:val="24"/>
        </w:rPr>
      </w:pPr>
    </w:p>
    <w:p w14:paraId="4475BBDC">
      <w:pPr>
        <w:rPr>
          <w:sz w:val="24"/>
        </w:rPr>
      </w:pPr>
    </w:p>
    <w:sectPr>
      <w:footerReference r:id="rId7" w:type="first"/>
      <w:footerReference r:id="rId6" w:type="default"/>
      <w:pgSz w:w="11906" w:h="16838"/>
      <w:pgMar w:top="1440" w:right="1196" w:bottom="1440" w:left="1196"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1FEF9">
    <w:pPr>
      <w:pStyle w:val="14"/>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614E63">
                          <w:pPr>
                            <w:pStyle w:val="1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E614E63">
                    <w:pPr>
                      <w:pStyle w:val="14"/>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82F81">
    <w:pPr>
      <w:pStyle w:val="14"/>
      <w:jc w:val="both"/>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4677CC">
                          <w:pPr>
                            <w:pStyle w:val="1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F4677CC">
                    <w:pPr>
                      <w:pStyle w:val="14"/>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2B321">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95068">
    <w:pPr>
      <w:pStyle w:val="14"/>
      <w:jc w:val="both"/>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D1A379">
                          <w:pPr>
                            <w:pStyle w:val="14"/>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AD1A379">
                    <w:pPr>
                      <w:pStyle w:val="1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95E217">
                          <w:pPr>
                            <w:pStyle w:val="1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D95E217">
                    <w:pPr>
                      <w:pStyle w:val="14"/>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5576B">
    <w:pPr>
      <w:pStyle w:val="1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31D44A">
                          <w:pPr>
                            <w:pStyle w:val="14"/>
                          </w:pPr>
                          <w:r>
                            <w:rPr>
                              <w:rFonts w:hint="eastAsia"/>
                              <w:lang w:val="en-US" w:eastAsia="zh-CN"/>
                            </w:rPr>
                            <w:t>1</w:t>
                          </w:r>
                          <w:r>
                            <w:t xml:space="preserve"> / </w:t>
                          </w:r>
                          <w:r>
                            <w:fldChar w:fldCharType="begin"/>
                          </w:r>
                          <w:r>
                            <w:instrText xml:space="preserve"> NUMPAGES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731D44A">
                    <w:pPr>
                      <w:pStyle w:val="14"/>
                    </w:pPr>
                    <w:r>
                      <w:rPr>
                        <w:rFonts w:hint="eastAsia"/>
                        <w:lang w:val="en-US" w:eastAsia="zh-CN"/>
                      </w:rPr>
                      <w:t>1</w:t>
                    </w:r>
                    <w:r>
                      <w:t xml:space="preserve"> / </w:t>
                    </w:r>
                    <w:r>
                      <w:fldChar w:fldCharType="begin"/>
                    </w:r>
                    <w:r>
                      <w:instrText xml:space="preserve"> NUMPAGES  \* MERGEFORMAT </w:instrText>
                    </w:r>
                    <w:r>
                      <w:fldChar w:fldCharType="separate"/>
                    </w:r>
                    <w:r>
                      <w:t>17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3515DD"/>
    <w:multiLevelType w:val="multilevel"/>
    <w:tmpl w:val="293515DD"/>
    <w:lvl w:ilvl="0" w:tentative="0">
      <w:start w:val="1"/>
      <w:numFmt w:val="bullet"/>
      <w:pStyle w:val="3"/>
      <w:lvlText w:val=""/>
      <w:lvlJc w:val="left"/>
      <w:pPr>
        <w:ind w:left="420" w:hanging="420"/>
      </w:pPr>
      <w:rPr>
        <w:rFonts w:hint="default" w:ascii="Wingdings" w:hAnsi="Wingdings" w:eastAsia="宋体"/>
        <w:b/>
        <w:i w:val="0"/>
        <w:sz w:val="28"/>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DD7"/>
    <w:rsid w:val="00013B19"/>
    <w:rsid w:val="000719A3"/>
    <w:rsid w:val="000E1931"/>
    <w:rsid w:val="00122BC4"/>
    <w:rsid w:val="00146B6D"/>
    <w:rsid w:val="00157B78"/>
    <w:rsid w:val="00222014"/>
    <w:rsid w:val="002C4593"/>
    <w:rsid w:val="003206A4"/>
    <w:rsid w:val="003813F4"/>
    <w:rsid w:val="003A3E74"/>
    <w:rsid w:val="003C270E"/>
    <w:rsid w:val="003F4FF7"/>
    <w:rsid w:val="004341C7"/>
    <w:rsid w:val="004A0472"/>
    <w:rsid w:val="005A6B5B"/>
    <w:rsid w:val="005C1A49"/>
    <w:rsid w:val="00611F76"/>
    <w:rsid w:val="0069656E"/>
    <w:rsid w:val="00740F84"/>
    <w:rsid w:val="007F2291"/>
    <w:rsid w:val="00801C2E"/>
    <w:rsid w:val="009512D6"/>
    <w:rsid w:val="009B4DD7"/>
    <w:rsid w:val="009F6585"/>
    <w:rsid w:val="00BF5195"/>
    <w:rsid w:val="00C2495E"/>
    <w:rsid w:val="00C60D9A"/>
    <w:rsid w:val="00CD2F68"/>
    <w:rsid w:val="00D9047D"/>
    <w:rsid w:val="00DF5890"/>
    <w:rsid w:val="00EF5B26"/>
    <w:rsid w:val="00F03EAF"/>
    <w:rsid w:val="00F0695A"/>
    <w:rsid w:val="00F14D10"/>
    <w:rsid w:val="01C82AB9"/>
    <w:rsid w:val="01DE6849"/>
    <w:rsid w:val="05B42BEE"/>
    <w:rsid w:val="0A8401E3"/>
    <w:rsid w:val="0BAC3E1D"/>
    <w:rsid w:val="0CB27867"/>
    <w:rsid w:val="0DCF1E50"/>
    <w:rsid w:val="0E157472"/>
    <w:rsid w:val="10F009BD"/>
    <w:rsid w:val="15E52C78"/>
    <w:rsid w:val="1CBC3557"/>
    <w:rsid w:val="1DD737EE"/>
    <w:rsid w:val="20AA3866"/>
    <w:rsid w:val="20C34832"/>
    <w:rsid w:val="2A522B7B"/>
    <w:rsid w:val="2EB910C0"/>
    <w:rsid w:val="2FDE4590"/>
    <w:rsid w:val="30A532D8"/>
    <w:rsid w:val="329802B9"/>
    <w:rsid w:val="33CE2865"/>
    <w:rsid w:val="35B65844"/>
    <w:rsid w:val="3779428F"/>
    <w:rsid w:val="3B613A93"/>
    <w:rsid w:val="3E341C7D"/>
    <w:rsid w:val="401728E0"/>
    <w:rsid w:val="40AC4204"/>
    <w:rsid w:val="42895E35"/>
    <w:rsid w:val="4550160D"/>
    <w:rsid w:val="47ED2965"/>
    <w:rsid w:val="47F04922"/>
    <w:rsid w:val="4BBF52FB"/>
    <w:rsid w:val="4E7E0245"/>
    <w:rsid w:val="4EFC5A73"/>
    <w:rsid w:val="55116550"/>
    <w:rsid w:val="560756D8"/>
    <w:rsid w:val="57873E79"/>
    <w:rsid w:val="5B372A19"/>
    <w:rsid w:val="5D0336DD"/>
    <w:rsid w:val="6358798B"/>
    <w:rsid w:val="690B6176"/>
    <w:rsid w:val="6A175BDB"/>
    <w:rsid w:val="6ACB16CB"/>
    <w:rsid w:val="6AED4904"/>
    <w:rsid w:val="6D68150D"/>
    <w:rsid w:val="76141385"/>
    <w:rsid w:val="76CD31E6"/>
    <w:rsid w:val="7AE563F6"/>
    <w:rsid w:val="7DBF50BB"/>
    <w:rsid w:val="7E3953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qFormat="1" w:unhideWhenUsed="0" w:uiPriority="0" w:semiHidden="0" w:name="Body Text First Indent 2"/>
    <w:lsdException w:uiPriority="99" w:name="Note Heading"/>
    <w:lsdException w:qFormat="1" w:unhideWhenUsed="0" w:uiPriority="99" w:semiHidden="0"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29"/>
    <w:qFormat/>
    <w:uiPriority w:val="9"/>
    <w:pPr>
      <w:keepNext/>
      <w:spacing w:line="360" w:lineRule="auto"/>
      <w:jc w:val="center"/>
      <w:outlineLvl w:val="0"/>
    </w:pPr>
    <w:rPr>
      <w:rFonts w:ascii="宋体" w:hAnsi="宋体" w:cs="宋体"/>
      <w:b/>
      <w:sz w:val="28"/>
      <w:szCs w:val="20"/>
    </w:rPr>
  </w:style>
  <w:style w:type="paragraph" w:styleId="3">
    <w:name w:val="heading 2"/>
    <w:basedOn w:val="1"/>
    <w:next w:val="1"/>
    <w:unhideWhenUsed/>
    <w:qFormat/>
    <w:uiPriority w:val="9"/>
    <w:pPr>
      <w:keepNext/>
      <w:keepLines/>
      <w:numPr>
        <w:ilvl w:val="0"/>
        <w:numId w:val="1"/>
      </w:numPr>
      <w:spacing w:line="360" w:lineRule="auto"/>
      <w:jc w:val="center"/>
      <w:outlineLvl w:val="1"/>
    </w:pPr>
    <w:rPr>
      <w:rFonts w:asciiTheme="majorHAnsi" w:hAnsiTheme="majorHAnsi" w:eastAsiaTheme="majorEastAsia" w:cstheme="majorBidi"/>
      <w:b/>
      <w:bCs/>
      <w:sz w:val="24"/>
      <w:szCs w:val="32"/>
    </w:rPr>
  </w:style>
  <w:style w:type="paragraph" w:styleId="4">
    <w:name w:val="heading 3"/>
    <w:basedOn w:val="1"/>
    <w:next w:val="1"/>
    <w:link w:val="30"/>
    <w:semiHidden/>
    <w:unhideWhenUsed/>
    <w:qFormat/>
    <w:uiPriority w:val="9"/>
    <w:pPr>
      <w:keepNext/>
      <w:keepLines/>
      <w:spacing w:before="260" w:after="260" w:line="412" w:lineRule="auto"/>
      <w:outlineLvl w:val="2"/>
    </w:pPr>
    <w:rPr>
      <w:rFonts w:cs="宋体"/>
      <w:b/>
      <w:sz w:val="32"/>
      <w:szCs w:val="20"/>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6">
    <w:name w:val="annotation text"/>
    <w:basedOn w:val="1"/>
    <w:link w:val="31"/>
    <w:qFormat/>
    <w:uiPriority w:val="99"/>
    <w:pPr>
      <w:jc w:val="left"/>
    </w:pPr>
  </w:style>
  <w:style w:type="paragraph" w:styleId="7">
    <w:name w:val="Body Text"/>
    <w:basedOn w:val="1"/>
    <w:link w:val="35"/>
    <w:qFormat/>
    <w:uiPriority w:val="99"/>
    <w:pPr>
      <w:jc w:val="left"/>
    </w:pPr>
    <w:rPr>
      <w:rFonts w:ascii="楷体_GB2312" w:hAnsi="华文楷体" w:eastAsia="楷体_GB2312"/>
      <w:sz w:val="28"/>
      <w:szCs w:val="28"/>
    </w:rPr>
  </w:style>
  <w:style w:type="paragraph" w:styleId="8">
    <w:name w:val="Body Text Indent"/>
    <w:basedOn w:val="1"/>
    <w:link w:val="36"/>
    <w:qFormat/>
    <w:uiPriority w:val="99"/>
    <w:pPr>
      <w:spacing w:after="120"/>
      <w:ind w:left="420" w:leftChars="200"/>
    </w:pPr>
  </w:style>
  <w:style w:type="paragraph" w:styleId="9">
    <w:name w:val="index 4"/>
    <w:basedOn w:val="1"/>
    <w:next w:val="1"/>
    <w:qFormat/>
    <w:uiPriority w:val="0"/>
    <w:pPr>
      <w:spacing w:line="460" w:lineRule="exact"/>
      <w:ind w:left="1260"/>
    </w:pPr>
    <w:rPr>
      <w:szCs w:val="21"/>
    </w:rPr>
  </w:style>
  <w:style w:type="paragraph" w:styleId="10">
    <w:name w:val="Plain Text"/>
    <w:basedOn w:val="1"/>
    <w:link w:val="39"/>
    <w:qFormat/>
    <w:uiPriority w:val="0"/>
    <w:rPr>
      <w:rFonts w:ascii="宋体" w:hAnsi="Courier New" w:cs="Courier New"/>
      <w:szCs w:val="21"/>
    </w:rPr>
  </w:style>
  <w:style w:type="paragraph" w:styleId="11">
    <w:name w:val="Date"/>
    <w:basedOn w:val="1"/>
    <w:next w:val="1"/>
    <w:link w:val="37"/>
    <w:qFormat/>
    <w:uiPriority w:val="99"/>
    <w:pPr>
      <w:ind w:left="100" w:leftChars="2500"/>
    </w:pPr>
    <w:rPr>
      <w:rFonts w:eastAsia="楷体_GB2312"/>
      <w:b/>
      <w:bCs/>
      <w:sz w:val="32"/>
    </w:rPr>
  </w:style>
  <w:style w:type="paragraph" w:styleId="12">
    <w:name w:val="Body Text Indent 2"/>
    <w:basedOn w:val="1"/>
    <w:link w:val="38"/>
    <w:qFormat/>
    <w:uiPriority w:val="99"/>
    <w:pPr>
      <w:spacing w:after="120" w:line="480" w:lineRule="auto"/>
      <w:ind w:left="420" w:leftChars="200"/>
    </w:pPr>
  </w:style>
  <w:style w:type="paragraph" w:styleId="13">
    <w:name w:val="Balloon Text"/>
    <w:basedOn w:val="1"/>
    <w:link w:val="41"/>
    <w:qFormat/>
    <w:uiPriority w:val="99"/>
    <w:rPr>
      <w:sz w:val="18"/>
      <w:szCs w:val="18"/>
    </w:rPr>
  </w:style>
  <w:style w:type="paragraph" w:styleId="14">
    <w:name w:val="footer"/>
    <w:basedOn w:val="1"/>
    <w:link w:val="33"/>
    <w:qFormat/>
    <w:uiPriority w:val="99"/>
    <w:pPr>
      <w:tabs>
        <w:tab w:val="center" w:pos="4153"/>
        <w:tab w:val="right" w:pos="8306"/>
      </w:tabs>
      <w:snapToGrid w:val="0"/>
      <w:jc w:val="left"/>
    </w:pPr>
    <w:rPr>
      <w:sz w:val="18"/>
      <w:szCs w:val="18"/>
    </w:rPr>
  </w:style>
  <w:style w:type="paragraph" w:styleId="15">
    <w:name w:val="header"/>
    <w:basedOn w:val="1"/>
    <w:link w:val="32"/>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tabs>
        <w:tab w:val="right" w:leader="dot" w:pos="8296"/>
      </w:tabs>
      <w:spacing w:line="360" w:lineRule="auto"/>
    </w:pPr>
  </w:style>
  <w:style w:type="paragraph" w:styleId="17">
    <w:name w:val="Body Text 2"/>
    <w:basedOn w:val="1"/>
    <w:link w:val="57"/>
    <w:qFormat/>
    <w:uiPriority w:val="99"/>
    <w:pPr>
      <w:spacing w:after="120" w:line="480" w:lineRule="auto"/>
    </w:pPr>
  </w:style>
  <w:style w:type="paragraph" w:styleId="18">
    <w:name w:val="Normal (Web)"/>
    <w:basedOn w:val="1"/>
    <w:qFormat/>
    <w:uiPriority w:val="0"/>
    <w:pPr>
      <w:spacing w:before="100" w:beforeAutospacing="1" w:after="100" w:afterAutospacing="1"/>
      <w:jc w:val="left"/>
    </w:pPr>
    <w:rPr>
      <w:kern w:val="0"/>
      <w:sz w:val="24"/>
      <w:szCs w:val="20"/>
    </w:rPr>
  </w:style>
  <w:style w:type="paragraph" w:styleId="19">
    <w:name w:val="Title"/>
    <w:basedOn w:val="1"/>
    <w:link w:val="34"/>
    <w:qFormat/>
    <w:uiPriority w:val="10"/>
    <w:pPr>
      <w:adjustRightInd w:val="0"/>
      <w:spacing w:before="240" w:after="60" w:line="420" w:lineRule="atLeast"/>
      <w:jc w:val="center"/>
      <w:outlineLvl w:val="0"/>
    </w:pPr>
    <w:rPr>
      <w:rFonts w:ascii="Arial" w:hAnsi="Arial"/>
      <w:b/>
      <w:kern w:val="0"/>
      <w:sz w:val="32"/>
      <w:szCs w:val="20"/>
    </w:rPr>
  </w:style>
  <w:style w:type="paragraph" w:styleId="20">
    <w:name w:val="annotation subject"/>
    <w:basedOn w:val="6"/>
    <w:next w:val="6"/>
    <w:link w:val="40"/>
    <w:qFormat/>
    <w:uiPriority w:val="99"/>
    <w:rPr>
      <w:b/>
      <w:bCs/>
    </w:rPr>
  </w:style>
  <w:style w:type="paragraph" w:styleId="21">
    <w:name w:val="Body Text First Indent 2"/>
    <w:basedOn w:val="8"/>
    <w:qFormat/>
    <w:uiPriority w:val="0"/>
    <w:pPr>
      <w:tabs>
        <w:tab w:val="left" w:pos="0"/>
        <w:tab w:val="left" w:pos="993"/>
        <w:tab w:val="left" w:pos="1134"/>
      </w:tabs>
      <w:ind w:firstLine="420"/>
    </w:pPr>
    <w:rPr>
      <w:rFonts w:ascii="Times New Roman" w:hAnsi="Times New Roman"/>
    </w:rPr>
  </w:style>
  <w:style w:type="table" w:styleId="23">
    <w:name w:val="Table Grid"/>
    <w:basedOn w:val="22"/>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basedOn w:val="24"/>
    <w:qFormat/>
    <w:uiPriority w:val="99"/>
    <w:rPr>
      <w:color w:val="800080"/>
      <w:u w:val="single"/>
    </w:rPr>
  </w:style>
  <w:style w:type="character" w:styleId="26">
    <w:name w:val="Hyperlink"/>
    <w:qFormat/>
    <w:uiPriority w:val="99"/>
    <w:rPr>
      <w:color w:val="0000FF"/>
      <w:u w:val="single"/>
    </w:rPr>
  </w:style>
  <w:style w:type="character" w:styleId="27">
    <w:name w:val="annotation reference"/>
    <w:qFormat/>
    <w:uiPriority w:val="0"/>
    <w:rPr>
      <w:sz w:val="21"/>
      <w:szCs w:val="21"/>
    </w:rPr>
  </w:style>
  <w:style w:type="paragraph" w:customStyle="1" w:styleId="28">
    <w:name w:val="Default"/>
    <w:qFormat/>
    <w:uiPriority w:val="0"/>
    <w:pPr>
      <w:widowControl w:val="0"/>
      <w:autoSpaceDE w:val="0"/>
      <w:autoSpaceDN w:val="0"/>
      <w:adjustRightInd w:val="0"/>
    </w:pPr>
    <w:rPr>
      <w:rFonts w:ascii="等线" w:hAnsi="等线" w:eastAsia="等线" w:cs="Times New Roman"/>
      <w:color w:val="000000"/>
      <w:sz w:val="24"/>
      <w:szCs w:val="24"/>
      <w:lang w:val="en-US" w:eastAsia="zh-CN" w:bidi="ar-SA"/>
    </w:rPr>
  </w:style>
  <w:style w:type="character" w:customStyle="1" w:styleId="29">
    <w:name w:val="标题 1 字符"/>
    <w:basedOn w:val="24"/>
    <w:link w:val="2"/>
    <w:qFormat/>
    <w:uiPriority w:val="0"/>
    <w:rPr>
      <w:rFonts w:ascii="宋体" w:hAnsi="宋体" w:eastAsia="宋体" w:cs="宋体"/>
      <w:b/>
      <w:sz w:val="28"/>
      <w:szCs w:val="20"/>
    </w:rPr>
  </w:style>
  <w:style w:type="character" w:customStyle="1" w:styleId="30">
    <w:name w:val="标题 3 字符"/>
    <w:basedOn w:val="24"/>
    <w:link w:val="4"/>
    <w:qFormat/>
    <w:uiPriority w:val="0"/>
    <w:rPr>
      <w:rFonts w:ascii="Calibri" w:hAnsi="Calibri" w:eastAsia="宋体" w:cs="宋体"/>
      <w:b/>
      <w:sz w:val="32"/>
      <w:szCs w:val="20"/>
    </w:rPr>
  </w:style>
  <w:style w:type="character" w:customStyle="1" w:styleId="31">
    <w:name w:val="批注文字 字符"/>
    <w:basedOn w:val="24"/>
    <w:link w:val="6"/>
    <w:qFormat/>
    <w:uiPriority w:val="99"/>
    <w:rPr>
      <w:rFonts w:ascii="Calibri" w:hAnsi="Calibri" w:eastAsia="宋体" w:cs="Times New Roman"/>
      <w:szCs w:val="24"/>
    </w:rPr>
  </w:style>
  <w:style w:type="character" w:customStyle="1" w:styleId="32">
    <w:name w:val="页眉 字符"/>
    <w:basedOn w:val="24"/>
    <w:link w:val="15"/>
    <w:qFormat/>
    <w:uiPriority w:val="99"/>
    <w:rPr>
      <w:rFonts w:ascii="Calibri" w:hAnsi="Calibri" w:eastAsia="宋体" w:cs="Times New Roman"/>
      <w:sz w:val="18"/>
      <w:szCs w:val="18"/>
    </w:rPr>
  </w:style>
  <w:style w:type="character" w:customStyle="1" w:styleId="33">
    <w:name w:val="页脚 字符"/>
    <w:basedOn w:val="24"/>
    <w:link w:val="14"/>
    <w:qFormat/>
    <w:uiPriority w:val="99"/>
    <w:rPr>
      <w:rFonts w:ascii="Calibri" w:hAnsi="Calibri" w:eastAsia="宋体" w:cs="Times New Roman"/>
      <w:sz w:val="18"/>
      <w:szCs w:val="18"/>
    </w:rPr>
  </w:style>
  <w:style w:type="character" w:customStyle="1" w:styleId="34">
    <w:name w:val="标题 字符"/>
    <w:basedOn w:val="24"/>
    <w:link w:val="19"/>
    <w:qFormat/>
    <w:uiPriority w:val="99"/>
    <w:rPr>
      <w:rFonts w:ascii="Arial" w:hAnsi="Arial" w:eastAsia="宋体" w:cs="Times New Roman"/>
      <w:b/>
      <w:kern w:val="0"/>
      <w:sz w:val="32"/>
      <w:szCs w:val="20"/>
    </w:rPr>
  </w:style>
  <w:style w:type="character" w:customStyle="1" w:styleId="35">
    <w:name w:val="正文文本 字符"/>
    <w:basedOn w:val="24"/>
    <w:link w:val="7"/>
    <w:qFormat/>
    <w:uiPriority w:val="99"/>
    <w:rPr>
      <w:rFonts w:ascii="楷体_GB2312" w:hAnsi="华文楷体" w:eastAsia="楷体_GB2312" w:cs="Times New Roman"/>
      <w:sz w:val="28"/>
      <w:szCs w:val="28"/>
    </w:rPr>
  </w:style>
  <w:style w:type="character" w:customStyle="1" w:styleId="36">
    <w:name w:val="正文文本缩进 字符"/>
    <w:basedOn w:val="24"/>
    <w:link w:val="8"/>
    <w:qFormat/>
    <w:uiPriority w:val="99"/>
    <w:rPr>
      <w:rFonts w:ascii="Calibri" w:hAnsi="Calibri" w:eastAsia="宋体" w:cs="Times New Roman"/>
      <w:szCs w:val="24"/>
    </w:rPr>
  </w:style>
  <w:style w:type="character" w:customStyle="1" w:styleId="37">
    <w:name w:val="日期 字符"/>
    <w:basedOn w:val="24"/>
    <w:link w:val="11"/>
    <w:qFormat/>
    <w:uiPriority w:val="99"/>
    <w:rPr>
      <w:rFonts w:ascii="Calibri" w:hAnsi="Calibri" w:eastAsia="楷体_GB2312" w:cs="Times New Roman"/>
      <w:b/>
      <w:bCs/>
      <w:sz w:val="32"/>
      <w:szCs w:val="24"/>
    </w:rPr>
  </w:style>
  <w:style w:type="character" w:customStyle="1" w:styleId="38">
    <w:name w:val="正文文本缩进 2 字符"/>
    <w:basedOn w:val="24"/>
    <w:link w:val="12"/>
    <w:qFormat/>
    <w:uiPriority w:val="99"/>
    <w:rPr>
      <w:rFonts w:ascii="Calibri" w:hAnsi="Calibri" w:eastAsia="宋体" w:cs="Times New Roman"/>
      <w:szCs w:val="24"/>
    </w:rPr>
  </w:style>
  <w:style w:type="character" w:customStyle="1" w:styleId="39">
    <w:name w:val="纯文本 字符"/>
    <w:basedOn w:val="24"/>
    <w:link w:val="10"/>
    <w:qFormat/>
    <w:uiPriority w:val="0"/>
    <w:rPr>
      <w:rFonts w:ascii="宋体" w:hAnsi="Courier New" w:eastAsia="宋体" w:cs="Courier New"/>
      <w:szCs w:val="21"/>
    </w:rPr>
  </w:style>
  <w:style w:type="character" w:customStyle="1" w:styleId="40">
    <w:name w:val="批注主题 字符"/>
    <w:basedOn w:val="31"/>
    <w:link w:val="20"/>
    <w:qFormat/>
    <w:uiPriority w:val="99"/>
    <w:rPr>
      <w:rFonts w:ascii="Calibri" w:hAnsi="Calibri" w:eastAsia="宋体" w:cs="Times New Roman"/>
      <w:b/>
      <w:bCs/>
      <w:szCs w:val="24"/>
    </w:rPr>
  </w:style>
  <w:style w:type="character" w:customStyle="1" w:styleId="41">
    <w:name w:val="批注框文本 字符"/>
    <w:basedOn w:val="24"/>
    <w:link w:val="13"/>
    <w:qFormat/>
    <w:uiPriority w:val="99"/>
    <w:rPr>
      <w:rFonts w:ascii="Calibri" w:hAnsi="Calibri" w:eastAsia="宋体" w:cs="Times New Roman"/>
      <w:sz w:val="18"/>
      <w:szCs w:val="18"/>
    </w:rPr>
  </w:style>
  <w:style w:type="paragraph" w:styleId="42">
    <w:name w:val="List Paragraph"/>
    <w:basedOn w:val="1"/>
    <w:qFormat/>
    <w:uiPriority w:val="34"/>
    <w:pPr>
      <w:ind w:firstLine="420" w:firstLineChars="200"/>
    </w:pPr>
    <w:rPr>
      <w:szCs w:val="20"/>
    </w:rPr>
  </w:style>
  <w:style w:type="paragraph" w:customStyle="1" w:styleId="43">
    <w:name w:val="Char Char1 Char Char Char Char Char Char"/>
    <w:basedOn w:val="1"/>
    <w:qFormat/>
    <w:uiPriority w:val="99"/>
    <w:pPr>
      <w:widowControl/>
      <w:spacing w:after="160" w:line="240" w:lineRule="exact"/>
      <w:jc w:val="left"/>
    </w:pPr>
    <w:rPr>
      <w:szCs w:val="20"/>
    </w:rPr>
  </w:style>
  <w:style w:type="paragraph" w:customStyle="1" w:styleId="44">
    <w:name w:val="2"/>
    <w:basedOn w:val="1"/>
    <w:qFormat/>
    <w:uiPriority w:val="99"/>
    <w:pPr>
      <w:widowControl/>
      <w:spacing w:before="100" w:beforeAutospacing="1" w:after="100" w:afterAutospacing="1"/>
      <w:jc w:val="left"/>
    </w:pPr>
    <w:rPr>
      <w:rFonts w:ascii="宋体" w:hAnsi="宋体" w:cs="宋体"/>
      <w:kern w:val="0"/>
      <w:sz w:val="24"/>
    </w:rPr>
  </w:style>
  <w:style w:type="paragraph" w:customStyle="1" w:styleId="45">
    <w:name w:val="列出段落1"/>
    <w:basedOn w:val="1"/>
    <w:qFormat/>
    <w:uiPriority w:val="34"/>
    <w:pPr>
      <w:ind w:firstLine="420" w:firstLineChars="200"/>
    </w:pPr>
  </w:style>
  <w:style w:type="paragraph" w:customStyle="1" w:styleId="46">
    <w:name w:val="Char"/>
    <w:basedOn w:val="1"/>
    <w:qFormat/>
    <w:uiPriority w:val="99"/>
    <w:pPr>
      <w:widowControl/>
      <w:spacing w:after="160" w:line="240" w:lineRule="exact"/>
      <w:jc w:val="left"/>
    </w:pPr>
  </w:style>
  <w:style w:type="paragraph" w:customStyle="1" w:styleId="47">
    <w:name w:val="正文_2"/>
    <w:qFormat/>
    <w:uiPriority w:val="99"/>
    <w:rPr>
      <w:rFonts w:ascii="Calibri" w:hAnsi="Calibri" w:eastAsia="宋体" w:cs="Times New Roman"/>
      <w:sz w:val="21"/>
      <w:szCs w:val="22"/>
      <w:lang w:val="en-US" w:eastAsia="zh-CN" w:bidi="ar-SA"/>
    </w:rPr>
  </w:style>
  <w:style w:type="paragraph" w:customStyle="1" w:styleId="48">
    <w:name w:val="正文_0_0"/>
    <w:qFormat/>
    <w:uiPriority w:val="99"/>
    <w:pPr>
      <w:widowControl w:val="0"/>
      <w:jc w:val="both"/>
    </w:pPr>
    <w:rPr>
      <w:rFonts w:ascii="Calibri" w:hAnsi="Calibri" w:eastAsia="宋体" w:cs="Times New Roman"/>
      <w:kern w:val="2"/>
      <w:sz w:val="21"/>
      <w:szCs w:val="22"/>
      <w:lang w:val="en-US" w:eastAsia="zh-CN" w:bidi="ar-SA"/>
    </w:rPr>
  </w:style>
  <w:style w:type="character" w:customStyle="1" w:styleId="49">
    <w:name w:val="标题 Char1"/>
    <w:basedOn w:val="24"/>
    <w:qFormat/>
    <w:uiPriority w:val="10"/>
    <w:rPr>
      <w:rFonts w:hint="default" w:ascii="Cambria" w:hAnsi="Cambria" w:cs="宋体"/>
      <w:b/>
      <w:bCs/>
      <w:kern w:val="2"/>
      <w:sz w:val="32"/>
      <w:szCs w:val="32"/>
    </w:rPr>
  </w:style>
  <w:style w:type="character" w:customStyle="1" w:styleId="50">
    <w:name w:val="批注文字 Char1"/>
    <w:basedOn w:val="24"/>
    <w:qFormat/>
    <w:uiPriority w:val="99"/>
    <w:rPr>
      <w:kern w:val="2"/>
      <w:sz w:val="21"/>
      <w:szCs w:val="24"/>
    </w:rPr>
  </w:style>
  <w:style w:type="character" w:customStyle="1" w:styleId="51">
    <w:name w:val="批注主题 Char1"/>
    <w:basedOn w:val="50"/>
    <w:qFormat/>
    <w:uiPriority w:val="99"/>
    <w:rPr>
      <w:b/>
      <w:bCs/>
      <w:kern w:val="2"/>
      <w:sz w:val="21"/>
      <w:szCs w:val="24"/>
    </w:rPr>
  </w:style>
  <w:style w:type="paragraph" w:customStyle="1" w:styleId="52">
    <w:name w:val="TOC 标题1"/>
    <w:basedOn w:val="2"/>
    <w:next w:val="1"/>
    <w:qFormat/>
    <w:uiPriority w:val="39"/>
    <w:pPr>
      <w:keepLines/>
      <w:widowControl/>
      <w:spacing w:before="240" w:line="259" w:lineRule="auto"/>
      <w:jc w:val="left"/>
      <w:outlineLvl w:val="9"/>
    </w:pPr>
    <w:rPr>
      <w:rFonts w:ascii="Cambria" w:hAnsi="Cambria"/>
      <w:b w:val="0"/>
      <w:color w:val="376092"/>
      <w:kern w:val="0"/>
      <w:sz w:val="32"/>
      <w:szCs w:val="32"/>
    </w:rPr>
  </w:style>
  <w:style w:type="character" w:customStyle="1" w:styleId="53">
    <w:name w:val="Blockquote Char Char"/>
    <w:link w:val="54"/>
    <w:qFormat/>
    <w:uiPriority w:val="0"/>
    <w:rPr>
      <w:sz w:val="24"/>
    </w:rPr>
  </w:style>
  <w:style w:type="paragraph" w:customStyle="1" w:styleId="54">
    <w:name w:val="Blockquote"/>
    <w:basedOn w:val="1"/>
    <w:link w:val="53"/>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55">
    <w:name w:val="正文_0_0_0_0"/>
    <w:qFormat/>
    <w:uiPriority w:val="0"/>
    <w:pPr>
      <w:widowControl w:val="0"/>
      <w:jc w:val="both"/>
    </w:pPr>
    <w:rPr>
      <w:rFonts w:ascii="Times New Roman" w:hAnsi="Times New Roman" w:eastAsia="宋体" w:cs="Times New Roman"/>
      <w:lang w:val="en-US" w:eastAsia="zh-CN" w:bidi="ar-SA"/>
    </w:rPr>
  </w:style>
  <w:style w:type="paragraph" w:customStyle="1" w:styleId="56">
    <w:name w:val="正文_0"/>
    <w:qFormat/>
    <w:uiPriority w:val="0"/>
    <w:pPr>
      <w:widowControl w:val="0"/>
      <w:ind w:firstLine="360"/>
      <w:jc w:val="both"/>
    </w:pPr>
    <w:rPr>
      <w:rFonts w:ascii="Times New Roman" w:hAnsi="Times New Roman" w:eastAsia="宋体" w:cs="Times New Roman"/>
      <w:kern w:val="2"/>
      <w:sz w:val="21"/>
      <w:szCs w:val="22"/>
      <w:lang w:val="en-US" w:eastAsia="zh-CN" w:bidi="ar-SA"/>
    </w:rPr>
  </w:style>
  <w:style w:type="character" w:customStyle="1" w:styleId="57">
    <w:name w:val="正文文本 2 字符"/>
    <w:basedOn w:val="24"/>
    <w:link w:val="17"/>
    <w:qFormat/>
    <w:uiPriority w:val="99"/>
    <w:rPr>
      <w:rFonts w:ascii="Calibri" w:hAnsi="Calibri" w:eastAsia="宋体" w:cs="Times New Roman"/>
      <w:kern w:val="2"/>
      <w:sz w:val="21"/>
      <w:szCs w:val="24"/>
    </w:rPr>
  </w:style>
  <w:style w:type="character" w:customStyle="1" w:styleId="58">
    <w:name w:val="NormalCharacter"/>
    <w:qFormat/>
    <w:uiPriority w:val="0"/>
  </w:style>
  <w:style w:type="paragraph" w:customStyle="1" w:styleId="59">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60">
    <w:name w:val="宋体小四正文"/>
    <w:basedOn w:val="1"/>
    <w:link w:val="61"/>
    <w:qFormat/>
    <w:uiPriority w:val="0"/>
    <w:pPr>
      <w:spacing w:line="360" w:lineRule="auto"/>
      <w:ind w:firstLine="200" w:firstLineChars="200"/>
    </w:pPr>
    <w:rPr>
      <w:rFonts w:ascii="宋体" w:hAnsi="宋体" w:cs="宋体"/>
      <w:color w:val="000000"/>
      <w:sz w:val="24"/>
      <w:szCs w:val="28"/>
    </w:rPr>
  </w:style>
  <w:style w:type="character" w:customStyle="1" w:styleId="61">
    <w:name w:val="宋体小四正文 字符"/>
    <w:basedOn w:val="24"/>
    <w:link w:val="60"/>
    <w:qFormat/>
    <w:uiPriority w:val="0"/>
    <w:rPr>
      <w:rFonts w:ascii="宋体" w:hAnsi="宋体" w:eastAsia="宋体"/>
      <w:color w:val="000000"/>
      <w:kern w:val="2"/>
      <w:sz w:val="24"/>
      <w:szCs w:val="28"/>
    </w:rPr>
  </w:style>
  <w:style w:type="paragraph" w:customStyle="1" w:styleId="62">
    <w:name w:val="(符号)标书正文"/>
    <w:basedOn w:val="1"/>
    <w:qFormat/>
    <w:uiPriority w:val="0"/>
    <w:pPr>
      <w:spacing w:before="100" w:beforeAutospacing="1" w:after="100" w:afterAutospacing="1" w:line="460" w:lineRule="exact"/>
      <w:ind w:left="420"/>
    </w:pPr>
    <w:rPr>
      <w:rFonts w:ascii="宋体" w:hAnsi="宋体"/>
      <w:color w:val="000000"/>
      <w:sz w:val="24"/>
      <w:szCs w:val="22"/>
    </w:rPr>
  </w:style>
  <w:style w:type="paragraph" w:customStyle="1" w:styleId="63">
    <w:name w:val="正文表标题"/>
    <w:next w:val="1"/>
    <w:qFormat/>
    <w:uiPriority w:val="0"/>
    <w:pPr>
      <w:spacing w:before="156" w:beforeLines="50" w:after="156" w:afterLines="50"/>
      <w:jc w:val="center"/>
    </w:pPr>
    <w:rPr>
      <w:rFonts w:ascii="黑体" w:hAnsi="Times New Roman" w:eastAsia="黑体" w:cs="Times New Roman"/>
      <w:sz w:val="21"/>
      <w:lang w:val="en-US" w:eastAsia="zh-CN" w:bidi="ar-SA"/>
    </w:rPr>
  </w:style>
  <w:style w:type="paragraph" w:customStyle="1" w:styleId="64">
    <w:name w:val="UserStyle_6"/>
    <w:basedOn w:val="1"/>
    <w:autoRedefine/>
    <w:qFormat/>
    <w:uiPriority w:val="0"/>
    <w:pPr>
      <w:widowControl/>
      <w:textAlignment w:val="baseline"/>
    </w:pPr>
    <w:rPr>
      <w:rFonts w:ascii="宋体" w:hAnsi="宋体"/>
      <w:sz w:val="24"/>
      <w:lang w:val="zh-CN" w:bidi="zh-CN"/>
    </w:rPr>
  </w:style>
  <w:style w:type="paragraph" w:customStyle="1" w:styleId="65">
    <w:name w:val="正文（缩进）"/>
    <w:basedOn w:val="1"/>
    <w:qFormat/>
    <w:uiPriority w:val="0"/>
    <w:pPr>
      <w:ind w:firstLine="48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E192B5-A6FF-4DDC-BAD7-B6B560D38FD7}">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21</Pages>
  <Words>6579</Words>
  <Characters>6832</Characters>
  <Lines>76</Lines>
  <Paragraphs>21</Paragraphs>
  <TotalTime>11</TotalTime>
  <ScaleCrop>false</ScaleCrop>
  <LinksUpToDate>false</LinksUpToDate>
  <CharactersWithSpaces>6930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2026-03-03T03:41:00Z</dcterms:created>
  <dc:creator>未定义</dc:creator>
  <cp:lastModifiedBy>艾伦小天使</cp:lastModifiedBy>
  <cp:lastPrinted>2020-05-07T09:24:00Z</cp:lastPrinted>
  <dcterms:modified xsi:type="dcterms:W3CDTF">2026-07-14T06:38:15Z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627E2F6AD3964886940D0D830D626B53_13</vt:lpwstr>
  </property>
  <property fmtid="{D5CDD505-2E9C-101B-9397-08002B2CF9AE}" pid="4" name="KSOTemplateDocerSaveRecord">
    <vt:lpwstr>eyJoZGlkIjoiYTBhZWI3NWRmZjY0ZGIxMWVjM2QyOTRhYjhiZjJiYWMiLCJ1c2VySWQiOiIzNTEzODI1MDgifQ==</vt:lpwstr>
  </property>
</Properties>
</file>