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DF92D">
      <w:pPr>
        <w:jc w:val="right"/>
        <w:rPr>
          <w:rFonts w:hint="eastAsia" w:ascii="宋体" w:hAnsi="宋体" w:eastAsia="宋体" w:cs="宋体"/>
          <w:b/>
          <w:bCs/>
          <w:color w:val="auto"/>
          <w:sz w:val="36"/>
          <w:highlight w:val="none"/>
          <w:lang w:eastAsia="zh-CN"/>
        </w:rPr>
      </w:pPr>
      <w:r>
        <w:rPr>
          <w:rFonts w:hint="eastAsia" w:ascii="宋体" w:hAnsi="宋体" w:cs="宋体"/>
          <w:b/>
          <w:bCs/>
          <w:color w:val="auto"/>
          <w:sz w:val="36"/>
          <w:highlight w:val="none"/>
          <w:lang w:eastAsia="zh-CN"/>
        </w:rPr>
        <w:t>JDCGDL2026022号</w:t>
      </w:r>
    </w:p>
    <w:p w14:paraId="453E86AD">
      <w:pPr>
        <w:jc w:val="right"/>
        <w:rPr>
          <w:rFonts w:ascii="宋体" w:hAnsi="宋体" w:cs="宋体"/>
          <w:color w:val="auto"/>
          <w:sz w:val="36"/>
          <w:highlight w:val="none"/>
        </w:rPr>
      </w:pPr>
    </w:p>
    <w:p w14:paraId="2077AD12">
      <w:pPr>
        <w:jc w:val="center"/>
        <w:rPr>
          <w:rFonts w:hint="default" w:ascii="宋体" w:hAnsi="宋体" w:eastAsia="宋体" w:cs="宋体"/>
          <w:b/>
          <w:bCs/>
          <w:color w:val="auto"/>
          <w:sz w:val="36"/>
          <w:highlight w:val="none"/>
          <w:lang w:val="en-US" w:eastAsia="zh-CN"/>
        </w:rPr>
      </w:pPr>
      <w:r>
        <w:rPr>
          <w:rFonts w:hint="eastAsia" w:ascii="宋体" w:hAnsi="宋体" w:cs="宋体"/>
          <w:b/>
          <w:bCs/>
          <w:color w:val="auto"/>
          <w:sz w:val="36"/>
          <w:highlight w:val="none"/>
          <w:lang w:eastAsia="zh-CN"/>
        </w:rPr>
        <w:t>扬州大学附属医院护士鞋采购项目</w:t>
      </w:r>
    </w:p>
    <w:p w14:paraId="628F6CD1">
      <w:pPr>
        <w:jc w:val="center"/>
        <w:rPr>
          <w:rFonts w:ascii="宋体" w:hAnsi="宋体" w:cs="宋体"/>
          <w:b/>
          <w:bCs/>
          <w:color w:val="auto"/>
          <w:sz w:val="36"/>
          <w:highlight w:val="none"/>
        </w:rPr>
      </w:pPr>
      <w:r>
        <w:rPr>
          <w:rFonts w:hint="eastAsia" w:ascii="宋体" w:hAnsi="宋体" w:cs="宋体"/>
          <w:b/>
          <w:bCs/>
          <w:color w:val="auto"/>
          <w:sz w:val="36"/>
          <w:highlight w:val="none"/>
        </w:rPr>
        <w:t>公开招标文件</w:t>
      </w:r>
    </w:p>
    <w:p w14:paraId="17712DC2">
      <w:pPr>
        <w:jc w:val="center"/>
        <w:rPr>
          <w:rFonts w:ascii="宋体" w:hAnsi="宋体" w:cs="宋体"/>
          <w:color w:val="auto"/>
          <w:sz w:val="36"/>
          <w:highlight w:val="none"/>
        </w:rPr>
      </w:pPr>
    </w:p>
    <w:p w14:paraId="058A2A54">
      <w:pPr>
        <w:jc w:val="center"/>
        <w:rPr>
          <w:rFonts w:ascii="宋体" w:hAnsi="宋体" w:cs="宋体"/>
          <w:color w:val="auto"/>
          <w:sz w:val="36"/>
          <w:highlight w:val="none"/>
        </w:rPr>
      </w:pPr>
    </w:p>
    <w:p w14:paraId="2B1ABEB9">
      <w:pPr>
        <w:jc w:val="left"/>
        <w:rPr>
          <w:rFonts w:ascii="宋体" w:hAnsi="宋体" w:cs="宋体"/>
          <w:color w:val="auto"/>
          <w:sz w:val="36"/>
          <w:highlight w:val="none"/>
        </w:rPr>
      </w:pPr>
    </w:p>
    <w:p w14:paraId="76615213">
      <w:pPr>
        <w:jc w:val="left"/>
        <w:rPr>
          <w:rFonts w:ascii="宋体" w:hAnsi="宋体" w:cs="宋体"/>
          <w:color w:val="auto"/>
          <w:sz w:val="36"/>
          <w:highlight w:val="none"/>
        </w:rPr>
      </w:pPr>
    </w:p>
    <w:p w14:paraId="1CE13072">
      <w:pPr>
        <w:jc w:val="left"/>
        <w:rPr>
          <w:rFonts w:ascii="宋体" w:hAnsi="宋体" w:cs="宋体"/>
          <w:color w:val="auto"/>
          <w:sz w:val="36"/>
          <w:highlight w:val="none"/>
        </w:rPr>
      </w:pPr>
    </w:p>
    <w:p w14:paraId="7679D3F8">
      <w:pPr>
        <w:jc w:val="left"/>
        <w:rPr>
          <w:rFonts w:ascii="宋体" w:hAnsi="宋体" w:cs="宋体"/>
          <w:color w:val="auto"/>
          <w:sz w:val="36"/>
          <w:highlight w:val="none"/>
        </w:rPr>
      </w:pPr>
    </w:p>
    <w:p w14:paraId="154C051F">
      <w:pPr>
        <w:jc w:val="left"/>
        <w:rPr>
          <w:rFonts w:ascii="宋体" w:hAnsi="宋体" w:cs="宋体"/>
          <w:color w:val="auto"/>
          <w:sz w:val="36"/>
          <w:highlight w:val="none"/>
        </w:rPr>
      </w:pPr>
    </w:p>
    <w:p w14:paraId="7FDF2A88">
      <w:pPr>
        <w:jc w:val="left"/>
        <w:rPr>
          <w:rFonts w:ascii="宋体" w:hAnsi="宋体" w:cs="宋体"/>
          <w:color w:val="auto"/>
          <w:sz w:val="36"/>
          <w:highlight w:val="none"/>
        </w:rPr>
      </w:pPr>
    </w:p>
    <w:p w14:paraId="5113CD63">
      <w:pPr>
        <w:jc w:val="left"/>
        <w:rPr>
          <w:rFonts w:ascii="宋体" w:hAnsi="宋体" w:cs="宋体"/>
          <w:color w:val="auto"/>
          <w:sz w:val="36"/>
          <w:highlight w:val="none"/>
        </w:rPr>
      </w:pPr>
    </w:p>
    <w:p w14:paraId="61CCFF42">
      <w:pPr>
        <w:jc w:val="left"/>
        <w:rPr>
          <w:rFonts w:ascii="宋体" w:hAnsi="宋体" w:cs="宋体"/>
          <w:color w:val="auto"/>
          <w:sz w:val="36"/>
          <w:highlight w:val="none"/>
        </w:rPr>
      </w:pPr>
    </w:p>
    <w:p w14:paraId="5605F4E9">
      <w:pPr>
        <w:jc w:val="left"/>
        <w:rPr>
          <w:rFonts w:ascii="宋体" w:hAnsi="宋体" w:cs="宋体"/>
          <w:color w:val="auto"/>
          <w:sz w:val="36"/>
          <w:highlight w:val="none"/>
        </w:rPr>
      </w:pPr>
    </w:p>
    <w:p w14:paraId="3BA5F8CB">
      <w:pPr>
        <w:jc w:val="center"/>
        <w:rPr>
          <w:rFonts w:ascii="宋体" w:hAnsi="宋体" w:cs="宋体"/>
          <w:color w:val="auto"/>
          <w:sz w:val="36"/>
          <w:highlight w:val="none"/>
        </w:rPr>
      </w:pPr>
    </w:p>
    <w:p w14:paraId="17D871E8">
      <w:pPr>
        <w:ind w:left="0" w:leftChars="0" w:firstLine="0" w:firstLineChars="0"/>
        <w:jc w:val="both"/>
        <w:rPr>
          <w:rFonts w:hint="eastAsia" w:ascii="宋体" w:hAnsi="宋体" w:cs="宋体"/>
          <w:b/>
          <w:bCs/>
          <w:color w:val="auto"/>
          <w:w w:val="90"/>
          <w:kern w:val="0"/>
          <w:sz w:val="32"/>
          <w:szCs w:val="32"/>
          <w:highlight w:val="none"/>
        </w:rPr>
      </w:pPr>
    </w:p>
    <w:p w14:paraId="7F3D4D2F">
      <w:pPr>
        <w:ind w:left="0" w:leftChars="0" w:firstLine="419" w:firstLineChars="145"/>
        <w:jc w:val="both"/>
        <w:rPr>
          <w:rFonts w:hint="eastAsia" w:ascii="宋体" w:hAnsi="宋体" w:eastAsia="宋体" w:cs="宋体"/>
          <w:b/>
          <w:bCs/>
          <w:color w:val="auto"/>
          <w:w w:val="90"/>
          <w:kern w:val="0"/>
          <w:sz w:val="32"/>
          <w:szCs w:val="32"/>
          <w:highlight w:val="none"/>
          <w:lang w:val="en-US" w:eastAsia="zh-CN"/>
        </w:rPr>
      </w:pPr>
      <w:r>
        <w:rPr>
          <w:rFonts w:hint="eastAsia" w:ascii="宋体" w:hAnsi="宋体" w:cs="宋体"/>
          <w:b/>
          <w:bCs/>
          <w:color w:val="auto"/>
          <w:w w:val="90"/>
          <w:kern w:val="0"/>
          <w:sz w:val="32"/>
          <w:szCs w:val="32"/>
          <w:highlight w:val="none"/>
        </w:rPr>
        <w:t>采购人：</w:t>
      </w:r>
      <w:r>
        <w:rPr>
          <w:rFonts w:hint="eastAsia" w:ascii="宋体" w:hAnsi="宋体" w:cs="宋体"/>
          <w:b/>
          <w:bCs/>
          <w:color w:val="auto"/>
          <w:w w:val="90"/>
          <w:kern w:val="0"/>
          <w:sz w:val="32"/>
          <w:szCs w:val="32"/>
          <w:highlight w:val="none"/>
          <w:lang w:eastAsia="zh-CN"/>
        </w:rPr>
        <w:t>扬州大学附属医院</w:t>
      </w:r>
    </w:p>
    <w:p w14:paraId="6900AB2F">
      <w:pPr>
        <w:ind w:left="0" w:leftChars="0" w:firstLine="419" w:firstLineChars="145"/>
        <w:jc w:val="both"/>
        <w:rPr>
          <w:rFonts w:hint="eastAsia" w:ascii="宋体" w:hAnsi="宋体" w:eastAsia="宋体" w:cs="宋体"/>
          <w:b/>
          <w:bCs/>
          <w:color w:val="auto"/>
          <w:w w:val="90"/>
          <w:kern w:val="0"/>
          <w:sz w:val="32"/>
          <w:szCs w:val="32"/>
          <w:highlight w:val="none"/>
          <w:lang w:eastAsia="zh-CN"/>
        </w:rPr>
      </w:pPr>
      <w:r>
        <w:rPr>
          <w:rFonts w:hint="eastAsia" w:ascii="宋体" w:hAnsi="宋体" w:cs="宋体"/>
          <w:b/>
          <w:bCs/>
          <w:color w:val="auto"/>
          <w:w w:val="90"/>
          <w:kern w:val="0"/>
          <w:sz w:val="32"/>
          <w:szCs w:val="32"/>
          <w:highlight w:val="none"/>
        </w:rPr>
        <w:t>采购代理机构(章)：</w:t>
      </w:r>
      <w:r>
        <w:rPr>
          <w:rFonts w:hint="eastAsia" w:ascii="宋体" w:hAnsi="宋体" w:cs="宋体"/>
          <w:b/>
          <w:bCs/>
          <w:color w:val="auto"/>
          <w:w w:val="90"/>
          <w:kern w:val="0"/>
          <w:sz w:val="32"/>
          <w:szCs w:val="32"/>
          <w:highlight w:val="none"/>
          <w:lang w:eastAsia="zh-CN"/>
        </w:rPr>
        <w:t>江苏建达全过程工程咨询有限公司</w:t>
      </w:r>
    </w:p>
    <w:p w14:paraId="3EEA7E77">
      <w:pPr>
        <w:ind w:left="0" w:leftChars="0" w:firstLine="419" w:firstLineChars="145"/>
        <w:jc w:val="both"/>
        <w:rPr>
          <w:rFonts w:hint="eastAsia" w:ascii="宋体" w:hAnsi="宋体" w:cs="宋体"/>
          <w:b/>
          <w:bCs/>
          <w:color w:val="auto"/>
          <w:w w:val="90"/>
          <w:kern w:val="0"/>
          <w:sz w:val="32"/>
          <w:szCs w:val="32"/>
          <w:highlight w:val="none"/>
        </w:rPr>
      </w:pPr>
      <w:r>
        <w:rPr>
          <w:rFonts w:hint="eastAsia" w:ascii="宋体" w:hAnsi="宋体" w:cs="宋体"/>
          <w:b/>
          <w:bCs/>
          <w:color w:val="auto"/>
          <w:w w:val="90"/>
          <w:kern w:val="0"/>
          <w:sz w:val="32"/>
          <w:szCs w:val="32"/>
          <w:highlight w:val="none"/>
        </w:rPr>
        <w:t>发 放 日 期：</w:t>
      </w:r>
      <w:r>
        <w:rPr>
          <w:rFonts w:hint="eastAsia" w:ascii="宋体" w:hAnsi="宋体" w:cs="宋体"/>
          <w:b/>
          <w:bCs/>
          <w:color w:val="auto"/>
          <w:w w:val="90"/>
          <w:kern w:val="0"/>
          <w:sz w:val="32"/>
          <w:szCs w:val="32"/>
          <w:highlight w:val="none"/>
          <w:lang w:eastAsia="zh-CN"/>
        </w:rPr>
        <w:t>202</w:t>
      </w:r>
      <w:r>
        <w:rPr>
          <w:rFonts w:hint="eastAsia" w:ascii="宋体" w:hAnsi="宋体" w:cs="宋体"/>
          <w:b/>
          <w:bCs/>
          <w:color w:val="auto"/>
          <w:w w:val="90"/>
          <w:kern w:val="0"/>
          <w:sz w:val="32"/>
          <w:szCs w:val="32"/>
          <w:highlight w:val="none"/>
          <w:lang w:val="en-US" w:eastAsia="zh-CN"/>
        </w:rPr>
        <w:t>6</w:t>
      </w:r>
      <w:r>
        <w:rPr>
          <w:rFonts w:hint="eastAsia" w:ascii="宋体" w:hAnsi="宋体" w:cs="宋体"/>
          <w:b/>
          <w:bCs/>
          <w:color w:val="auto"/>
          <w:w w:val="90"/>
          <w:kern w:val="0"/>
          <w:sz w:val="32"/>
          <w:szCs w:val="32"/>
          <w:highlight w:val="none"/>
          <w:lang w:eastAsia="zh-CN"/>
        </w:rPr>
        <w:t>年</w:t>
      </w:r>
      <w:r>
        <w:rPr>
          <w:rFonts w:hint="eastAsia" w:ascii="宋体" w:hAnsi="宋体" w:cs="宋体"/>
          <w:b/>
          <w:bCs/>
          <w:color w:val="auto"/>
          <w:w w:val="90"/>
          <w:kern w:val="0"/>
          <w:sz w:val="32"/>
          <w:szCs w:val="32"/>
          <w:highlight w:val="none"/>
          <w:lang w:val="en-US" w:eastAsia="zh-CN"/>
        </w:rPr>
        <w:t>7</w:t>
      </w:r>
      <w:r>
        <w:rPr>
          <w:rFonts w:hint="eastAsia" w:ascii="宋体" w:hAnsi="宋体" w:cs="宋体"/>
          <w:b/>
          <w:bCs/>
          <w:color w:val="auto"/>
          <w:w w:val="90"/>
          <w:kern w:val="0"/>
          <w:sz w:val="32"/>
          <w:szCs w:val="32"/>
          <w:highlight w:val="none"/>
          <w:lang w:eastAsia="zh-CN"/>
        </w:rPr>
        <w:t>月</w:t>
      </w:r>
      <w:r>
        <w:rPr>
          <w:rFonts w:hint="eastAsia" w:ascii="宋体" w:hAnsi="宋体" w:cs="宋体"/>
          <w:b/>
          <w:bCs/>
          <w:color w:val="auto"/>
          <w:w w:val="90"/>
          <w:kern w:val="0"/>
          <w:sz w:val="32"/>
          <w:szCs w:val="32"/>
          <w:highlight w:val="none"/>
          <w:lang w:val="en-US" w:eastAsia="zh-CN"/>
        </w:rPr>
        <w:t>16</w:t>
      </w:r>
      <w:r>
        <w:rPr>
          <w:rFonts w:hint="eastAsia" w:ascii="宋体" w:hAnsi="宋体" w:cs="宋体"/>
          <w:b/>
          <w:bCs/>
          <w:color w:val="auto"/>
          <w:w w:val="90"/>
          <w:kern w:val="0"/>
          <w:sz w:val="32"/>
          <w:szCs w:val="32"/>
          <w:highlight w:val="none"/>
        </w:rPr>
        <w:t>日</w:t>
      </w:r>
    </w:p>
    <w:p w14:paraId="4DAE1943">
      <w:pPr>
        <w:rPr>
          <w:color w:val="auto"/>
          <w:highlight w:val="none"/>
        </w:rPr>
      </w:pPr>
      <w:r>
        <w:rPr>
          <w:color w:val="auto"/>
          <w:highlight w:val="none"/>
        </w:rPr>
        <w:br w:type="page"/>
      </w:r>
    </w:p>
    <w:p w14:paraId="704477A9">
      <w:pPr>
        <w:spacing w:line="360" w:lineRule="auto"/>
        <w:jc w:val="center"/>
        <w:rPr>
          <w:rFonts w:ascii="宋体" w:hAnsi="宋体" w:cs="宋体"/>
          <w:color w:val="auto"/>
          <w:sz w:val="32"/>
          <w:highlight w:val="none"/>
        </w:rPr>
      </w:pPr>
      <w:r>
        <w:rPr>
          <w:rFonts w:hint="eastAsia" w:ascii="宋体" w:hAnsi="宋体" w:cs="宋体"/>
          <w:color w:val="auto"/>
          <w:sz w:val="32"/>
          <w:highlight w:val="none"/>
        </w:rPr>
        <w:t>目 录</w:t>
      </w:r>
    </w:p>
    <w:p w14:paraId="73550F0A">
      <w:pPr>
        <w:pStyle w:val="13"/>
        <w:tabs>
          <w:tab w:val="right" w:leader="dot" w:pos="8306"/>
        </w:tabs>
        <w:rPr>
          <w:color w:val="auto"/>
          <w:highlight w:val="none"/>
        </w:rPr>
      </w:pPr>
      <w:r>
        <w:rPr>
          <w:rFonts w:hint="eastAsia" w:ascii="宋体" w:hAnsi="宋体" w:cs="宋体"/>
          <w:color w:val="auto"/>
          <w:sz w:val="28"/>
          <w:highlight w:val="none"/>
        </w:rPr>
        <w:fldChar w:fldCharType="begin"/>
      </w:r>
      <w:r>
        <w:rPr>
          <w:rFonts w:hint="eastAsia" w:ascii="宋体" w:hAnsi="宋体" w:cs="宋体"/>
          <w:color w:val="auto"/>
          <w:sz w:val="28"/>
          <w:highlight w:val="none"/>
        </w:rPr>
        <w:instrText xml:space="preserve"> TOC \o "1-3" \f </w:instrText>
      </w:r>
      <w:r>
        <w:rPr>
          <w:rFonts w:hint="eastAsia" w:ascii="宋体" w:hAnsi="宋体" w:cs="宋体"/>
          <w:color w:val="auto"/>
          <w:sz w:val="28"/>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_Toc19837 \h </w:instrText>
      </w:r>
      <w:r>
        <w:rPr>
          <w:color w:val="auto"/>
          <w:highlight w:val="none"/>
        </w:rPr>
        <w:fldChar w:fldCharType="separate"/>
      </w:r>
      <w:r>
        <w:rPr>
          <w:color w:val="auto"/>
          <w:highlight w:val="none"/>
        </w:rPr>
        <w:t>3</w:t>
      </w:r>
      <w:r>
        <w:rPr>
          <w:color w:val="auto"/>
          <w:highlight w:val="none"/>
        </w:rPr>
        <w:fldChar w:fldCharType="end"/>
      </w:r>
    </w:p>
    <w:p w14:paraId="0B2EE7BB">
      <w:pPr>
        <w:pStyle w:val="13"/>
        <w:tabs>
          <w:tab w:val="right" w:leader="dot" w:pos="8306"/>
        </w:tabs>
        <w:rPr>
          <w:color w:val="auto"/>
          <w:highlight w:val="none"/>
        </w:rPr>
      </w:pPr>
      <w:r>
        <w:rPr>
          <w:rFonts w:hint="eastAsia" w:ascii="宋体" w:hAnsi="宋体" w:cs="宋体"/>
          <w:color w:val="auto"/>
          <w:highlight w:val="none"/>
          <w:lang w:val="en-US" w:eastAsia="zh-CN"/>
        </w:rPr>
        <w:t>第二章 投标人须知</w:t>
      </w:r>
      <w:r>
        <w:rPr>
          <w:color w:val="auto"/>
          <w:highlight w:val="none"/>
        </w:rPr>
        <w:tab/>
      </w:r>
      <w:r>
        <w:rPr>
          <w:color w:val="auto"/>
          <w:highlight w:val="none"/>
        </w:rPr>
        <w:fldChar w:fldCharType="begin"/>
      </w:r>
      <w:r>
        <w:rPr>
          <w:color w:val="auto"/>
          <w:highlight w:val="none"/>
        </w:rPr>
        <w:instrText xml:space="preserve"> PAGEREF _Toc5218 \h </w:instrText>
      </w:r>
      <w:r>
        <w:rPr>
          <w:color w:val="auto"/>
          <w:highlight w:val="none"/>
        </w:rPr>
        <w:fldChar w:fldCharType="separate"/>
      </w:r>
      <w:r>
        <w:rPr>
          <w:color w:val="auto"/>
          <w:highlight w:val="none"/>
        </w:rPr>
        <w:t>6</w:t>
      </w:r>
      <w:r>
        <w:rPr>
          <w:color w:val="auto"/>
          <w:highlight w:val="none"/>
        </w:rPr>
        <w:fldChar w:fldCharType="end"/>
      </w:r>
    </w:p>
    <w:p w14:paraId="723290AF">
      <w:pPr>
        <w:pStyle w:val="13"/>
        <w:tabs>
          <w:tab w:val="right" w:leader="dot" w:pos="8306"/>
        </w:tabs>
        <w:rPr>
          <w:color w:val="auto"/>
          <w:highlight w:val="none"/>
        </w:rPr>
      </w:pPr>
      <w:r>
        <w:rPr>
          <w:rFonts w:hint="eastAsia" w:ascii="宋体" w:hAnsi="宋体" w:cs="宋体"/>
          <w:color w:val="auto"/>
          <w:highlight w:val="none"/>
          <w:lang w:val="en-US" w:eastAsia="zh-CN"/>
        </w:rPr>
        <w:t>第三章 合同条款及格式</w:t>
      </w:r>
      <w:r>
        <w:rPr>
          <w:color w:val="auto"/>
          <w:highlight w:val="none"/>
        </w:rPr>
        <w:tab/>
      </w:r>
      <w:r>
        <w:rPr>
          <w:color w:val="auto"/>
          <w:highlight w:val="none"/>
        </w:rPr>
        <w:fldChar w:fldCharType="begin"/>
      </w:r>
      <w:r>
        <w:rPr>
          <w:color w:val="auto"/>
          <w:highlight w:val="none"/>
        </w:rPr>
        <w:instrText xml:space="preserve"> PAGEREF _Toc25921 \h </w:instrText>
      </w:r>
      <w:r>
        <w:rPr>
          <w:color w:val="auto"/>
          <w:highlight w:val="none"/>
        </w:rPr>
        <w:fldChar w:fldCharType="separate"/>
      </w:r>
      <w:r>
        <w:rPr>
          <w:color w:val="auto"/>
          <w:highlight w:val="none"/>
        </w:rPr>
        <w:t>20</w:t>
      </w:r>
      <w:r>
        <w:rPr>
          <w:color w:val="auto"/>
          <w:highlight w:val="none"/>
        </w:rPr>
        <w:fldChar w:fldCharType="end"/>
      </w:r>
    </w:p>
    <w:p w14:paraId="1491EA8B">
      <w:pPr>
        <w:pStyle w:val="13"/>
        <w:tabs>
          <w:tab w:val="right" w:leader="dot" w:pos="8306"/>
        </w:tabs>
        <w:rPr>
          <w:color w:val="auto"/>
          <w:highlight w:val="none"/>
        </w:rPr>
      </w:pPr>
      <w:r>
        <w:rPr>
          <w:color w:val="auto"/>
          <w:highlight w:val="none"/>
        </w:rPr>
        <w:t>第四章 项目需求</w:t>
      </w:r>
      <w:r>
        <w:rPr>
          <w:color w:val="auto"/>
          <w:highlight w:val="none"/>
        </w:rPr>
        <w:tab/>
      </w:r>
      <w:r>
        <w:rPr>
          <w:color w:val="auto"/>
          <w:highlight w:val="none"/>
        </w:rPr>
        <w:fldChar w:fldCharType="begin"/>
      </w:r>
      <w:r>
        <w:rPr>
          <w:color w:val="auto"/>
          <w:highlight w:val="none"/>
        </w:rPr>
        <w:instrText xml:space="preserve"> PAGEREF _Toc17515 \h </w:instrText>
      </w:r>
      <w:r>
        <w:rPr>
          <w:color w:val="auto"/>
          <w:highlight w:val="none"/>
        </w:rPr>
        <w:fldChar w:fldCharType="separate"/>
      </w:r>
      <w:r>
        <w:rPr>
          <w:color w:val="auto"/>
          <w:highlight w:val="none"/>
        </w:rPr>
        <w:t>25</w:t>
      </w:r>
      <w:r>
        <w:rPr>
          <w:color w:val="auto"/>
          <w:highlight w:val="none"/>
        </w:rPr>
        <w:fldChar w:fldCharType="end"/>
      </w:r>
    </w:p>
    <w:p w14:paraId="3319B9E9">
      <w:pPr>
        <w:pStyle w:val="13"/>
        <w:tabs>
          <w:tab w:val="right" w:leader="dot" w:pos="8306"/>
        </w:tabs>
        <w:rPr>
          <w:color w:val="auto"/>
          <w:highlight w:val="none"/>
        </w:rPr>
      </w:pPr>
      <w:r>
        <w:rPr>
          <w:color w:val="auto"/>
          <w:highlight w:val="none"/>
        </w:rPr>
        <w:t>第五章 评标方法及评标标准</w:t>
      </w:r>
      <w:r>
        <w:rPr>
          <w:color w:val="auto"/>
          <w:highlight w:val="none"/>
        </w:rPr>
        <w:tab/>
      </w:r>
      <w:r>
        <w:rPr>
          <w:color w:val="auto"/>
          <w:highlight w:val="none"/>
        </w:rPr>
        <w:fldChar w:fldCharType="begin"/>
      </w:r>
      <w:r>
        <w:rPr>
          <w:color w:val="auto"/>
          <w:highlight w:val="none"/>
        </w:rPr>
        <w:instrText xml:space="preserve"> PAGEREF _Toc10827 \h </w:instrText>
      </w:r>
      <w:r>
        <w:rPr>
          <w:color w:val="auto"/>
          <w:highlight w:val="none"/>
        </w:rPr>
        <w:fldChar w:fldCharType="separate"/>
      </w:r>
      <w:r>
        <w:rPr>
          <w:color w:val="auto"/>
          <w:highlight w:val="none"/>
        </w:rPr>
        <w:t>27</w:t>
      </w:r>
      <w:r>
        <w:rPr>
          <w:color w:val="auto"/>
          <w:highlight w:val="none"/>
        </w:rPr>
        <w:fldChar w:fldCharType="end"/>
      </w:r>
    </w:p>
    <w:p w14:paraId="7AB5CAF4">
      <w:pPr>
        <w:pStyle w:val="13"/>
        <w:tabs>
          <w:tab w:val="right" w:leader="dot" w:pos="8306"/>
        </w:tabs>
        <w:rPr>
          <w:color w:val="auto"/>
          <w:highlight w:val="none"/>
        </w:rPr>
      </w:pPr>
      <w:r>
        <w:rPr>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_Toc17539 \h </w:instrText>
      </w:r>
      <w:r>
        <w:rPr>
          <w:color w:val="auto"/>
          <w:highlight w:val="none"/>
        </w:rPr>
        <w:fldChar w:fldCharType="separate"/>
      </w:r>
      <w:r>
        <w:rPr>
          <w:color w:val="auto"/>
          <w:highlight w:val="none"/>
        </w:rPr>
        <w:t>29</w:t>
      </w:r>
      <w:r>
        <w:rPr>
          <w:color w:val="auto"/>
          <w:highlight w:val="none"/>
        </w:rPr>
        <w:fldChar w:fldCharType="end"/>
      </w:r>
    </w:p>
    <w:p w14:paraId="3DD9DCD3">
      <w:pPr>
        <w:rPr>
          <w:rFonts w:hint="eastAsia" w:ascii="宋体" w:hAnsi="宋体" w:cs="宋体"/>
          <w:color w:val="auto"/>
          <w:highlight w:val="none"/>
        </w:rPr>
      </w:pPr>
      <w:r>
        <w:rPr>
          <w:rFonts w:hint="eastAsia" w:ascii="宋体" w:hAnsi="宋体" w:cs="宋体"/>
          <w:color w:val="auto"/>
          <w:highlight w:val="none"/>
        </w:rPr>
        <w:fldChar w:fldCharType="end"/>
      </w:r>
    </w:p>
    <w:p w14:paraId="4CDA6096">
      <w:pPr>
        <w:rPr>
          <w:rFonts w:hint="eastAsia" w:ascii="宋体" w:hAnsi="宋体" w:cs="宋体"/>
          <w:color w:val="auto"/>
          <w:highlight w:val="none"/>
        </w:rPr>
      </w:pPr>
      <w:r>
        <w:rPr>
          <w:rFonts w:hint="eastAsia" w:ascii="宋体" w:hAnsi="宋体" w:cs="宋体"/>
          <w:color w:val="auto"/>
          <w:highlight w:val="none"/>
        </w:rPr>
        <w:br w:type="page"/>
      </w:r>
    </w:p>
    <w:p w14:paraId="0BF25235">
      <w:pPr>
        <w:pStyle w:val="2"/>
        <w:spacing w:line="360" w:lineRule="auto"/>
        <w:jc w:val="center"/>
        <w:rPr>
          <w:rFonts w:ascii="宋体" w:hAnsi="宋体" w:cs="宋体"/>
          <w:color w:val="auto"/>
          <w:sz w:val="36"/>
          <w:highlight w:val="none"/>
        </w:rPr>
      </w:pPr>
      <w:bookmarkStart w:id="0" w:name="_Toc19837"/>
      <w:bookmarkStart w:id="1" w:name="OLE_LINK1"/>
      <w:r>
        <w:rPr>
          <w:rFonts w:hint="eastAsia" w:ascii="宋体" w:hAnsi="宋体" w:cs="宋体"/>
          <w:color w:val="auto"/>
          <w:sz w:val="36"/>
          <w:highlight w:val="none"/>
        </w:rPr>
        <w:t>第一章 招标公告</w:t>
      </w:r>
      <w:bookmarkEnd w:id="0"/>
    </w:p>
    <w:bookmarkEnd w:id="1"/>
    <w:p w14:paraId="0B2FB140">
      <w:pPr>
        <w:spacing w:line="360" w:lineRule="auto"/>
        <w:ind w:firstLine="420" w:firstLineChars="200"/>
        <w:rPr>
          <w:rFonts w:ascii="宋体" w:hAnsi="宋体" w:cs="宋体"/>
          <w:color w:val="auto"/>
          <w:szCs w:val="21"/>
          <w:highlight w:val="none"/>
        </w:rPr>
      </w:pPr>
      <w:bookmarkStart w:id="2" w:name="_Toc28359002"/>
      <w:bookmarkStart w:id="3" w:name="_Toc28359079"/>
      <w:bookmarkStart w:id="4" w:name="_Toc35393621"/>
      <w:bookmarkStart w:id="5" w:name="_Toc35393790"/>
      <w:bookmarkStart w:id="6" w:name="_Hlk24379207"/>
      <w:r>
        <w:rPr>
          <w:rFonts w:hint="eastAsia" w:ascii="宋体" w:hAnsi="宋体" w:cs="宋体"/>
          <w:color w:val="auto"/>
          <w:szCs w:val="21"/>
          <w:highlight w:val="none"/>
          <w:lang w:eastAsia="zh-CN"/>
        </w:rPr>
        <w:t>江苏建达全过程工程咨询有限公司</w:t>
      </w:r>
      <w:r>
        <w:rPr>
          <w:rFonts w:hint="eastAsia" w:ascii="宋体" w:hAnsi="宋体" w:cs="宋体"/>
          <w:color w:val="auto"/>
          <w:szCs w:val="21"/>
          <w:highlight w:val="none"/>
        </w:rPr>
        <w:t>受</w:t>
      </w:r>
      <w:r>
        <w:rPr>
          <w:rFonts w:hint="eastAsia" w:ascii="宋体" w:hAnsi="宋体" w:cs="宋体"/>
          <w:color w:val="auto"/>
          <w:szCs w:val="21"/>
          <w:highlight w:val="none"/>
          <w:lang w:eastAsia="zh-CN"/>
        </w:rPr>
        <w:t>扬州大学附属医院</w:t>
      </w:r>
      <w:r>
        <w:rPr>
          <w:rFonts w:hint="eastAsia" w:ascii="宋体" w:hAnsi="宋体" w:cs="宋体"/>
          <w:color w:val="auto"/>
          <w:szCs w:val="21"/>
          <w:highlight w:val="none"/>
        </w:rPr>
        <w:t>的委托，</w:t>
      </w:r>
      <w:r>
        <w:rPr>
          <w:rFonts w:hint="eastAsia" w:ascii="宋体" w:hAnsi="宋体" w:cs="宋体"/>
          <w:bCs/>
          <w:color w:val="auto"/>
          <w:szCs w:val="21"/>
          <w:highlight w:val="none"/>
        </w:rPr>
        <w:t>就其</w:t>
      </w:r>
      <w:bookmarkStart w:id="7" w:name="OLE_LINK16"/>
      <w:bookmarkEnd w:id="7"/>
      <w:r>
        <w:rPr>
          <w:rFonts w:hint="eastAsia" w:ascii="宋体" w:hAnsi="宋体" w:cs="宋体"/>
          <w:color w:val="auto"/>
          <w:szCs w:val="21"/>
          <w:highlight w:val="none"/>
          <w:lang w:eastAsia="zh-CN"/>
        </w:rPr>
        <w:t>扬州大学附属医院护士鞋采购项目</w:t>
      </w:r>
      <w:r>
        <w:rPr>
          <w:rFonts w:hint="eastAsia" w:ascii="宋体" w:hAnsi="宋体" w:cs="宋体"/>
          <w:color w:val="auto"/>
          <w:szCs w:val="21"/>
          <w:highlight w:val="none"/>
        </w:rPr>
        <w:t>实施招标采购，欢迎符合相关条件的供应商参加投标。</w:t>
      </w:r>
    </w:p>
    <w:p w14:paraId="7F58192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一、项目基本情况</w:t>
      </w:r>
      <w:bookmarkEnd w:id="2"/>
      <w:bookmarkEnd w:id="3"/>
      <w:bookmarkEnd w:id="4"/>
      <w:bookmarkEnd w:id="5"/>
    </w:p>
    <w:bookmarkEnd w:id="6"/>
    <w:p w14:paraId="6705B252">
      <w:pPr>
        <w:tabs>
          <w:tab w:val="left" w:pos="900"/>
        </w:tabs>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1.项目编号：</w:t>
      </w:r>
      <w:r>
        <w:rPr>
          <w:rFonts w:hint="eastAsia" w:ascii="宋体" w:hAnsi="宋体"/>
          <w:color w:val="auto"/>
          <w:highlight w:val="none"/>
          <w:lang w:eastAsia="zh-CN"/>
        </w:rPr>
        <w:t>JDCGDL2026022</w:t>
      </w:r>
      <w:r>
        <w:rPr>
          <w:rFonts w:hint="eastAsia" w:ascii="宋体" w:hAnsi="宋体"/>
          <w:color w:val="auto"/>
          <w:highlight w:val="none"/>
          <w:lang w:eastAsia="zh-CN"/>
        </w:rPr>
        <w:t>号</w:t>
      </w:r>
    </w:p>
    <w:p w14:paraId="5F7EB966">
      <w:pPr>
        <w:tabs>
          <w:tab w:val="left" w:pos="900"/>
        </w:tabs>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rPr>
        <w:t>2.项目名称：</w:t>
      </w:r>
      <w:r>
        <w:rPr>
          <w:rFonts w:hint="eastAsia" w:ascii="宋体" w:hAnsi="宋体" w:cs="宋体"/>
          <w:color w:val="auto"/>
          <w:szCs w:val="21"/>
          <w:highlight w:val="none"/>
          <w:lang w:eastAsia="zh-CN"/>
        </w:rPr>
        <w:t>扬州大学附属医院护士鞋采购项目</w:t>
      </w:r>
    </w:p>
    <w:p w14:paraId="7C3E4C2B">
      <w:pPr>
        <w:tabs>
          <w:tab w:val="left" w:pos="900"/>
        </w:tabs>
        <w:spacing w:line="360" w:lineRule="auto"/>
        <w:ind w:firstLine="420" w:firstLineChars="200"/>
        <w:rPr>
          <w:rFonts w:ascii="宋体" w:hAnsi="宋体"/>
          <w:color w:val="auto"/>
          <w:highlight w:val="none"/>
        </w:rPr>
      </w:pPr>
      <w:r>
        <w:rPr>
          <w:rFonts w:hint="eastAsia" w:ascii="宋体" w:hAnsi="宋体"/>
          <w:color w:val="auto"/>
          <w:highlight w:val="none"/>
        </w:rPr>
        <w:t>3.采购方式：公开招标</w:t>
      </w:r>
    </w:p>
    <w:p w14:paraId="0F7B2C45">
      <w:pPr>
        <w:tabs>
          <w:tab w:val="left" w:pos="900"/>
        </w:tabs>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4.</w:t>
      </w:r>
      <w:r>
        <w:rPr>
          <w:rFonts w:hint="eastAsia" w:ascii="宋体" w:hAnsi="宋体"/>
          <w:color w:val="auto"/>
          <w:highlight w:val="none"/>
          <w:lang w:val="en-US" w:eastAsia="zh-CN"/>
        </w:rPr>
        <w:t>预算金额：130625元</w:t>
      </w:r>
    </w:p>
    <w:p w14:paraId="3A76B98B">
      <w:pPr>
        <w:tabs>
          <w:tab w:val="left" w:pos="900"/>
        </w:tabs>
        <w:spacing w:line="360" w:lineRule="auto"/>
        <w:ind w:firstLine="420" w:firstLineChars="200"/>
        <w:rPr>
          <w:rFonts w:ascii="宋体" w:hAnsi="宋体"/>
          <w:color w:val="auto"/>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最高投标限价：</w:t>
      </w:r>
      <w:r>
        <w:rPr>
          <w:rFonts w:hint="eastAsia" w:ascii="宋体" w:hAnsi="宋体"/>
          <w:color w:val="auto"/>
          <w:highlight w:val="none"/>
          <w:lang w:val="en-US" w:eastAsia="zh-CN"/>
        </w:rPr>
        <w:t>130625</w:t>
      </w:r>
      <w:r>
        <w:rPr>
          <w:rFonts w:hint="eastAsia" w:ascii="宋体" w:hAnsi="宋体" w:cs="宋体"/>
          <w:color w:val="auto"/>
          <w:szCs w:val="21"/>
          <w:highlight w:val="none"/>
          <w:lang w:val="en-US" w:eastAsia="zh-CN"/>
        </w:rPr>
        <w:t>元</w:t>
      </w:r>
      <w:r>
        <w:rPr>
          <w:rFonts w:hint="eastAsia" w:ascii="宋体" w:hAnsi="宋体" w:cs="宋体"/>
          <w:color w:val="auto"/>
          <w:szCs w:val="21"/>
          <w:highlight w:val="none"/>
        </w:rPr>
        <w:t>，超过最高投标限价的视为为无效报价，按照无效响应处理。</w:t>
      </w:r>
    </w:p>
    <w:p w14:paraId="7C49D86B">
      <w:pPr>
        <w:tabs>
          <w:tab w:val="left" w:pos="900"/>
        </w:tabs>
        <w:spacing w:line="360" w:lineRule="auto"/>
        <w:ind w:firstLine="420" w:firstLineChars="200"/>
        <w:rPr>
          <w:rFonts w:hint="eastAsia" w:ascii="宋体" w:hAnsi="宋体" w:cs="宋体"/>
          <w:color w:val="auto"/>
          <w:szCs w:val="21"/>
          <w:highlight w:val="none"/>
        </w:rPr>
      </w:pPr>
      <w:r>
        <w:rPr>
          <w:rFonts w:hint="eastAsia" w:ascii="宋体" w:hAnsi="宋体"/>
          <w:color w:val="auto"/>
          <w:highlight w:val="none"/>
          <w:lang w:val="en-US" w:eastAsia="zh-CN"/>
        </w:rPr>
        <w:t>6</w:t>
      </w:r>
      <w:r>
        <w:rPr>
          <w:rFonts w:hint="eastAsia" w:ascii="宋体" w:hAnsi="宋体"/>
          <w:color w:val="auto"/>
          <w:highlight w:val="none"/>
        </w:rPr>
        <w:t>.采购需求：</w:t>
      </w:r>
      <w:r>
        <w:rPr>
          <w:rFonts w:hint="eastAsia" w:ascii="宋体" w:hAnsi="宋体"/>
          <w:color w:val="auto"/>
          <w:highlight w:val="none"/>
          <w:lang w:val="en-US" w:eastAsia="zh-CN"/>
        </w:rPr>
        <w:t>拟采购1045双护士鞋，具体</w:t>
      </w:r>
      <w:r>
        <w:rPr>
          <w:rFonts w:hint="eastAsia" w:ascii="宋体" w:hAnsi="宋体"/>
          <w:color w:val="auto"/>
          <w:highlight w:val="none"/>
        </w:rPr>
        <w:t>详见招标文件第四章项目需求。</w:t>
      </w:r>
    </w:p>
    <w:p w14:paraId="08C131DE">
      <w:pPr>
        <w:tabs>
          <w:tab w:val="left" w:pos="900"/>
        </w:tabs>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.合同履行期限：</w:t>
      </w:r>
      <w:r>
        <w:rPr>
          <w:rFonts w:hint="eastAsia"/>
          <w:color w:val="auto"/>
          <w:spacing w:val="-5"/>
          <w:highlight w:val="none"/>
          <w:lang w:eastAsia="zh-CN"/>
        </w:rPr>
        <w:t>合同签订之日起</w:t>
      </w:r>
      <w:r>
        <w:rPr>
          <w:rFonts w:hint="eastAsia"/>
          <w:color w:val="auto"/>
          <w:spacing w:val="-5"/>
          <w:highlight w:val="none"/>
          <w:lang w:val="en-US" w:eastAsia="zh-CN"/>
        </w:rPr>
        <w:t>45</w:t>
      </w:r>
      <w:r>
        <w:rPr>
          <w:rFonts w:hint="eastAsia"/>
          <w:color w:val="auto"/>
          <w:spacing w:val="-5"/>
          <w:highlight w:val="none"/>
          <w:lang w:eastAsia="zh-CN"/>
        </w:rPr>
        <w:t>日历天内</w:t>
      </w:r>
    </w:p>
    <w:p w14:paraId="548A8C31">
      <w:pPr>
        <w:tabs>
          <w:tab w:val="left" w:pos="900"/>
        </w:tabs>
        <w:spacing w:line="360" w:lineRule="auto"/>
        <w:ind w:firstLine="420" w:firstLineChars="200"/>
        <w:rPr>
          <w:rFonts w:hint="eastAsia" w:ascii="宋体" w:hAnsi="宋体" w:eastAsia="宋体"/>
          <w:color w:val="auto"/>
          <w:highlight w:val="none"/>
          <w:lang w:eastAsia="zh-CN"/>
        </w:rPr>
      </w:pPr>
      <w:r>
        <w:rPr>
          <w:rFonts w:hint="eastAsia" w:ascii="宋体" w:hAnsi="宋体"/>
          <w:color w:val="auto"/>
          <w:highlight w:val="none"/>
          <w:lang w:val="en-US" w:eastAsia="zh-CN"/>
        </w:rPr>
        <w:t>8</w:t>
      </w:r>
      <w:r>
        <w:rPr>
          <w:rFonts w:hint="eastAsia" w:ascii="宋体" w:hAnsi="宋体"/>
          <w:color w:val="auto"/>
          <w:highlight w:val="none"/>
        </w:rPr>
        <w:t>.本项目</w:t>
      </w:r>
      <w:r>
        <w:rPr>
          <w:rFonts w:hint="eastAsia" w:ascii="宋体" w:hAnsi="宋体"/>
          <w:color w:val="auto"/>
          <w:highlight w:val="none"/>
          <w:u w:val="single"/>
        </w:rPr>
        <w:t>不接受</w:t>
      </w:r>
      <w:r>
        <w:rPr>
          <w:rFonts w:hint="eastAsia" w:ascii="宋体" w:hAnsi="宋体"/>
          <w:color w:val="auto"/>
          <w:highlight w:val="none"/>
        </w:rPr>
        <w:t>联合体。</w:t>
      </w:r>
    </w:p>
    <w:p w14:paraId="14F47CAA">
      <w:pPr>
        <w:spacing w:line="360" w:lineRule="auto"/>
        <w:ind w:firstLine="422" w:firstLineChars="200"/>
        <w:rPr>
          <w:rFonts w:ascii="宋体" w:hAnsi="宋体" w:cs="宋体"/>
          <w:b/>
          <w:bCs/>
          <w:color w:val="auto"/>
          <w:szCs w:val="21"/>
          <w:highlight w:val="none"/>
        </w:rPr>
      </w:pPr>
      <w:bookmarkStart w:id="8" w:name="_Toc28359080"/>
      <w:bookmarkStart w:id="9" w:name="_Toc35393622"/>
      <w:bookmarkStart w:id="10" w:name="_Toc28359003"/>
      <w:bookmarkStart w:id="11" w:name="_Toc35393791"/>
      <w:r>
        <w:rPr>
          <w:rFonts w:hint="eastAsia" w:ascii="宋体" w:hAnsi="宋体" w:cs="宋体"/>
          <w:b/>
          <w:bCs/>
          <w:color w:val="auto"/>
          <w:szCs w:val="21"/>
          <w:highlight w:val="none"/>
        </w:rPr>
        <w:t>二、申请人的资格要求：</w:t>
      </w:r>
      <w:bookmarkEnd w:id="8"/>
      <w:bookmarkEnd w:id="9"/>
      <w:bookmarkEnd w:id="10"/>
      <w:bookmarkEnd w:id="11"/>
    </w:p>
    <w:p w14:paraId="7688CB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按照</w:t>
      </w:r>
      <w:r>
        <w:rPr>
          <w:rFonts w:hint="eastAsia" w:ascii="宋体" w:hAnsi="宋体" w:cs="宋体"/>
          <w:color w:val="auto"/>
          <w:szCs w:val="21"/>
          <w:highlight w:val="none"/>
        </w:rPr>
        <w:t>《中华人民共和国政府采购法》第二十二条规定；</w:t>
      </w:r>
    </w:p>
    <w:p w14:paraId="770ACC6E">
      <w:pPr>
        <w:spacing w:line="360" w:lineRule="auto"/>
        <w:ind w:firstLine="420"/>
        <w:rPr>
          <w:rFonts w:hint="eastAsia" w:ascii="宋体" w:hAnsi="宋体" w:cs="宋体"/>
          <w:i/>
          <w:iCs/>
          <w:color w:val="auto"/>
          <w:szCs w:val="21"/>
          <w:highlight w:val="none"/>
          <w:u w:val="single"/>
        </w:rPr>
      </w:pPr>
      <w:bookmarkStart w:id="12" w:name="_Toc28359081"/>
      <w:bookmarkStart w:id="13" w:name="_Toc28359004"/>
      <w:r>
        <w:rPr>
          <w:rFonts w:hint="eastAsia" w:ascii="宋体" w:hAnsi="宋体" w:cs="宋体"/>
          <w:i/>
          <w:iCs/>
          <w:color w:val="auto"/>
          <w:szCs w:val="21"/>
          <w:highlight w:val="none"/>
          <w:u w:val="single"/>
          <w:lang w:val="en-US" w:eastAsia="zh-CN"/>
        </w:rPr>
        <w:t>1、</w:t>
      </w:r>
      <w:r>
        <w:rPr>
          <w:rFonts w:hint="eastAsia" w:ascii="宋体" w:hAnsi="宋体" w:cs="宋体"/>
          <w:i/>
          <w:iCs/>
          <w:color w:val="auto"/>
          <w:szCs w:val="21"/>
          <w:highlight w:val="none"/>
          <w:u w:val="single"/>
        </w:rPr>
        <w:t>法人或者其他组织的营业执照等证明文件，自然人的身份证明</w:t>
      </w:r>
    </w:p>
    <w:p w14:paraId="41E9B00F">
      <w:pPr>
        <w:spacing w:line="360" w:lineRule="auto"/>
        <w:ind w:firstLine="42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2、2025年度财务状况报告</w:t>
      </w:r>
      <w:r>
        <w:rPr>
          <w:rFonts w:hint="eastAsia" w:ascii="宋体" w:hAnsi="宋体" w:cs="宋体"/>
          <w:i/>
          <w:iCs/>
          <w:color w:val="auto"/>
          <w:szCs w:val="21"/>
          <w:highlight w:val="none"/>
          <w:u w:val="single"/>
        </w:rPr>
        <w:t>(成立不满一年无需提供)</w:t>
      </w:r>
    </w:p>
    <w:p w14:paraId="13A7D209">
      <w:pPr>
        <w:spacing w:line="360" w:lineRule="auto"/>
        <w:ind w:firstLine="420"/>
        <w:rPr>
          <w:rFonts w:hint="eastAsia" w:ascii="宋体" w:hAnsi="宋体" w:cs="宋体"/>
          <w:b/>
          <w:bCs/>
          <w:i/>
          <w:iCs/>
          <w:color w:val="auto"/>
          <w:highlight w:val="none"/>
          <w:u w:val="single"/>
        </w:rPr>
      </w:pPr>
      <w:r>
        <w:rPr>
          <w:rFonts w:hint="eastAsia" w:ascii="宋体" w:hAnsi="宋体" w:cs="宋体"/>
          <w:i/>
          <w:iCs/>
          <w:color w:val="auto"/>
          <w:szCs w:val="21"/>
          <w:highlight w:val="none"/>
          <w:u w:val="single"/>
          <w:lang w:val="en-US" w:eastAsia="zh-CN"/>
        </w:rPr>
        <w:t>3、</w:t>
      </w:r>
      <w:r>
        <w:rPr>
          <w:rFonts w:hint="eastAsia" w:ascii="宋体" w:hAnsi="宋体" w:cs="宋体"/>
          <w:i/>
          <w:iCs/>
          <w:color w:val="auto"/>
          <w:szCs w:val="21"/>
          <w:highlight w:val="none"/>
          <w:u w:val="single"/>
        </w:rPr>
        <w:t>依法缴纳税收和社会保障资金的相关材料</w:t>
      </w:r>
      <w:r>
        <w:rPr>
          <w:rFonts w:hint="eastAsia" w:ascii="宋体" w:hAnsi="宋体" w:cs="宋体"/>
          <w:b/>
          <w:bCs/>
          <w:i/>
          <w:iCs/>
          <w:color w:val="auto"/>
          <w:szCs w:val="21"/>
          <w:highlight w:val="none"/>
          <w:u w:val="single"/>
        </w:rPr>
        <w:t>(提供</w:t>
      </w:r>
      <w:r>
        <w:rPr>
          <w:rFonts w:hint="eastAsia" w:ascii="宋体" w:hAnsi="宋体" w:cs="宋体"/>
          <w:b/>
          <w:bCs/>
          <w:i/>
          <w:iCs/>
          <w:color w:val="auto"/>
          <w:szCs w:val="21"/>
          <w:highlight w:val="none"/>
          <w:u w:val="single"/>
          <w:lang w:eastAsia="zh-CN"/>
        </w:rPr>
        <w:t>投标截止时间前</w:t>
      </w:r>
      <w:r>
        <w:rPr>
          <w:rFonts w:hint="eastAsia" w:ascii="宋体" w:hAnsi="宋体" w:cs="宋体"/>
          <w:b/>
          <w:bCs/>
          <w:i/>
          <w:iCs/>
          <w:color w:val="auto"/>
          <w:szCs w:val="21"/>
          <w:highlight w:val="none"/>
          <w:u w:val="single"/>
        </w:rPr>
        <w:t>一年内至少一个月依法缴纳税收及缴纳社会保障资金的证明材料。投标人依法享受缓缴、免缴税收、社会保障资金的提供证明材料。)</w:t>
      </w:r>
    </w:p>
    <w:p w14:paraId="5F440147">
      <w:pPr>
        <w:spacing w:line="360" w:lineRule="auto"/>
        <w:ind w:firstLine="420"/>
        <w:rPr>
          <w:rFonts w:hint="eastAsia" w:ascii="宋体" w:hAnsi="宋体" w:cs="宋体"/>
          <w:b/>
          <w:bCs/>
          <w:i/>
          <w:iCs/>
          <w:color w:val="auto"/>
          <w:szCs w:val="21"/>
          <w:highlight w:val="none"/>
          <w:u w:val="single"/>
        </w:rPr>
      </w:pP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具备履行合同所必需的设备和专业技术能力的书面声明</w:t>
      </w:r>
    </w:p>
    <w:p w14:paraId="393C3B39">
      <w:pPr>
        <w:spacing w:line="360" w:lineRule="auto"/>
        <w:ind w:firstLine="42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参加采购活动前3年内在经营活动中没有重大违法记录的书面声明</w:t>
      </w:r>
    </w:p>
    <w:p w14:paraId="4B2DBA96">
      <w:pPr>
        <w:spacing w:line="360" w:lineRule="auto"/>
        <w:ind w:firstLine="42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6、</w:t>
      </w:r>
      <w:r>
        <w:rPr>
          <w:rFonts w:hint="eastAsia" w:ascii="宋体" w:hAnsi="宋体" w:cs="宋体"/>
          <w:i/>
          <w:iCs/>
          <w:color w:val="auto"/>
          <w:szCs w:val="21"/>
          <w:highlight w:val="none"/>
          <w:u w:val="single"/>
        </w:rPr>
        <w:t>供应商信用承诺书</w:t>
      </w:r>
    </w:p>
    <w:p w14:paraId="7A5CAE96">
      <w:pPr>
        <w:spacing w:line="360" w:lineRule="auto"/>
        <w:ind w:firstLine="42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7、</w:t>
      </w:r>
      <w:r>
        <w:rPr>
          <w:rFonts w:hint="eastAsia" w:ascii="宋体" w:hAnsi="宋体" w:cs="宋体"/>
          <w:i/>
          <w:iCs/>
          <w:color w:val="auto"/>
          <w:szCs w:val="21"/>
          <w:highlight w:val="none"/>
          <w:u w:val="single"/>
        </w:rPr>
        <w:t>未被“信用中国”网站（www.creditchina.gov.cn）、“中国政府采购网"(www.ccgp.gov.cn)列入失信被执行人、重大税收违法案件当事人名单、政府采购严重违法失信行为记录名单</w:t>
      </w:r>
    </w:p>
    <w:p w14:paraId="06898BC7">
      <w:pPr>
        <w:spacing w:line="360" w:lineRule="auto"/>
        <w:ind w:firstLine="420"/>
        <w:rPr>
          <w:rFonts w:hint="eastAsia" w:ascii="宋体" w:hAnsi="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8、法人授权委托书</w:t>
      </w:r>
    </w:p>
    <w:p w14:paraId="2547FD10">
      <w:pPr>
        <w:spacing w:line="360" w:lineRule="auto"/>
        <w:ind w:firstLine="420"/>
        <w:rPr>
          <w:rFonts w:hint="default" w:ascii="宋体" w:hAnsi="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9、投标函</w:t>
      </w:r>
    </w:p>
    <w:p w14:paraId="57565082">
      <w:pPr>
        <w:numPr>
          <w:ilvl w:val="0"/>
          <w:numId w:val="0"/>
        </w:num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iCs/>
          <w:color w:val="auto"/>
          <w:highlight w:val="none"/>
        </w:rPr>
        <w:t>本项目的特定资格要求：</w:t>
      </w:r>
      <w:r>
        <w:rPr>
          <w:rFonts w:hint="eastAsia" w:ascii="宋体" w:hAnsi="宋体" w:cs="宋体"/>
          <w:i/>
          <w:iCs w:val="0"/>
          <w:color w:val="auto"/>
          <w:highlight w:val="none"/>
          <w:u w:val="single"/>
          <w:lang w:val="en-US" w:eastAsia="zh-CN"/>
        </w:rPr>
        <w:t>无</w:t>
      </w:r>
    </w:p>
    <w:p w14:paraId="6B3AA09D">
      <w:pPr>
        <w:spacing w:line="360" w:lineRule="auto"/>
        <w:ind w:firstLine="420" w:firstLineChars="200"/>
        <w:rPr>
          <w:rFonts w:ascii="宋体" w:hAnsi="宋体" w:cs="宋体"/>
          <w:color w:val="auto"/>
          <w:szCs w:val="21"/>
          <w:highlight w:val="none"/>
        </w:rPr>
      </w:pPr>
      <w:r>
        <w:rPr>
          <w:rFonts w:hint="eastAsia" w:ascii="宋体" w:hAnsi="宋体" w:cs="宋体"/>
          <w:iCs/>
          <w:color w:val="auto"/>
          <w:highlight w:val="none"/>
          <w:lang w:eastAsia="zh-CN"/>
        </w:rPr>
        <w:t>（</w:t>
      </w:r>
      <w:r>
        <w:rPr>
          <w:rFonts w:hint="eastAsia" w:ascii="宋体" w:hAnsi="宋体" w:cs="宋体"/>
          <w:iCs/>
          <w:color w:val="auto"/>
          <w:highlight w:val="none"/>
          <w:lang w:val="en-US" w:eastAsia="zh-CN"/>
        </w:rPr>
        <w:t>三</w:t>
      </w:r>
      <w:r>
        <w:rPr>
          <w:rFonts w:hint="eastAsia" w:ascii="宋体" w:hAnsi="宋体" w:cs="宋体"/>
          <w:iCs/>
          <w:color w:val="auto"/>
          <w:highlight w:val="none"/>
          <w:lang w:eastAsia="zh-CN"/>
        </w:rPr>
        <w:t>）</w:t>
      </w:r>
      <w:r>
        <w:rPr>
          <w:rFonts w:hint="eastAsia" w:ascii="宋体" w:hAnsi="宋体"/>
          <w:color w:val="auto"/>
          <w:szCs w:val="21"/>
          <w:highlight w:val="none"/>
        </w:rPr>
        <w:t>拒绝下述供应商参加本次采购活动</w:t>
      </w:r>
      <w:r>
        <w:rPr>
          <w:rFonts w:hint="eastAsia" w:ascii="宋体" w:hAnsi="宋体" w:cs="宋体"/>
          <w:color w:val="auto"/>
          <w:szCs w:val="21"/>
          <w:highlight w:val="none"/>
        </w:rPr>
        <w:t>：</w:t>
      </w:r>
    </w:p>
    <w:p w14:paraId="4D35C0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（1）供应商单位负责人为同一人或者存在直接控股、管理关系的不同供应商，不得参加同一合同项下的采购活动。</w:t>
      </w:r>
    </w:p>
    <w:p w14:paraId="36EE72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（2）凡为采购项目提供整体设计、规范编制或者项目管理、监理、检测等服务的供应商，不得再参加该项目的其他采购活动。</w:t>
      </w:r>
    </w:p>
    <w:p w14:paraId="592F20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（3）供应商被“信用中国”网站（www.creditchina.gov.cn）、“中国政府采购网"(www.ccgp.gov.cn)列入失信被执行人、重大税收违法案件当事人名单、政府采购严重违法失信行为记录名单。</w:t>
      </w:r>
    </w:p>
    <w:p w14:paraId="74D86EA1">
      <w:pPr>
        <w:spacing w:line="360" w:lineRule="auto"/>
        <w:ind w:firstLine="422" w:firstLineChars="200"/>
        <w:rPr>
          <w:rFonts w:ascii="宋体" w:hAnsi="宋体" w:cs="宋体"/>
          <w:b/>
          <w:bCs/>
          <w:color w:val="auto"/>
          <w:szCs w:val="21"/>
          <w:highlight w:val="none"/>
        </w:rPr>
      </w:pPr>
      <w:bookmarkStart w:id="14" w:name="_Toc35393792"/>
      <w:bookmarkStart w:id="15" w:name="_Toc35393623"/>
      <w:r>
        <w:rPr>
          <w:rFonts w:hint="eastAsia" w:ascii="宋体" w:hAnsi="宋体" w:cs="宋体"/>
          <w:b/>
          <w:bCs/>
          <w:color w:val="auto"/>
          <w:szCs w:val="21"/>
          <w:highlight w:val="none"/>
        </w:rPr>
        <w:t>三、获取招标文件</w:t>
      </w:r>
      <w:bookmarkEnd w:id="12"/>
      <w:bookmarkEnd w:id="13"/>
      <w:bookmarkEnd w:id="14"/>
      <w:bookmarkEnd w:id="15"/>
    </w:p>
    <w:p w14:paraId="4BCCBE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1、时间：</w:t>
      </w:r>
      <w:r>
        <w:rPr>
          <w:rFonts w:hint="eastAsia" w:ascii="宋体" w:hAnsi="宋体" w:cs="宋体"/>
          <w:color w:val="FF0000"/>
          <w:szCs w:val="21"/>
          <w:highlight w:val="none"/>
          <w:lang w:eastAsia="zh-CN"/>
        </w:rPr>
        <w:t>20</w:t>
      </w:r>
      <w:r>
        <w:rPr>
          <w:rFonts w:hint="eastAsia" w:ascii="宋体" w:hAnsi="宋体" w:cs="宋体"/>
          <w:color w:val="FF0000"/>
          <w:szCs w:val="21"/>
          <w:highlight w:val="none"/>
          <w:lang w:val="en-US" w:eastAsia="zh-CN"/>
        </w:rPr>
        <w:t>26</w:t>
      </w:r>
      <w:r>
        <w:rPr>
          <w:rFonts w:hint="eastAsia" w:ascii="宋体" w:hAnsi="宋体" w:cs="宋体"/>
          <w:color w:val="FF0000"/>
          <w:szCs w:val="21"/>
          <w:highlight w:val="none"/>
          <w:lang w:eastAsia="zh-CN"/>
        </w:rPr>
        <w:t>年</w:t>
      </w:r>
      <w:r>
        <w:rPr>
          <w:rFonts w:hint="eastAsia" w:ascii="宋体" w:hAnsi="宋体" w:cs="宋体"/>
          <w:color w:val="FF0000"/>
          <w:szCs w:val="21"/>
          <w:highlight w:val="none"/>
          <w:lang w:val="en-US" w:eastAsia="zh-CN"/>
        </w:rPr>
        <w:t>7</w:t>
      </w:r>
      <w:r>
        <w:rPr>
          <w:rFonts w:hint="eastAsia" w:ascii="宋体" w:hAnsi="宋体" w:cs="宋体"/>
          <w:color w:val="FF0000"/>
          <w:szCs w:val="21"/>
          <w:highlight w:val="none"/>
          <w:lang w:eastAsia="zh-CN"/>
        </w:rPr>
        <w:t>月</w:t>
      </w:r>
      <w:r>
        <w:rPr>
          <w:rFonts w:hint="eastAsia" w:ascii="宋体" w:hAnsi="宋体" w:cs="宋体"/>
          <w:color w:val="FF0000"/>
          <w:szCs w:val="21"/>
          <w:highlight w:val="none"/>
          <w:lang w:val="en-US" w:eastAsia="zh-CN"/>
        </w:rPr>
        <w:t>16</w:t>
      </w:r>
      <w:r>
        <w:rPr>
          <w:rFonts w:hint="eastAsia" w:ascii="宋体" w:hAnsi="宋体" w:cs="宋体"/>
          <w:color w:val="FF0000"/>
          <w:szCs w:val="21"/>
          <w:highlight w:val="none"/>
        </w:rPr>
        <w:t>日至</w:t>
      </w:r>
      <w:r>
        <w:rPr>
          <w:rFonts w:hint="eastAsia" w:ascii="宋体" w:hAnsi="宋体" w:cs="宋体"/>
          <w:color w:val="FF0000"/>
          <w:szCs w:val="21"/>
          <w:highlight w:val="none"/>
          <w:lang w:eastAsia="zh-CN"/>
        </w:rPr>
        <w:t>202</w:t>
      </w:r>
      <w:r>
        <w:rPr>
          <w:rFonts w:hint="eastAsia" w:ascii="宋体" w:hAnsi="宋体" w:cs="宋体"/>
          <w:color w:val="FF0000"/>
          <w:szCs w:val="21"/>
          <w:highlight w:val="none"/>
          <w:lang w:val="en-US" w:eastAsia="zh-CN"/>
        </w:rPr>
        <w:t>6</w:t>
      </w:r>
      <w:r>
        <w:rPr>
          <w:rFonts w:hint="eastAsia" w:ascii="宋体" w:hAnsi="宋体" w:cs="宋体"/>
          <w:color w:val="FF0000"/>
          <w:szCs w:val="21"/>
          <w:highlight w:val="none"/>
          <w:lang w:eastAsia="zh-CN"/>
        </w:rPr>
        <w:t>年</w:t>
      </w:r>
      <w:r>
        <w:rPr>
          <w:rFonts w:hint="eastAsia" w:ascii="宋体" w:hAnsi="宋体" w:cs="宋体"/>
          <w:color w:val="FF0000"/>
          <w:szCs w:val="21"/>
          <w:highlight w:val="none"/>
          <w:lang w:val="en-US" w:eastAsia="zh-CN"/>
        </w:rPr>
        <w:t>7</w:t>
      </w:r>
      <w:r>
        <w:rPr>
          <w:rFonts w:hint="eastAsia" w:ascii="宋体" w:hAnsi="宋体" w:cs="宋体"/>
          <w:color w:val="FF0000"/>
          <w:szCs w:val="21"/>
          <w:highlight w:val="none"/>
          <w:lang w:eastAsia="zh-CN"/>
        </w:rPr>
        <w:t>月</w:t>
      </w:r>
      <w:r>
        <w:rPr>
          <w:rFonts w:hint="eastAsia" w:ascii="宋体" w:hAnsi="宋体" w:cs="宋体"/>
          <w:color w:val="FF0000"/>
          <w:szCs w:val="21"/>
          <w:highlight w:val="none"/>
          <w:lang w:val="en-US" w:eastAsia="zh-CN"/>
        </w:rPr>
        <w:t>23日</w:t>
      </w:r>
      <w:r>
        <w:rPr>
          <w:rFonts w:hint="eastAsia" w:ascii="宋体" w:hAnsi="宋体" w:cs="宋体"/>
          <w:color w:val="auto"/>
          <w:szCs w:val="21"/>
          <w:highlight w:val="none"/>
        </w:rPr>
        <w:t>，每天上午9:00至11:30，下午14:00至17:30（北京时间，法定节假日除外）</w:t>
      </w:r>
    </w:p>
    <w:p w14:paraId="7558B0C1">
      <w:pPr>
        <w:spacing w:line="360" w:lineRule="auto"/>
        <w:ind w:firstLine="420" w:firstLineChars="200"/>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方式：</w:t>
      </w:r>
      <w:r>
        <w:rPr>
          <w:rFonts w:hint="eastAsia" w:ascii="宋体" w:hAnsi="宋体"/>
          <w:bCs/>
          <w:color w:val="auto"/>
          <w:highlight w:val="none"/>
        </w:rPr>
        <w:t>凡有意参加投标的供应商，请于上述时间内将法定代表人授权委托书原件扫描件、被授权人身份证（复印件加盖供应商公章）、营业执照复印件加盖供应商公章，发送至邮箱</w:t>
      </w:r>
      <w:r>
        <w:rPr>
          <w:rFonts w:hint="eastAsia" w:ascii="宋体" w:hAnsi="宋体"/>
          <w:bCs/>
          <w:color w:val="auto"/>
          <w:highlight w:val="none"/>
          <w:lang w:eastAsia="zh-CN"/>
        </w:rPr>
        <w:t>1203216019@qq.com</w:t>
      </w:r>
      <w:r>
        <w:rPr>
          <w:rFonts w:hint="eastAsia" w:ascii="宋体" w:hAnsi="宋体"/>
          <w:bCs/>
          <w:color w:val="auto"/>
          <w:highlight w:val="none"/>
        </w:rPr>
        <w:t>（</w:t>
      </w:r>
      <w:r>
        <w:rPr>
          <w:rFonts w:hint="eastAsia" w:ascii="宋体" w:hAnsi="宋体"/>
          <w:b/>
          <w:bCs w:val="0"/>
          <w:color w:val="auto"/>
          <w:highlight w:val="none"/>
        </w:rPr>
        <w:t>邮件名称格式要求：项目名称+供应商名称+被授权委托人姓名+联系方式</w:t>
      </w:r>
      <w:r>
        <w:rPr>
          <w:rFonts w:hint="eastAsia" w:ascii="宋体" w:hAnsi="宋体"/>
          <w:bCs/>
          <w:color w:val="auto"/>
          <w:highlight w:val="none"/>
        </w:rPr>
        <w:t>）。上述超过时限者、材料不全或不符合要求者，报名不予受理，未报名（购买招标文件）者不得前来投标。</w:t>
      </w:r>
    </w:p>
    <w:p w14:paraId="37BF7314">
      <w:pPr>
        <w:spacing w:line="360" w:lineRule="auto"/>
        <w:ind w:firstLine="420" w:firstLineChars="200"/>
        <w:rPr>
          <w:rFonts w:ascii="宋体" w:hAnsi="宋体" w:cs="宋体"/>
          <w:color w:val="auto"/>
          <w:szCs w:val="21"/>
          <w:highlight w:val="none"/>
        </w:rPr>
      </w:pPr>
      <w:r>
        <w:rPr>
          <w:rFonts w:hint="eastAsia" w:ascii="宋体" w:hAnsi="宋体"/>
          <w:color w:val="auto"/>
          <w:highlight w:val="none"/>
          <w:lang w:val="en-US" w:eastAsia="zh-CN"/>
        </w:rPr>
        <w:t>3</w:t>
      </w:r>
      <w:r>
        <w:rPr>
          <w:rFonts w:hint="eastAsia" w:ascii="宋体" w:hAnsi="宋体"/>
          <w:color w:val="auto"/>
          <w:highlight w:val="none"/>
        </w:rPr>
        <w:t>、售价：300元/份，</w:t>
      </w:r>
      <w:r>
        <w:rPr>
          <w:rFonts w:hint="eastAsia" w:ascii="宋体" w:hAnsi="宋体"/>
          <w:color w:val="auto"/>
          <w:highlight w:val="none"/>
          <w:lang w:val="en-US" w:eastAsia="zh-CN"/>
        </w:rPr>
        <w:t>售后不退</w:t>
      </w:r>
      <w:r>
        <w:rPr>
          <w:rFonts w:hint="eastAsia" w:ascii="宋体" w:hAnsi="宋体"/>
          <w:color w:val="auto"/>
          <w:highlight w:val="none"/>
        </w:rPr>
        <w:t>。</w:t>
      </w:r>
    </w:p>
    <w:p w14:paraId="2B84ECF4">
      <w:pPr>
        <w:spacing w:line="360" w:lineRule="auto"/>
        <w:ind w:firstLine="422" w:firstLineChars="200"/>
        <w:rPr>
          <w:rFonts w:ascii="宋体" w:hAnsi="宋体" w:cs="宋体"/>
          <w:b/>
          <w:bCs/>
          <w:color w:val="auto"/>
          <w:szCs w:val="21"/>
          <w:highlight w:val="none"/>
        </w:rPr>
      </w:pPr>
      <w:bookmarkStart w:id="16" w:name="_Toc28359005"/>
      <w:bookmarkStart w:id="17" w:name="_Toc28359082"/>
      <w:bookmarkStart w:id="18" w:name="_Toc35393624"/>
      <w:bookmarkStart w:id="19" w:name="_Toc35393793"/>
      <w:r>
        <w:rPr>
          <w:rFonts w:hint="eastAsia" w:ascii="宋体" w:hAnsi="宋体" w:cs="宋体"/>
          <w:b/>
          <w:bCs/>
          <w:color w:val="auto"/>
          <w:szCs w:val="21"/>
          <w:highlight w:val="none"/>
        </w:rPr>
        <w:t>四、提交投标文件</w:t>
      </w:r>
      <w:bookmarkEnd w:id="16"/>
      <w:bookmarkEnd w:id="17"/>
      <w:r>
        <w:rPr>
          <w:rFonts w:hint="eastAsia" w:ascii="宋体" w:hAnsi="宋体" w:cs="宋体"/>
          <w:b/>
          <w:bCs/>
          <w:color w:val="auto"/>
          <w:szCs w:val="21"/>
          <w:highlight w:val="none"/>
        </w:rPr>
        <w:t>截止时间、开标时间和地点</w:t>
      </w:r>
      <w:bookmarkEnd w:id="18"/>
      <w:bookmarkEnd w:id="19"/>
    </w:p>
    <w:p w14:paraId="1E2D64E8">
      <w:pPr>
        <w:spacing w:line="360" w:lineRule="auto"/>
        <w:ind w:firstLine="420" w:firstLineChars="200"/>
        <w:rPr>
          <w:rFonts w:ascii="宋体" w:hAnsi="宋体" w:cs="宋体"/>
          <w:color w:val="auto"/>
          <w:szCs w:val="21"/>
          <w:highlight w:val="none"/>
        </w:rPr>
      </w:pPr>
      <w:bookmarkStart w:id="20" w:name="_Toc35393625"/>
      <w:bookmarkStart w:id="21" w:name="_Toc35393794"/>
      <w:bookmarkStart w:id="22" w:name="_Toc28359007"/>
      <w:bookmarkStart w:id="23" w:name="_Toc28359084"/>
      <w:r>
        <w:rPr>
          <w:rFonts w:hint="eastAsia" w:ascii="宋体" w:hAnsi="宋体" w:cs="宋体"/>
          <w:color w:val="auto"/>
          <w:szCs w:val="21"/>
          <w:highlight w:val="none"/>
        </w:rPr>
        <w:t>截止时间：</w:t>
      </w:r>
      <w:r>
        <w:rPr>
          <w:rFonts w:hint="eastAsia" w:ascii="宋体" w:hAnsi="宋体" w:cs="宋体"/>
          <w:color w:val="FF0000"/>
          <w:szCs w:val="21"/>
          <w:highlight w:val="none"/>
          <w:u w:val="single"/>
          <w:lang w:eastAsia="zh-CN"/>
        </w:rPr>
        <w:t>20</w:t>
      </w:r>
      <w:r>
        <w:rPr>
          <w:rFonts w:hint="eastAsia" w:ascii="宋体" w:hAnsi="宋体" w:cs="宋体"/>
          <w:color w:val="FF0000"/>
          <w:szCs w:val="21"/>
          <w:highlight w:val="none"/>
          <w:u w:val="single"/>
          <w:lang w:val="en-US" w:eastAsia="zh-CN"/>
        </w:rPr>
        <w:t>26</w:t>
      </w:r>
      <w:r>
        <w:rPr>
          <w:rFonts w:hint="eastAsia" w:ascii="宋体" w:hAnsi="宋体" w:cs="宋体"/>
          <w:color w:val="FF0000"/>
          <w:szCs w:val="21"/>
          <w:highlight w:val="none"/>
          <w:u w:val="single"/>
          <w:lang w:eastAsia="zh-CN"/>
        </w:rPr>
        <w:t>年</w:t>
      </w:r>
      <w:r>
        <w:rPr>
          <w:rFonts w:hint="eastAsia" w:ascii="宋体" w:hAnsi="宋体" w:cs="宋体"/>
          <w:color w:val="FF0000"/>
          <w:szCs w:val="21"/>
          <w:highlight w:val="none"/>
          <w:u w:val="single"/>
          <w:lang w:val="en-US" w:eastAsia="zh-CN"/>
        </w:rPr>
        <w:t>8</w:t>
      </w:r>
      <w:r>
        <w:rPr>
          <w:rFonts w:hint="eastAsia" w:ascii="宋体" w:hAnsi="宋体" w:cs="宋体"/>
          <w:color w:val="FF0000"/>
          <w:szCs w:val="21"/>
          <w:highlight w:val="none"/>
          <w:u w:val="single"/>
          <w:lang w:eastAsia="zh-CN"/>
        </w:rPr>
        <w:t>月</w:t>
      </w:r>
      <w:r>
        <w:rPr>
          <w:rFonts w:hint="eastAsia" w:ascii="宋体" w:hAnsi="宋体" w:cs="宋体"/>
          <w:color w:val="FF0000"/>
          <w:szCs w:val="21"/>
          <w:highlight w:val="none"/>
          <w:u w:val="single"/>
          <w:lang w:val="en-US" w:eastAsia="zh-CN"/>
        </w:rPr>
        <w:t>6</w:t>
      </w:r>
      <w:r>
        <w:rPr>
          <w:rFonts w:hint="eastAsia" w:ascii="宋体" w:hAnsi="宋体" w:cs="宋体"/>
          <w:color w:val="FF0000"/>
          <w:szCs w:val="21"/>
          <w:highlight w:val="none"/>
          <w:u w:val="single"/>
        </w:rPr>
        <w:t>日</w:t>
      </w:r>
      <w:r>
        <w:rPr>
          <w:rFonts w:hint="eastAsia" w:ascii="宋体" w:hAnsi="宋体" w:cs="宋体"/>
          <w:color w:val="FF0000"/>
          <w:szCs w:val="21"/>
          <w:highlight w:val="none"/>
          <w:u w:val="single"/>
          <w:lang w:val="en-US" w:eastAsia="zh-CN"/>
        </w:rPr>
        <w:t>15</w:t>
      </w:r>
      <w:r>
        <w:rPr>
          <w:rFonts w:hint="eastAsia" w:ascii="宋体" w:hAnsi="宋体" w:cs="宋体"/>
          <w:color w:val="FF0000"/>
          <w:szCs w:val="21"/>
          <w:highlight w:val="none"/>
          <w:u w:val="single"/>
        </w:rPr>
        <w:t>点</w:t>
      </w:r>
      <w:r>
        <w:rPr>
          <w:rFonts w:hint="eastAsia" w:ascii="宋体" w:hAnsi="宋体" w:cs="宋体"/>
          <w:color w:val="FF0000"/>
          <w:szCs w:val="21"/>
          <w:highlight w:val="none"/>
          <w:u w:val="single"/>
          <w:lang w:val="en-US" w:eastAsia="zh-CN"/>
        </w:rPr>
        <w:t>00</w:t>
      </w:r>
      <w:r>
        <w:rPr>
          <w:rFonts w:hint="eastAsia" w:ascii="宋体" w:hAnsi="宋体" w:cs="宋体"/>
          <w:color w:val="FF0000"/>
          <w:szCs w:val="21"/>
          <w:highlight w:val="none"/>
          <w:u w:val="single"/>
        </w:rPr>
        <w:t>分</w:t>
      </w:r>
      <w:r>
        <w:rPr>
          <w:rFonts w:hint="eastAsia" w:ascii="宋体" w:hAnsi="宋体" w:cs="宋体"/>
          <w:color w:val="auto"/>
          <w:szCs w:val="21"/>
          <w:highlight w:val="none"/>
        </w:rPr>
        <w:t>（北京时间）</w:t>
      </w:r>
    </w:p>
    <w:p w14:paraId="78BED5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开标时间：</w:t>
      </w:r>
      <w:r>
        <w:rPr>
          <w:rFonts w:hint="eastAsia" w:ascii="宋体" w:hAnsi="宋体" w:cs="宋体"/>
          <w:color w:val="FF0000"/>
          <w:szCs w:val="21"/>
          <w:highlight w:val="none"/>
          <w:u w:val="single"/>
          <w:lang w:eastAsia="zh-CN"/>
        </w:rPr>
        <w:t>20</w:t>
      </w:r>
      <w:r>
        <w:rPr>
          <w:rFonts w:hint="eastAsia" w:ascii="宋体" w:hAnsi="宋体" w:cs="宋体"/>
          <w:color w:val="FF0000"/>
          <w:szCs w:val="21"/>
          <w:highlight w:val="none"/>
          <w:u w:val="single"/>
          <w:lang w:val="en-US" w:eastAsia="zh-CN"/>
        </w:rPr>
        <w:t>26</w:t>
      </w:r>
      <w:r>
        <w:rPr>
          <w:rFonts w:hint="eastAsia" w:ascii="宋体" w:hAnsi="宋体" w:cs="宋体"/>
          <w:color w:val="FF0000"/>
          <w:szCs w:val="21"/>
          <w:highlight w:val="none"/>
          <w:u w:val="single"/>
          <w:lang w:eastAsia="zh-CN"/>
        </w:rPr>
        <w:t>年</w:t>
      </w:r>
      <w:r>
        <w:rPr>
          <w:rFonts w:hint="eastAsia" w:ascii="宋体" w:hAnsi="宋体" w:cs="宋体"/>
          <w:color w:val="FF0000"/>
          <w:szCs w:val="21"/>
          <w:highlight w:val="none"/>
          <w:u w:val="single"/>
          <w:lang w:val="en-US" w:eastAsia="zh-CN"/>
        </w:rPr>
        <w:t>8</w:t>
      </w:r>
      <w:r>
        <w:rPr>
          <w:rFonts w:hint="eastAsia" w:ascii="宋体" w:hAnsi="宋体" w:cs="宋体"/>
          <w:color w:val="FF0000"/>
          <w:szCs w:val="21"/>
          <w:highlight w:val="none"/>
          <w:u w:val="single"/>
          <w:lang w:eastAsia="zh-CN"/>
        </w:rPr>
        <w:t>月</w:t>
      </w:r>
      <w:r>
        <w:rPr>
          <w:rFonts w:hint="eastAsia" w:ascii="宋体" w:hAnsi="宋体" w:cs="宋体"/>
          <w:color w:val="FF0000"/>
          <w:szCs w:val="21"/>
          <w:highlight w:val="none"/>
          <w:u w:val="single"/>
          <w:lang w:val="en-US" w:eastAsia="zh-CN"/>
        </w:rPr>
        <w:t>6</w:t>
      </w:r>
      <w:r>
        <w:rPr>
          <w:rFonts w:hint="eastAsia" w:ascii="宋体" w:hAnsi="宋体" w:cs="宋体"/>
          <w:color w:val="FF0000"/>
          <w:szCs w:val="21"/>
          <w:highlight w:val="none"/>
          <w:u w:val="single"/>
        </w:rPr>
        <w:t>日</w:t>
      </w:r>
      <w:r>
        <w:rPr>
          <w:rFonts w:hint="eastAsia" w:ascii="宋体" w:hAnsi="宋体" w:cs="宋体"/>
          <w:color w:val="FF0000"/>
          <w:szCs w:val="21"/>
          <w:highlight w:val="none"/>
          <w:u w:val="single"/>
          <w:lang w:val="en-US" w:eastAsia="zh-CN"/>
        </w:rPr>
        <w:t>15</w:t>
      </w:r>
      <w:r>
        <w:rPr>
          <w:rFonts w:hint="eastAsia" w:ascii="宋体" w:hAnsi="宋体" w:cs="宋体"/>
          <w:color w:val="FF0000"/>
          <w:szCs w:val="21"/>
          <w:highlight w:val="none"/>
          <w:u w:val="single"/>
        </w:rPr>
        <w:t>点</w:t>
      </w:r>
      <w:r>
        <w:rPr>
          <w:rFonts w:hint="eastAsia" w:ascii="宋体" w:hAnsi="宋体" w:cs="宋体"/>
          <w:color w:val="FF0000"/>
          <w:szCs w:val="21"/>
          <w:highlight w:val="none"/>
          <w:u w:val="single"/>
          <w:lang w:val="en-US" w:eastAsia="zh-CN"/>
        </w:rPr>
        <w:t>00</w:t>
      </w:r>
      <w:r>
        <w:rPr>
          <w:rFonts w:hint="eastAsia" w:ascii="宋体" w:hAnsi="宋体" w:cs="宋体"/>
          <w:color w:val="FF0000"/>
          <w:szCs w:val="21"/>
          <w:highlight w:val="none"/>
          <w:u w:val="single"/>
        </w:rPr>
        <w:t>分</w:t>
      </w:r>
      <w:r>
        <w:rPr>
          <w:rFonts w:hint="eastAsia" w:ascii="宋体" w:hAnsi="宋体" w:cs="宋体"/>
          <w:color w:val="auto"/>
          <w:szCs w:val="21"/>
          <w:highlight w:val="none"/>
        </w:rPr>
        <w:t>（北京时间）</w:t>
      </w:r>
    </w:p>
    <w:p w14:paraId="7B3A95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地点：</w:t>
      </w:r>
      <w:r>
        <w:rPr>
          <w:rFonts w:hint="eastAsia" w:ascii="宋体" w:hAnsi="宋体" w:cs="宋体"/>
          <w:color w:val="auto"/>
          <w:szCs w:val="21"/>
          <w:highlight w:val="none"/>
          <w:u w:val="single"/>
          <w:lang w:eastAsia="zh-CN"/>
        </w:rPr>
        <w:t>江苏建达全过程工程咨询有限公司</w:t>
      </w:r>
      <w:r>
        <w:rPr>
          <w:rFonts w:hint="eastAsia" w:ascii="宋体" w:hAnsi="宋体" w:cs="宋体"/>
          <w:color w:val="auto"/>
          <w:szCs w:val="21"/>
          <w:highlight w:val="none"/>
          <w:u w:val="single"/>
        </w:rPr>
        <w:t>开标室（</w:t>
      </w:r>
      <w:r>
        <w:rPr>
          <w:rFonts w:hint="eastAsia" w:ascii="宋体" w:hAnsi="宋体" w:cs="宋体"/>
          <w:color w:val="auto"/>
          <w:szCs w:val="21"/>
          <w:highlight w:val="none"/>
          <w:u w:val="single"/>
          <w:lang w:eastAsia="zh-CN"/>
        </w:rPr>
        <w:t>扬州市江阳中路九洲大厦1106</w:t>
      </w:r>
      <w:r>
        <w:rPr>
          <w:rFonts w:hint="eastAsia" w:ascii="宋体" w:hAnsi="宋体" w:cs="宋体"/>
          <w:color w:val="auto"/>
          <w:szCs w:val="21"/>
          <w:highlight w:val="none"/>
          <w:u w:val="single"/>
        </w:rPr>
        <w:t>）</w:t>
      </w:r>
    </w:p>
    <w:p w14:paraId="7B47E18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五、公告期限</w:t>
      </w:r>
      <w:bookmarkEnd w:id="20"/>
      <w:bookmarkEnd w:id="21"/>
      <w:bookmarkEnd w:id="22"/>
      <w:bookmarkEnd w:id="23"/>
    </w:p>
    <w:p w14:paraId="15DD7A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自本公告发布之日起5个工作日。</w:t>
      </w:r>
    </w:p>
    <w:p w14:paraId="132903C3">
      <w:pPr>
        <w:spacing w:line="360" w:lineRule="auto"/>
        <w:ind w:firstLine="422" w:firstLineChars="200"/>
        <w:rPr>
          <w:rFonts w:ascii="宋体" w:hAnsi="宋体" w:cs="宋体"/>
          <w:b/>
          <w:bCs/>
          <w:color w:val="auto"/>
          <w:szCs w:val="21"/>
          <w:highlight w:val="none"/>
        </w:rPr>
      </w:pPr>
      <w:bookmarkStart w:id="24" w:name="_Toc28359085"/>
      <w:bookmarkStart w:id="25" w:name="_Toc35393796"/>
      <w:bookmarkStart w:id="26" w:name="_Toc35393627"/>
      <w:bookmarkStart w:id="27" w:name="_Toc28359008"/>
      <w:r>
        <w:rPr>
          <w:rFonts w:hint="eastAsia" w:ascii="宋体" w:hAnsi="宋体" w:cs="宋体"/>
          <w:b/>
          <w:bCs/>
          <w:color w:val="auto"/>
          <w:szCs w:val="21"/>
          <w:highlight w:val="none"/>
        </w:rPr>
        <w:t>六、其他补充事项</w:t>
      </w:r>
    </w:p>
    <w:p w14:paraId="49E78C41">
      <w:pPr>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w:t>
      </w:r>
      <w:r>
        <w:rPr>
          <w:rFonts w:hint="eastAsia" w:ascii="宋体" w:hAnsi="宋体" w:cs="宋体"/>
          <w:color w:val="auto"/>
          <w:szCs w:val="21"/>
          <w:highlight w:val="none"/>
        </w:rPr>
        <w:t>本次投标文件制作要求</w:t>
      </w:r>
    </w:p>
    <w:p w14:paraId="2F80DBA1">
      <w:pPr>
        <w:spacing w:line="360" w:lineRule="auto"/>
        <w:ind w:firstLine="420" w:firstLineChars="200"/>
        <w:rPr>
          <w:rFonts w:hint="eastAsia" w:ascii="宋体" w:hAnsi="宋体"/>
          <w:color w:val="auto"/>
          <w:highlight w:val="none"/>
        </w:rPr>
      </w:pPr>
      <w:r>
        <w:rPr>
          <w:rFonts w:hint="eastAsia" w:ascii="宋体" w:hAnsi="宋体"/>
          <w:color w:val="auto"/>
          <w:highlight w:val="none"/>
        </w:rPr>
        <w:t>一式五份(一份正本，四份副本)，每份投标文件须清楚地标明“正本”或“副本”字样 ，一旦副本与正本不符，以正本为准。另需提供电子版投标文件一份(应为纸质投标文件正本pdf格式扫描件，U盘形式（贴标签备注单位名称、随纸质正本文件一并提交）。当电子版文件和纸质正本文件不一致时，以纸质正本文件为准。电子版文件用于辅助评标和存档，供应商需承担前述不一致造成的不利后果</w:t>
      </w:r>
      <w:r>
        <w:rPr>
          <w:rFonts w:hint="eastAsia" w:ascii="宋体" w:hAnsi="宋体" w:cs="宋体"/>
          <w:color w:val="auto"/>
          <w:szCs w:val="21"/>
          <w:highlight w:val="none"/>
        </w:rPr>
        <w:t>。</w:t>
      </w:r>
    </w:p>
    <w:p w14:paraId="512CED98">
      <w:pPr>
        <w:spacing w:line="360" w:lineRule="auto"/>
        <w:ind w:left="148" w:firstLine="210" w:firstLineChars="100"/>
        <w:rPr>
          <w:rFonts w:ascii="宋体" w:hAnsi="宋体"/>
          <w:i/>
          <w:iCs/>
          <w:color w:val="auto"/>
          <w:highlight w:val="none"/>
          <w:u w:val="single"/>
        </w:rPr>
      </w:pPr>
      <w:r>
        <w:rPr>
          <w:rFonts w:hint="eastAsia" w:ascii="宋体" w:hAnsi="宋体"/>
          <w:i/>
          <w:iCs/>
          <w:color w:val="auto"/>
          <w:highlight w:val="none"/>
          <w:u w:val="single"/>
        </w:rPr>
        <w:t>2、本招标文件中斜体下划线部分为实质性响应条件，为必须遵守的条件，如不满足将作无效响应文件处理。</w:t>
      </w:r>
    </w:p>
    <w:p w14:paraId="200E49DE">
      <w:pPr>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、本次投标保证金要求：本次</w:t>
      </w:r>
      <w:r>
        <w:rPr>
          <w:rFonts w:hint="eastAsia" w:ascii="宋体" w:hAnsi="宋体"/>
          <w:color w:val="auto"/>
          <w:highlight w:val="none"/>
          <w:u w:val="single"/>
        </w:rPr>
        <w:t>不收取</w:t>
      </w:r>
      <w:r>
        <w:rPr>
          <w:rFonts w:hint="eastAsia" w:ascii="宋体" w:hAnsi="宋体"/>
          <w:color w:val="auto"/>
          <w:highlight w:val="none"/>
        </w:rPr>
        <w:t>保证金</w:t>
      </w:r>
    </w:p>
    <w:p w14:paraId="73CC0B6D">
      <w:pPr>
        <w:spacing w:line="360" w:lineRule="auto"/>
        <w:ind w:firstLine="420" w:firstLineChars="200"/>
        <w:rPr>
          <w:rFonts w:ascii="宋体" w:hAnsi="宋体"/>
          <w:color w:val="auto"/>
          <w:highlight w:val="none"/>
        </w:rPr>
      </w:pPr>
      <w:r>
        <w:rPr>
          <w:rFonts w:hint="eastAsia" w:ascii="宋体" w:hAnsi="宋体"/>
          <w:color w:val="auto"/>
          <w:highlight w:val="none"/>
        </w:rPr>
        <w:t>4、有关本次招标的事项若存在变动或修改，敬请及时关注</w:t>
      </w:r>
      <w:r>
        <w:rPr>
          <w:rFonts w:hint="eastAsia" w:ascii="宋体" w:hAnsi="宋体"/>
          <w:color w:val="auto"/>
          <w:highlight w:val="none"/>
          <w:lang w:eastAsia="zh-CN"/>
        </w:rPr>
        <w:t>“扬州大学附属医院”“扬州大学网”和“江苏招标采购服务平台”</w:t>
      </w:r>
      <w:r>
        <w:rPr>
          <w:rFonts w:hint="eastAsia" w:ascii="宋体" w:hAnsi="宋体"/>
          <w:color w:val="auto"/>
          <w:highlight w:val="none"/>
        </w:rPr>
        <w:t>发布的信息或更正公告。</w:t>
      </w:r>
    </w:p>
    <w:p w14:paraId="37CC7C6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七、对本次招标提出询问，请按以下方式联系</w:t>
      </w:r>
      <w:bookmarkEnd w:id="24"/>
      <w:bookmarkEnd w:id="25"/>
      <w:bookmarkEnd w:id="26"/>
      <w:bookmarkEnd w:id="27"/>
    </w:p>
    <w:p w14:paraId="6877FE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人信息</w:t>
      </w:r>
    </w:p>
    <w:p w14:paraId="080C209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名 </w:t>
      </w:r>
      <w:r>
        <w:rPr>
          <w:rFonts w:ascii="宋体" w:hAnsi="宋体" w:cs="宋体"/>
          <w:color w:val="auto"/>
          <w:szCs w:val="21"/>
          <w:highlight w:val="none"/>
        </w:rPr>
        <w:t xml:space="preserve">   </w:t>
      </w:r>
      <w:r>
        <w:rPr>
          <w:rFonts w:hint="eastAsia" w:ascii="宋体" w:hAnsi="宋体" w:cs="宋体"/>
          <w:color w:val="auto"/>
          <w:szCs w:val="21"/>
          <w:highlight w:val="none"/>
        </w:rPr>
        <w:t>称：</w:t>
      </w:r>
      <w:r>
        <w:rPr>
          <w:rFonts w:hint="eastAsia" w:ascii="宋体" w:hAnsi="宋体" w:cs="宋体"/>
          <w:color w:val="auto"/>
          <w:szCs w:val="21"/>
          <w:highlight w:val="none"/>
          <w:lang w:eastAsia="zh-CN"/>
        </w:rPr>
        <w:t>扬州大学附属医院</w:t>
      </w:r>
    </w:p>
    <w:p w14:paraId="6E289519">
      <w:pPr>
        <w:spacing w:line="360" w:lineRule="auto"/>
        <w:ind w:firstLine="420" w:firstLineChars="200"/>
        <w:rPr>
          <w:rFonts w:hint="eastAsia" w:ascii="宋体" w:hAnsi="宋体" w:cs="宋体"/>
          <w:color w:val="auto"/>
          <w:szCs w:val="21"/>
          <w:highlight w:val="none"/>
        </w:rPr>
      </w:pPr>
      <w:bookmarkStart w:id="28" w:name="_Toc28359009"/>
      <w:bookmarkStart w:id="29" w:name="_Toc28359086"/>
      <w:r>
        <w:rPr>
          <w:rFonts w:hint="eastAsia" w:ascii="宋体" w:hAnsi="宋体" w:cs="宋体"/>
          <w:color w:val="auto"/>
          <w:szCs w:val="21"/>
          <w:highlight w:val="none"/>
        </w:rPr>
        <w:t>地址：扬州市邗江中路368号</w:t>
      </w:r>
    </w:p>
    <w:p w14:paraId="44CFCADA">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 系 人：</w:t>
      </w:r>
      <w:r>
        <w:rPr>
          <w:rFonts w:hint="eastAsia" w:ascii="宋体" w:hAnsi="宋体" w:cs="宋体"/>
          <w:color w:val="auto"/>
          <w:szCs w:val="21"/>
          <w:highlight w:val="none"/>
          <w:lang w:val="en-US" w:eastAsia="zh-CN"/>
        </w:rPr>
        <w:t>张老师</w:t>
      </w:r>
    </w:p>
    <w:p w14:paraId="0C2F4E20">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0514-82099555</w:t>
      </w:r>
    </w:p>
    <w:p w14:paraId="43B6BE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.采购代理机构信息</w:t>
      </w:r>
      <w:bookmarkEnd w:id="28"/>
      <w:bookmarkEnd w:id="29"/>
    </w:p>
    <w:p w14:paraId="5EBCEC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江苏建达全过程工程咨询有限公司</w:t>
      </w:r>
      <w:r>
        <w:rPr>
          <w:rFonts w:hint="eastAsia" w:ascii="宋体" w:hAnsi="宋体" w:cs="宋体"/>
          <w:color w:val="auto"/>
          <w:szCs w:val="21"/>
          <w:highlight w:val="none"/>
        </w:rPr>
        <w:t xml:space="preserve"> </w:t>
      </w:r>
    </w:p>
    <w:p w14:paraId="73B7BB3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扬州市江阳中路九洲大厦1106</w:t>
      </w:r>
    </w:p>
    <w:p w14:paraId="75178E1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邱</w:t>
      </w:r>
      <w:r>
        <w:rPr>
          <w:rFonts w:hint="eastAsia" w:ascii="宋体" w:hAnsi="宋体" w:cs="宋体"/>
          <w:color w:val="auto"/>
          <w:szCs w:val="21"/>
          <w:highlight w:val="none"/>
        </w:rPr>
        <w:t>工</w:t>
      </w:r>
    </w:p>
    <w:p w14:paraId="22B16B68">
      <w:pPr>
        <w:spacing w:line="36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15050726879</w:t>
      </w:r>
    </w:p>
    <w:p w14:paraId="401BA20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br w:type="page"/>
      </w:r>
    </w:p>
    <w:p w14:paraId="301DE998">
      <w:pPr>
        <w:pStyle w:val="2"/>
        <w:spacing w:line="360" w:lineRule="auto"/>
        <w:jc w:val="center"/>
        <w:rPr>
          <w:rFonts w:hint="eastAsia" w:ascii="宋体" w:hAnsi="宋体" w:cs="宋体"/>
          <w:color w:val="auto"/>
          <w:sz w:val="36"/>
          <w:highlight w:val="none"/>
        </w:rPr>
      </w:pPr>
      <w:bookmarkStart w:id="30" w:name="_Toc5218"/>
      <w:r>
        <w:rPr>
          <w:rFonts w:hint="eastAsia" w:ascii="宋体" w:hAnsi="宋体" w:cs="宋体"/>
          <w:color w:val="auto"/>
          <w:sz w:val="36"/>
          <w:highlight w:val="none"/>
          <w:lang w:val="en-US" w:eastAsia="zh-CN"/>
        </w:rPr>
        <w:t>第二章 投标人须知</w:t>
      </w:r>
      <w:bookmarkEnd w:id="30"/>
      <w:bookmarkStart w:id="116" w:name="_GoBack"/>
      <w:bookmarkEnd w:id="116"/>
    </w:p>
    <w:p w14:paraId="6AE6C670">
      <w:pPr>
        <w:spacing w:line="360" w:lineRule="auto"/>
        <w:ind w:firstLine="422" w:firstLineChars="200"/>
        <w:rPr>
          <w:rFonts w:ascii="宋体" w:hAnsi="宋体" w:cs="宋体"/>
          <w:b/>
          <w:color w:val="auto"/>
          <w:szCs w:val="21"/>
          <w:highlight w:val="none"/>
        </w:rPr>
      </w:pPr>
      <w:bookmarkStart w:id="31" w:name="_Toc458694821"/>
      <w:bookmarkStart w:id="32" w:name="_Toc16938520"/>
      <w:bookmarkStart w:id="33" w:name="_Toc20823276"/>
      <w:bookmarkStart w:id="34" w:name="_Toc513029204"/>
      <w:r>
        <w:rPr>
          <w:rFonts w:hint="eastAsia" w:ascii="宋体" w:hAnsi="宋体" w:cs="宋体"/>
          <w:b/>
          <w:color w:val="auto"/>
          <w:szCs w:val="21"/>
          <w:highlight w:val="none"/>
        </w:rPr>
        <w:t>1</w:t>
      </w:r>
      <w:bookmarkEnd w:id="31"/>
      <w:r>
        <w:rPr>
          <w:rFonts w:hint="eastAsia" w:ascii="宋体" w:hAnsi="宋体" w:cs="宋体"/>
          <w:b/>
          <w:color w:val="auto"/>
          <w:szCs w:val="21"/>
          <w:highlight w:val="none"/>
        </w:rPr>
        <w:t>、招标方式</w:t>
      </w:r>
      <w:bookmarkEnd w:id="32"/>
      <w:bookmarkEnd w:id="33"/>
      <w:bookmarkEnd w:id="34"/>
    </w:p>
    <w:p w14:paraId="52B44C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本次招标采取公开招标方式，本招标文件仅适用于</w:t>
      </w:r>
      <w:r>
        <w:rPr>
          <w:rFonts w:hint="eastAsia" w:ascii="宋体" w:hAnsi="宋体"/>
          <w:color w:val="auto"/>
          <w:highlight w:val="none"/>
          <w:lang w:eastAsia="zh-CN"/>
        </w:rPr>
        <w:t>JDCGDL2026022</w:t>
      </w:r>
      <w:r>
        <w:rPr>
          <w:rFonts w:hint="eastAsia" w:ascii="宋体" w:hAnsi="宋体"/>
          <w:color w:val="auto"/>
          <w:highlight w:val="none"/>
          <w:lang w:eastAsia="zh-CN"/>
        </w:rPr>
        <w:t>号</w:t>
      </w:r>
      <w:r>
        <w:rPr>
          <w:rFonts w:hint="eastAsia" w:ascii="宋体" w:hAnsi="宋体" w:cs="宋体"/>
          <w:color w:val="auto"/>
          <w:szCs w:val="21"/>
          <w:highlight w:val="none"/>
        </w:rPr>
        <w:t>项目。</w:t>
      </w:r>
    </w:p>
    <w:p w14:paraId="13B59DCB">
      <w:pPr>
        <w:spacing w:line="360" w:lineRule="auto"/>
        <w:ind w:firstLine="422" w:firstLineChars="200"/>
        <w:rPr>
          <w:rFonts w:ascii="宋体" w:hAnsi="宋体" w:cs="宋体"/>
          <w:b/>
          <w:color w:val="auto"/>
          <w:szCs w:val="21"/>
          <w:highlight w:val="none"/>
        </w:rPr>
      </w:pPr>
      <w:bookmarkStart w:id="35" w:name="_Toc16938521"/>
      <w:bookmarkStart w:id="36" w:name="_Toc20823277"/>
      <w:bookmarkStart w:id="37" w:name="_Toc513029205"/>
      <w:r>
        <w:rPr>
          <w:rFonts w:hint="eastAsia" w:ascii="宋体" w:hAnsi="宋体" w:cs="宋体"/>
          <w:b/>
          <w:color w:val="auto"/>
          <w:szCs w:val="21"/>
          <w:highlight w:val="none"/>
        </w:rPr>
        <w:t>2、投标人</w:t>
      </w:r>
    </w:p>
    <w:p w14:paraId="3D2A27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本招标文件中“供应商”，即“投标人”，是指参加投标竞争，并符合招标文件规定资格条件的法人、其他组织或者自然人。</w:t>
      </w:r>
    </w:p>
    <w:p w14:paraId="1029B91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2.2合格的投标人</w:t>
      </w:r>
      <w:bookmarkEnd w:id="35"/>
      <w:bookmarkEnd w:id="36"/>
      <w:bookmarkEnd w:id="37"/>
    </w:p>
    <w:p w14:paraId="43B203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 满足投标邀请中供应商的资格条件要求的规定。</w:t>
      </w:r>
    </w:p>
    <w:p w14:paraId="43562F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 满足本文件实质性条款的规定。</w:t>
      </w:r>
    </w:p>
    <w:p w14:paraId="102135CA">
      <w:pPr>
        <w:spacing w:line="360" w:lineRule="auto"/>
        <w:ind w:firstLine="422" w:firstLineChars="200"/>
        <w:rPr>
          <w:rFonts w:ascii="宋体" w:hAnsi="宋体" w:cs="宋体"/>
          <w:b/>
          <w:color w:val="auto"/>
          <w:szCs w:val="21"/>
          <w:highlight w:val="none"/>
        </w:rPr>
      </w:pPr>
      <w:bookmarkStart w:id="38" w:name="_Toc513029206"/>
      <w:bookmarkStart w:id="39" w:name="_Toc20823278"/>
      <w:bookmarkStart w:id="40" w:name="_Toc16938522"/>
      <w:r>
        <w:rPr>
          <w:rFonts w:hint="eastAsia" w:ascii="宋体" w:hAnsi="宋体" w:cs="宋体"/>
          <w:b/>
          <w:color w:val="auto"/>
          <w:szCs w:val="21"/>
          <w:highlight w:val="none"/>
        </w:rPr>
        <w:t>3、适用法律</w:t>
      </w:r>
      <w:bookmarkEnd w:id="38"/>
      <w:bookmarkEnd w:id="39"/>
      <w:bookmarkEnd w:id="40"/>
    </w:p>
    <w:p w14:paraId="78893A6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3.1 本次招标及由此产生的合同受中华人民共和国有关的法律法规制约和保护。</w:t>
      </w:r>
    </w:p>
    <w:p w14:paraId="0D464F9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4、投标费用</w:t>
      </w:r>
    </w:p>
    <w:p w14:paraId="20D8A82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4.1</w:t>
      </w:r>
      <w:r>
        <w:rPr>
          <w:rFonts w:hint="eastAsia" w:ascii="宋体" w:hAnsi="宋体" w:cs="宋体"/>
          <w:color w:val="auto"/>
          <w:szCs w:val="21"/>
          <w:highlight w:val="none"/>
        </w:rPr>
        <w:t xml:space="preserve"> 投标人应自行承担所有与参加投标有关的费用，无论投标过程中的做法和结果如何，代理机构在任何情况下均无义务和责任承担这些费用。</w:t>
      </w:r>
    </w:p>
    <w:p w14:paraId="41F4B4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4.2本次招标文件售价300元</w:t>
      </w:r>
      <w:r>
        <w:rPr>
          <w:rFonts w:ascii="宋体" w:hAnsi="宋体" w:cs="宋体"/>
          <w:color w:val="auto"/>
          <w:szCs w:val="21"/>
          <w:highlight w:val="none"/>
        </w:rPr>
        <w:t>/</w:t>
      </w:r>
      <w:r>
        <w:rPr>
          <w:rFonts w:hint="eastAsia" w:ascii="宋体" w:hAnsi="宋体" w:cs="宋体"/>
          <w:color w:val="auto"/>
          <w:szCs w:val="21"/>
          <w:highlight w:val="none"/>
        </w:rPr>
        <w:t>份，报名时缴纳，售后不退。</w:t>
      </w:r>
    </w:p>
    <w:p w14:paraId="6CDA0332">
      <w:pPr>
        <w:spacing w:line="360" w:lineRule="auto"/>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b/>
          <w:bCs/>
          <w:color w:val="auto"/>
          <w:szCs w:val="21"/>
          <w:highlight w:val="none"/>
        </w:rPr>
        <w:t>招标代理服务费</w:t>
      </w:r>
    </w:p>
    <w:p w14:paraId="5B93F27D">
      <w:pPr>
        <w:spacing w:line="360" w:lineRule="auto"/>
        <w:ind w:right="48" w:firstLine="422"/>
        <w:rPr>
          <w:rFonts w:hint="eastAsia" w:ascii="宋体" w:hAnsi="宋体" w:cs="宋体"/>
          <w:bCs/>
          <w:color w:val="auto"/>
          <w:szCs w:val="21"/>
          <w:highlight w:val="none"/>
        </w:rPr>
      </w:pPr>
      <w:r>
        <w:rPr>
          <w:rFonts w:hint="eastAsia" w:ascii="宋体" w:hAnsi="宋体" w:cs="宋体"/>
          <w:bCs/>
          <w:color w:val="auto"/>
          <w:szCs w:val="21"/>
          <w:highlight w:val="none"/>
        </w:rPr>
        <w:t>本次招标代理服务费由</w:t>
      </w:r>
      <w:r>
        <w:rPr>
          <w:rFonts w:hint="eastAsia" w:ascii="宋体" w:hAnsi="宋体" w:cs="宋体"/>
          <w:bCs/>
          <w:color w:val="auto"/>
          <w:szCs w:val="21"/>
          <w:highlight w:val="none"/>
          <w:lang w:val="en-US" w:eastAsia="zh-CN"/>
        </w:rPr>
        <w:t>中标单位</w:t>
      </w:r>
      <w:r>
        <w:rPr>
          <w:rFonts w:hint="eastAsia" w:ascii="宋体" w:hAnsi="宋体" w:cs="宋体"/>
          <w:bCs/>
          <w:color w:val="auto"/>
          <w:szCs w:val="21"/>
          <w:highlight w:val="none"/>
        </w:rPr>
        <w:t>在领取入围通知书前一次性支付给招标代理机构服务费。</w:t>
      </w:r>
    </w:p>
    <w:p w14:paraId="46A3A15E">
      <w:pPr>
        <w:spacing w:line="360" w:lineRule="auto"/>
        <w:ind w:right="48" w:firstLine="422"/>
        <w:rPr>
          <w:rFonts w:hint="eastAsia" w:ascii="宋体" w:hAnsi="宋体" w:cs="宋体"/>
          <w:bCs/>
          <w:color w:val="auto"/>
          <w:szCs w:val="21"/>
          <w:highlight w:val="none"/>
        </w:rPr>
      </w:pPr>
      <w:r>
        <w:rPr>
          <w:rFonts w:hint="eastAsia" w:ascii="宋体" w:hAnsi="宋体" w:cs="宋体"/>
          <w:bCs/>
          <w:color w:val="auto"/>
          <w:szCs w:val="21"/>
          <w:highlight w:val="none"/>
        </w:rPr>
        <w:t>（1）代理服务费为：固定价</w:t>
      </w:r>
      <w:r>
        <w:rPr>
          <w:rFonts w:hint="eastAsia" w:ascii="宋体" w:hAnsi="宋体" w:cs="宋体"/>
          <w:bCs/>
          <w:color w:val="auto"/>
          <w:szCs w:val="21"/>
          <w:highlight w:val="none"/>
          <w:lang w:val="en-US" w:eastAsia="zh-CN"/>
        </w:rPr>
        <w:t>1350元</w:t>
      </w:r>
      <w:r>
        <w:rPr>
          <w:rFonts w:hint="eastAsia" w:ascii="宋体" w:hAnsi="宋体" w:cs="宋体"/>
          <w:bCs/>
          <w:color w:val="auto"/>
          <w:szCs w:val="21"/>
          <w:highlight w:val="none"/>
        </w:rPr>
        <w:t>；</w:t>
      </w:r>
    </w:p>
    <w:p w14:paraId="01B49574">
      <w:pPr>
        <w:spacing w:line="360" w:lineRule="auto"/>
        <w:ind w:right="48" w:firstLine="422"/>
        <w:rPr>
          <w:rFonts w:hint="eastAsia" w:ascii="宋体" w:hAnsi="宋体" w:cs="宋体"/>
          <w:bCs/>
          <w:color w:val="auto"/>
          <w:szCs w:val="21"/>
          <w:highlight w:val="none"/>
        </w:rPr>
      </w:pPr>
      <w:r>
        <w:rPr>
          <w:rFonts w:hint="eastAsia" w:ascii="宋体" w:hAnsi="宋体" w:cs="宋体"/>
          <w:bCs/>
          <w:color w:val="auto"/>
          <w:szCs w:val="21"/>
          <w:highlight w:val="none"/>
        </w:rPr>
        <w:t>（2）代理服务费以人民币支付；</w:t>
      </w:r>
    </w:p>
    <w:p w14:paraId="1FC3FBFB">
      <w:pPr>
        <w:spacing w:line="360" w:lineRule="auto"/>
        <w:ind w:right="48" w:firstLine="422"/>
        <w:rPr>
          <w:rFonts w:hint="eastAsia" w:ascii="宋体" w:hAnsi="宋体" w:cs="宋体"/>
          <w:bCs/>
          <w:color w:val="auto"/>
          <w:szCs w:val="21"/>
          <w:highlight w:val="none"/>
        </w:rPr>
      </w:pPr>
      <w:r>
        <w:rPr>
          <w:rFonts w:hint="eastAsia" w:ascii="宋体" w:hAnsi="宋体" w:cs="宋体"/>
          <w:bCs/>
          <w:color w:val="auto"/>
          <w:szCs w:val="21"/>
          <w:highlight w:val="none"/>
        </w:rPr>
        <w:t>（3）代理服务费支付方式：一次性以电汇、转账、支票、现金等形式支付；</w:t>
      </w:r>
    </w:p>
    <w:p w14:paraId="37FA28E3">
      <w:pPr>
        <w:spacing w:line="360" w:lineRule="auto"/>
        <w:ind w:right="48" w:firstLine="422"/>
        <w:rPr>
          <w:rFonts w:hint="eastAsia" w:ascii="宋体" w:hAnsi="宋体" w:cs="宋体"/>
          <w:b/>
          <w:bCs/>
          <w:szCs w:val="21"/>
        </w:rPr>
      </w:pPr>
      <w:r>
        <w:rPr>
          <w:rFonts w:hint="eastAsia" w:ascii="宋体" w:hAnsi="宋体" w:cs="宋体"/>
          <w:b/>
          <w:bCs/>
          <w:szCs w:val="21"/>
        </w:rPr>
        <w:t>户 名：江苏建达全过程工程咨询有限公司扬州第一分公司</w:t>
      </w:r>
    </w:p>
    <w:p w14:paraId="12FF5D8A">
      <w:pPr>
        <w:spacing w:line="360" w:lineRule="auto"/>
        <w:ind w:right="48" w:firstLine="422"/>
        <w:rPr>
          <w:rFonts w:hint="eastAsia" w:ascii="宋体" w:hAnsi="宋体" w:cs="宋体"/>
          <w:b/>
          <w:bCs/>
          <w:szCs w:val="21"/>
        </w:rPr>
      </w:pPr>
      <w:r>
        <w:rPr>
          <w:rFonts w:hint="eastAsia" w:ascii="宋体" w:hAnsi="宋体" w:cs="宋体"/>
          <w:b/>
          <w:bCs/>
          <w:szCs w:val="21"/>
        </w:rPr>
        <w:t>账 号：</w:t>
      </w:r>
      <w:r>
        <w:rPr>
          <w:rFonts w:ascii="宋体" w:hAnsi="宋体" w:cs="宋体"/>
          <w:b/>
          <w:bCs/>
          <w:szCs w:val="21"/>
        </w:rPr>
        <w:t>90210188000099902</w:t>
      </w:r>
    </w:p>
    <w:p w14:paraId="74A8D619">
      <w:pPr>
        <w:spacing w:line="360" w:lineRule="auto"/>
        <w:ind w:right="48" w:firstLine="422"/>
        <w:rPr>
          <w:rFonts w:hint="eastAsia" w:ascii="宋体" w:hAnsi="宋体" w:cs="宋体"/>
          <w:bCs/>
          <w:color w:val="FF0000"/>
          <w:szCs w:val="21"/>
          <w:highlight w:val="none"/>
        </w:rPr>
      </w:pPr>
      <w:r>
        <w:rPr>
          <w:rFonts w:hint="eastAsia" w:ascii="宋体" w:hAnsi="宋体" w:cs="宋体"/>
          <w:b/>
          <w:bCs/>
          <w:szCs w:val="21"/>
        </w:rPr>
        <w:t>开 户 行：</w:t>
      </w:r>
      <w:r>
        <w:rPr>
          <w:rFonts w:ascii="宋体" w:hAnsi="宋体" w:cs="宋体"/>
          <w:b/>
          <w:bCs/>
          <w:szCs w:val="21"/>
        </w:rPr>
        <w:t>江苏银行股份有限公司扬州新城支行</w:t>
      </w:r>
    </w:p>
    <w:p w14:paraId="5FEC45CA">
      <w:pPr>
        <w:spacing w:line="360" w:lineRule="auto"/>
        <w:ind w:firstLine="420" w:firstLineChars="200"/>
        <w:rPr>
          <w:rFonts w:hint="eastAsia" w:ascii="宋体" w:hAnsi="宋体" w:cs="宋体"/>
          <w:b/>
          <w:bCs/>
          <w:color w:val="auto"/>
          <w:szCs w:val="21"/>
          <w:highlight w:val="none"/>
        </w:rPr>
      </w:pPr>
      <w:r>
        <w:rPr>
          <w:rFonts w:hint="eastAsia" w:ascii="宋体" w:hAnsi="宋体" w:cs="宋体"/>
          <w:bCs/>
          <w:color w:val="auto"/>
          <w:szCs w:val="21"/>
          <w:highlight w:val="none"/>
        </w:rPr>
        <w:t>4.4专家评审费按《扬州市财政局关于进一步规范扬州市政府采购专家评审费标准的通知》（扬财购〔2020〕40号）执行。</w:t>
      </w:r>
    </w:p>
    <w:p w14:paraId="3DB5192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5、招标文件的约束力</w:t>
      </w:r>
    </w:p>
    <w:p w14:paraId="04FA8F1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5.1</w:t>
      </w:r>
      <w:r>
        <w:rPr>
          <w:rFonts w:hint="eastAsia" w:ascii="宋体" w:hAnsi="宋体" w:cs="宋体"/>
          <w:color w:val="auto"/>
          <w:szCs w:val="21"/>
          <w:highlight w:val="none"/>
        </w:rPr>
        <w:t xml:space="preserve"> 投标人一旦参加本项目采购活动，即被认为接受了本招标文件的规定和约束。</w:t>
      </w:r>
    </w:p>
    <w:p w14:paraId="7BE52A31">
      <w:pPr>
        <w:spacing w:line="360" w:lineRule="auto"/>
        <w:ind w:firstLine="422" w:firstLineChars="200"/>
        <w:rPr>
          <w:rFonts w:ascii="宋体" w:hAnsi="宋体" w:cs="宋体"/>
          <w:b/>
          <w:color w:val="auto"/>
          <w:szCs w:val="21"/>
          <w:highlight w:val="none"/>
        </w:rPr>
      </w:pPr>
      <w:bookmarkStart w:id="41" w:name="_Toc513029210"/>
      <w:bookmarkStart w:id="42" w:name="_Toc16938526"/>
      <w:bookmarkStart w:id="43" w:name="_Toc20823282"/>
      <w:r>
        <w:rPr>
          <w:rFonts w:hint="eastAsia" w:ascii="宋体" w:hAnsi="宋体" w:cs="宋体"/>
          <w:b/>
          <w:color w:val="auto"/>
          <w:szCs w:val="21"/>
          <w:highlight w:val="none"/>
        </w:rPr>
        <w:t>6、招标文件构成</w:t>
      </w:r>
      <w:bookmarkEnd w:id="41"/>
      <w:bookmarkEnd w:id="42"/>
      <w:bookmarkEnd w:id="43"/>
    </w:p>
    <w:p w14:paraId="4C31557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6.1</w:t>
      </w:r>
      <w:r>
        <w:rPr>
          <w:rFonts w:hint="eastAsia" w:ascii="宋体" w:hAnsi="宋体" w:cs="宋体"/>
          <w:color w:val="auto"/>
          <w:szCs w:val="21"/>
          <w:highlight w:val="none"/>
        </w:rPr>
        <w:t xml:space="preserve"> 招标文件有以下部分组成：</w:t>
      </w:r>
    </w:p>
    <w:p w14:paraId="49EEF9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（1）招标公告</w:t>
      </w:r>
    </w:p>
    <w:p w14:paraId="377C76B3">
      <w:pPr>
        <w:tabs>
          <w:tab w:val="left" w:pos="2580"/>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（2）投标人须知</w:t>
      </w:r>
    </w:p>
    <w:p w14:paraId="29AC9E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（3）合同条款及格式</w:t>
      </w:r>
    </w:p>
    <w:p w14:paraId="4AA8A2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（4）项目需求</w:t>
      </w:r>
    </w:p>
    <w:p w14:paraId="5C977D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（5）评标方法与评标标准</w:t>
      </w:r>
    </w:p>
    <w:p w14:paraId="488ABD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（6）投标文件格式</w:t>
      </w:r>
    </w:p>
    <w:p w14:paraId="61E93E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请仔细检查招标文件是否齐全，如有缺漏请立即与代理机构联系解决。</w:t>
      </w:r>
    </w:p>
    <w:p w14:paraId="7AB4E3F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 招标的最小单位是包。招标服务数量及技术要求中未分包的，供应商对要求提供的服务不得部分投标；招标服务数量及技术要求中已经分包的，应当以包为单位投标。</w:t>
      </w:r>
    </w:p>
    <w:p w14:paraId="28E421D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6.3 招标文件如果要求供应商提交备选投标方案的，供应商可以提交备选方案；否则，备选方案将被拒绝。</w:t>
      </w:r>
    </w:p>
    <w:p w14:paraId="00B6BB48">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6.4</w:t>
      </w:r>
      <w:r>
        <w:rPr>
          <w:rFonts w:hint="eastAsia" w:ascii="宋体" w:hAnsi="宋体" w:cs="宋体"/>
          <w:color w:val="auto"/>
          <w:szCs w:val="21"/>
          <w:highlight w:val="none"/>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3426F1A9">
      <w:pPr>
        <w:spacing w:line="360" w:lineRule="auto"/>
        <w:ind w:firstLine="422" w:firstLineChars="200"/>
        <w:rPr>
          <w:rFonts w:ascii="宋体" w:hAnsi="宋体" w:cs="宋体"/>
          <w:b/>
          <w:color w:val="auto"/>
          <w:szCs w:val="21"/>
          <w:highlight w:val="none"/>
        </w:rPr>
      </w:pPr>
      <w:bookmarkStart w:id="44" w:name="_Toc462564070"/>
      <w:bookmarkStart w:id="45" w:name="_Toc513029211"/>
      <w:bookmarkStart w:id="46" w:name="_Toc20823283"/>
      <w:bookmarkStart w:id="47" w:name="_Toc16938527"/>
      <w:r>
        <w:rPr>
          <w:rFonts w:hint="eastAsia" w:ascii="宋体" w:hAnsi="宋体" w:cs="宋体"/>
          <w:b/>
          <w:color w:val="auto"/>
          <w:szCs w:val="21"/>
          <w:highlight w:val="none"/>
        </w:rPr>
        <w:t>7、招标文件的</w:t>
      </w:r>
      <w:bookmarkEnd w:id="44"/>
      <w:bookmarkEnd w:id="45"/>
      <w:bookmarkEnd w:id="46"/>
      <w:bookmarkEnd w:id="47"/>
      <w:r>
        <w:rPr>
          <w:rFonts w:hint="eastAsia" w:ascii="宋体" w:hAnsi="宋体" w:cs="宋体"/>
          <w:b/>
          <w:color w:val="auto"/>
          <w:szCs w:val="21"/>
          <w:highlight w:val="none"/>
        </w:rPr>
        <w:t>澄清</w:t>
      </w:r>
    </w:p>
    <w:p w14:paraId="7AF33D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 任何要求对招标文件进行澄清的投标人，应在投标截止日期的十日前按投标邀请中的通讯地址，以书面形式通知代理机构。</w:t>
      </w:r>
    </w:p>
    <w:p w14:paraId="0B8E5977">
      <w:pPr>
        <w:spacing w:line="360" w:lineRule="auto"/>
        <w:ind w:firstLine="422" w:firstLineChars="200"/>
        <w:rPr>
          <w:rFonts w:ascii="宋体" w:hAnsi="宋体" w:cs="宋体"/>
          <w:b/>
          <w:color w:val="auto"/>
          <w:szCs w:val="21"/>
          <w:highlight w:val="none"/>
        </w:rPr>
      </w:pPr>
      <w:bookmarkStart w:id="48" w:name="_Toc16938528"/>
      <w:bookmarkStart w:id="49" w:name="_Toc462564071"/>
      <w:bookmarkStart w:id="50" w:name="_Toc20823284"/>
      <w:bookmarkStart w:id="51" w:name="_Toc513029212"/>
      <w:r>
        <w:rPr>
          <w:rFonts w:hint="eastAsia" w:ascii="宋体" w:hAnsi="宋体" w:cs="宋体"/>
          <w:b/>
          <w:color w:val="auto"/>
          <w:szCs w:val="21"/>
          <w:highlight w:val="none"/>
        </w:rPr>
        <w:t>8、招标文件的修改</w:t>
      </w:r>
      <w:bookmarkEnd w:id="48"/>
      <w:bookmarkEnd w:id="49"/>
      <w:bookmarkEnd w:id="50"/>
      <w:bookmarkEnd w:id="51"/>
    </w:p>
    <w:p w14:paraId="4612CF5F">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8.1</w:t>
      </w:r>
      <w:r>
        <w:rPr>
          <w:rFonts w:hint="eastAsia" w:ascii="宋体" w:hAnsi="宋体" w:cs="宋体"/>
          <w:color w:val="auto"/>
          <w:szCs w:val="21"/>
          <w:highlight w:val="none"/>
        </w:rPr>
        <w:t xml:space="preserve"> 在投标截止时间前，代理机构可以对招标文件进行修改。</w:t>
      </w:r>
    </w:p>
    <w:p w14:paraId="1B753D2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8.2代理机构在招标文件要求</w:t>
      </w:r>
      <w:r>
        <w:rPr>
          <w:rFonts w:hint="eastAsia" w:ascii="宋体" w:hAnsi="宋体" w:cs="宋体"/>
          <w:bCs/>
          <w:color w:val="auto"/>
          <w:szCs w:val="21"/>
          <w:highlight w:val="none"/>
          <w:lang w:eastAsia="zh-CN"/>
        </w:rPr>
        <w:t>投标截止时间前</w:t>
      </w:r>
      <w:r>
        <w:rPr>
          <w:rFonts w:hint="eastAsia" w:ascii="宋体" w:hAnsi="宋体" w:cs="宋体"/>
          <w:bCs/>
          <w:color w:val="auto"/>
          <w:szCs w:val="21"/>
          <w:highlight w:val="none"/>
        </w:rPr>
        <w:t>，有权决定延长投标截止时间和开标时间，并在原采购信息发布媒体上发布变更公告。</w:t>
      </w:r>
    </w:p>
    <w:p w14:paraId="20CA6C03">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8.3</w:t>
      </w:r>
      <w:r>
        <w:rPr>
          <w:rFonts w:hint="eastAsia" w:ascii="宋体" w:hAnsi="宋体" w:cs="宋体"/>
          <w:color w:val="auto"/>
          <w:szCs w:val="21"/>
          <w:highlight w:val="none"/>
        </w:rPr>
        <w:t>招标文件的修改将在</w:t>
      </w:r>
      <w:r>
        <w:rPr>
          <w:rFonts w:hint="eastAsia" w:ascii="宋体" w:hAnsi="宋体" w:cs="宋体"/>
          <w:color w:val="auto"/>
          <w:szCs w:val="21"/>
          <w:highlight w:val="none"/>
          <w:lang w:eastAsia="zh-CN"/>
        </w:rPr>
        <w:t>“扬州大学附属医院”“扬州大学网”和“江苏招标采购服务平台”</w:t>
      </w:r>
      <w:r>
        <w:rPr>
          <w:rFonts w:hint="eastAsia" w:ascii="宋体" w:hAnsi="宋体" w:cs="宋体"/>
          <w:color w:val="auto"/>
          <w:szCs w:val="21"/>
          <w:highlight w:val="none"/>
        </w:rPr>
        <w:t>公布，补充文件将作为招标文件的组成部分，并对投标人具有约束力。</w:t>
      </w:r>
    </w:p>
    <w:p w14:paraId="2AB90B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8.4投标人应在投标截止时间前关注原采购信息发布媒体上有关本招标项目有无变更公告。</w:t>
      </w:r>
    </w:p>
    <w:p w14:paraId="77CD360A">
      <w:pPr>
        <w:spacing w:line="360" w:lineRule="auto"/>
        <w:ind w:firstLine="422" w:firstLineChars="200"/>
        <w:rPr>
          <w:rFonts w:ascii="宋体" w:hAnsi="宋体" w:cs="宋体"/>
          <w:b/>
          <w:color w:val="auto"/>
          <w:szCs w:val="21"/>
          <w:highlight w:val="none"/>
        </w:rPr>
      </w:pPr>
      <w:bookmarkStart w:id="52" w:name="_Toc16938530"/>
      <w:bookmarkStart w:id="53" w:name="_Toc462564073"/>
      <w:bookmarkStart w:id="54" w:name="_Toc513029214"/>
      <w:bookmarkStart w:id="55" w:name="_Toc20823286"/>
      <w:r>
        <w:rPr>
          <w:rFonts w:hint="eastAsia" w:ascii="宋体" w:hAnsi="宋体" w:cs="宋体"/>
          <w:b/>
          <w:color w:val="auto"/>
          <w:szCs w:val="21"/>
          <w:highlight w:val="none"/>
        </w:rPr>
        <w:t>9、投标文件的语言、度量衡单位</w:t>
      </w:r>
      <w:bookmarkEnd w:id="52"/>
      <w:bookmarkEnd w:id="53"/>
      <w:bookmarkEnd w:id="54"/>
      <w:bookmarkEnd w:id="55"/>
      <w:r>
        <w:rPr>
          <w:rFonts w:hint="eastAsia" w:ascii="宋体" w:hAnsi="宋体" w:cs="宋体"/>
          <w:b/>
          <w:color w:val="auto"/>
          <w:szCs w:val="21"/>
          <w:highlight w:val="none"/>
        </w:rPr>
        <w:t>、货币和编制</w:t>
      </w:r>
    </w:p>
    <w:p w14:paraId="35DFEE64">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9.1</w:t>
      </w:r>
      <w:r>
        <w:rPr>
          <w:rFonts w:hint="eastAsia" w:ascii="宋体" w:hAnsi="宋体" w:cs="宋体"/>
          <w:color w:val="auto"/>
          <w:szCs w:val="21"/>
          <w:highlight w:val="none"/>
        </w:rPr>
        <w:t>投标人提交的投标文件、技术文件和资料，包括图纸中的说明，以及投标人与代理机构就有关投标的所有来往函、电、通知和文件均应使用中文。投标文件中若有英文或其他语言文字的资料，应提供相应的中文翻译资料。对不同文本投标文件的解释发生异议的，以中文文本为准。投标文件以及投标人与代理机构就有关投标的所有来往通知、函件和文件均应使用简体中文。</w:t>
      </w:r>
    </w:p>
    <w:p w14:paraId="2A744DAF">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9.2</w:t>
      </w:r>
      <w:r>
        <w:rPr>
          <w:rFonts w:hint="eastAsia" w:ascii="宋体" w:hAnsi="宋体" w:cs="宋体"/>
          <w:color w:val="auto"/>
          <w:szCs w:val="21"/>
          <w:highlight w:val="none"/>
        </w:rPr>
        <w:t xml:space="preserve"> 除技术性能另有规定外，投标文件所使用的度量衡单位，均须采用国家法定计量单位。</w:t>
      </w:r>
    </w:p>
    <w:p w14:paraId="54FA33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9.3投标人应使用人民币报价。</w:t>
      </w:r>
    </w:p>
    <w:p w14:paraId="2A8513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9.4投标文件应字迹清楚、内容齐全、不得涂改。如有修改，修改处须有投标人加盖公章和法定代表人或其授权代表签字。</w:t>
      </w:r>
    </w:p>
    <w:p w14:paraId="22E41FDB">
      <w:pPr>
        <w:spacing w:line="360" w:lineRule="auto"/>
        <w:ind w:firstLine="422" w:firstLineChars="200"/>
        <w:rPr>
          <w:rFonts w:ascii="宋体" w:hAnsi="宋体" w:cs="宋体"/>
          <w:b/>
          <w:color w:val="auto"/>
          <w:szCs w:val="21"/>
          <w:highlight w:val="none"/>
        </w:rPr>
      </w:pPr>
      <w:bookmarkStart w:id="56" w:name="_Toc16938531"/>
      <w:bookmarkStart w:id="57" w:name="_Toc20823287"/>
      <w:bookmarkStart w:id="58" w:name="_Toc462564074"/>
      <w:bookmarkStart w:id="59" w:name="_Toc513029215"/>
      <w:r>
        <w:rPr>
          <w:rFonts w:hint="eastAsia" w:ascii="宋体" w:hAnsi="宋体" w:cs="宋体"/>
          <w:b/>
          <w:color w:val="auto"/>
          <w:szCs w:val="21"/>
          <w:highlight w:val="none"/>
        </w:rPr>
        <w:t>10、投标文件构成</w:t>
      </w:r>
      <w:bookmarkEnd w:id="56"/>
      <w:bookmarkEnd w:id="57"/>
      <w:bookmarkEnd w:id="58"/>
      <w:bookmarkEnd w:id="59"/>
    </w:p>
    <w:p w14:paraId="714B0BC5">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bCs/>
          <w:color w:val="auto"/>
          <w:szCs w:val="21"/>
          <w:highlight w:val="none"/>
        </w:rPr>
        <w:t>10.1</w:t>
      </w:r>
      <w:r>
        <w:rPr>
          <w:rFonts w:hint="eastAsia" w:ascii="宋体" w:hAnsi="宋体" w:cs="宋体"/>
          <w:color w:val="auto"/>
          <w:szCs w:val="21"/>
          <w:highlight w:val="none"/>
        </w:rPr>
        <w:t xml:space="preserve"> 投标人编写的投标文件应包括：资信证明文件、供货一览表、技术参数响应及偏离表、商务条款响应及偏离表、技术及售后服务承诺书、开标一览表、投标产品配置等部分</w:t>
      </w:r>
      <w:r>
        <w:rPr>
          <w:rFonts w:hint="eastAsia" w:ascii="宋体" w:hAnsi="宋体" w:cs="宋体"/>
          <w:color w:val="auto"/>
          <w:szCs w:val="21"/>
          <w:highlight w:val="none"/>
          <w:lang w:eastAsia="zh-CN"/>
        </w:rPr>
        <w:t>。</w:t>
      </w:r>
    </w:p>
    <w:p w14:paraId="3DD5A1F0">
      <w:pPr>
        <w:spacing w:line="360" w:lineRule="auto"/>
        <w:ind w:firstLine="420" w:firstLineChars="200"/>
        <w:rPr>
          <w:rFonts w:ascii="宋体" w:hAnsi="宋体" w:cs="宋体"/>
          <w:color w:val="auto"/>
          <w:szCs w:val="21"/>
          <w:highlight w:val="none"/>
        </w:rPr>
      </w:pPr>
      <w:bookmarkStart w:id="60" w:name="_Toc49090509"/>
      <w:bookmarkStart w:id="61" w:name="_Toc513029219"/>
      <w:bookmarkStart w:id="62" w:name="_Toc14577357"/>
      <w:bookmarkStart w:id="63" w:name="_Toc14577354"/>
      <w:bookmarkStart w:id="64" w:name="_Toc49090507"/>
      <w:bookmarkStart w:id="65" w:name="_Toc513029216"/>
      <w:r>
        <w:rPr>
          <w:rFonts w:hint="eastAsia" w:ascii="宋体" w:hAnsi="宋体" w:cs="宋体"/>
          <w:color w:val="auto"/>
          <w:szCs w:val="21"/>
          <w:highlight w:val="none"/>
        </w:rPr>
        <w:t>10.2 投标人应将投标文件按顺序装订成册，应逐页编码，不得跳页（包括但不限于证明材料、声明及产品介绍、彩页等），并编制投标文件资料目录。由于编排混乱导致投标文件被误读或查找不到，责任由投标人承担。</w:t>
      </w:r>
    </w:p>
    <w:p w14:paraId="1B8DC3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 投标人应当根据招标文件要求编制投标文件，投标文件应对招标文件提出的要求和条件作出实质性响应，并在相应的投标文件中逐条标明满足与否。</w:t>
      </w:r>
    </w:p>
    <w:p w14:paraId="64756FE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11、证明投标人资格及符合招标文件规定的文件</w:t>
      </w:r>
      <w:bookmarkEnd w:id="60"/>
      <w:bookmarkEnd w:id="61"/>
      <w:bookmarkEnd w:id="62"/>
    </w:p>
    <w:p w14:paraId="71E06F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11.1投标人应按要求提交资信证明文件及符合招标文件规定的文件。</w:t>
      </w:r>
    </w:p>
    <w:p w14:paraId="20F5F1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11.2投标人应提交证明其有资格参加投标和中标后有能力独立履行合同的文件。</w:t>
      </w:r>
    </w:p>
    <w:p w14:paraId="62F561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11.3投标人除必须具有履行合同所需提供的货物以及服务的能力外，还必须具备相应的财务、技术方面的能力。</w:t>
      </w:r>
    </w:p>
    <w:p w14:paraId="68FED7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11.4投标人应提交根据合同要求提供的证明产品质量合格以及符合招标文件规定的证明文件。</w:t>
      </w:r>
    </w:p>
    <w:p w14:paraId="4428BF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11.5证明投标人所提供货物与招标文件的要求相一致的文件可以是手册、图纸、文字资料和数据</w:t>
      </w:r>
      <w:r>
        <w:rPr>
          <w:rFonts w:hint="eastAsia" w:ascii="宋体" w:hAnsi="宋体" w:cs="宋体"/>
          <w:bCs/>
          <w:color w:val="auto"/>
          <w:szCs w:val="21"/>
          <w:highlight w:val="none"/>
        </w:rPr>
        <w:t>。</w:t>
      </w:r>
    </w:p>
    <w:bookmarkEnd w:id="63"/>
    <w:bookmarkEnd w:id="64"/>
    <w:bookmarkEnd w:id="65"/>
    <w:p w14:paraId="78B381F2">
      <w:pPr>
        <w:spacing w:line="360" w:lineRule="auto"/>
        <w:ind w:firstLine="422" w:firstLineChars="200"/>
        <w:rPr>
          <w:rFonts w:ascii="宋体" w:hAnsi="宋体" w:cs="宋体"/>
          <w:b/>
          <w:color w:val="auto"/>
          <w:szCs w:val="21"/>
          <w:highlight w:val="none"/>
        </w:rPr>
      </w:pPr>
      <w:bookmarkStart w:id="66" w:name="_Toc14577355"/>
      <w:bookmarkStart w:id="67" w:name="_Toc49090508"/>
      <w:r>
        <w:rPr>
          <w:rFonts w:hint="eastAsia" w:ascii="宋体" w:hAnsi="宋体" w:cs="宋体"/>
          <w:b/>
          <w:color w:val="auto"/>
          <w:szCs w:val="21"/>
          <w:highlight w:val="none"/>
        </w:rPr>
        <w:t>12、供货一览表和投标配置</w:t>
      </w:r>
      <w:bookmarkEnd w:id="66"/>
      <w:bookmarkEnd w:id="67"/>
      <w:r>
        <w:rPr>
          <w:rFonts w:hint="eastAsia" w:ascii="宋体" w:hAnsi="宋体" w:cs="宋体"/>
          <w:b/>
          <w:color w:val="auto"/>
          <w:szCs w:val="21"/>
          <w:highlight w:val="none"/>
        </w:rPr>
        <w:t>与分项报价表</w:t>
      </w:r>
    </w:p>
    <w:p w14:paraId="739D144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12.1</w:t>
      </w:r>
      <w:r>
        <w:rPr>
          <w:rFonts w:hint="eastAsia" w:ascii="宋体" w:hAnsi="宋体" w:cs="宋体"/>
          <w:color w:val="auto"/>
          <w:szCs w:val="21"/>
          <w:highlight w:val="none"/>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14:paraId="14690D24">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bCs/>
          <w:color w:val="auto"/>
          <w:szCs w:val="21"/>
          <w:highlight w:val="none"/>
        </w:rPr>
        <w:t>12.2</w:t>
      </w:r>
      <w:r>
        <w:rPr>
          <w:rFonts w:hint="eastAsia" w:ascii="宋体" w:hAnsi="宋体" w:cs="宋体"/>
          <w:color w:val="auto"/>
          <w:szCs w:val="21"/>
          <w:highlight w:val="none"/>
        </w:rPr>
        <w:t xml:space="preserve"> 标的</w:t>
      </w:r>
      <w:r>
        <w:rPr>
          <w:rFonts w:hint="eastAsia" w:ascii="宋体" w:hAnsi="宋体" w:cs="宋体"/>
          <w:color w:val="auto"/>
          <w:szCs w:val="21"/>
          <w:highlight w:val="none"/>
          <w:lang w:val="en-US" w:eastAsia="zh-CN"/>
        </w:rPr>
        <w:t>物</w:t>
      </w:r>
    </w:p>
    <w:p w14:paraId="4620137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采购人需求的货物供应、安装，调试及有关技术服务等</w:t>
      </w:r>
      <w:r>
        <w:rPr>
          <w:rFonts w:hint="eastAsia" w:ascii="宋体" w:hAnsi="宋体" w:cs="宋体"/>
          <w:color w:val="auto"/>
          <w:szCs w:val="21"/>
          <w:highlight w:val="none"/>
        </w:rPr>
        <w:t>。</w:t>
      </w:r>
    </w:p>
    <w:p w14:paraId="670190DB">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12.3</w:t>
      </w:r>
      <w:r>
        <w:rPr>
          <w:rFonts w:hint="eastAsia" w:ascii="宋体" w:hAnsi="宋体" w:cs="宋体"/>
          <w:bCs/>
          <w:color w:val="auto"/>
          <w:szCs w:val="21"/>
          <w:highlight w:val="none"/>
        </w:rPr>
        <w:t>有关费用处理</w:t>
      </w:r>
    </w:p>
    <w:p w14:paraId="7B0A02E9">
      <w:pPr>
        <w:spacing w:line="360" w:lineRule="auto"/>
        <w:ind w:firstLine="420" w:firstLineChars="200"/>
        <w:rPr>
          <w:rFonts w:ascii="宋体" w:hAnsi="宋体" w:cs="宋体"/>
          <w:bCs/>
          <w:color w:val="auto"/>
          <w:szCs w:val="21"/>
          <w:highlight w:val="none"/>
        </w:rPr>
      </w:pPr>
      <w:bookmarkStart w:id="68" w:name="_Hlk110100890"/>
      <w:r>
        <w:rPr>
          <w:rFonts w:hint="eastAsia" w:ascii="宋体" w:hAnsi="宋体" w:cs="宋体"/>
          <w:color w:val="auto"/>
          <w:szCs w:val="21"/>
          <w:highlight w:val="none"/>
        </w:rPr>
        <w:t>招标报价采用总承包方式，投标人的报价应包括拟提供货物、服务及其运输、装卸、清点、堆放、验收前保管、验收合格及之前所有含税费用，投标报价还包含投标人应当提供的伴随服务，售后服务费用等其他有关的为完成本项目发生的所有费用，招标文件中另有规定的除外。</w:t>
      </w:r>
      <w:bookmarkEnd w:id="68"/>
    </w:p>
    <w:p w14:paraId="0F34603D">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12.4</w:t>
      </w:r>
      <w:r>
        <w:rPr>
          <w:rFonts w:hint="eastAsia" w:ascii="宋体" w:hAnsi="宋体" w:cs="宋体"/>
          <w:bCs/>
          <w:color w:val="auto"/>
          <w:szCs w:val="21"/>
          <w:highlight w:val="none"/>
        </w:rPr>
        <w:t>其它费用处理</w:t>
      </w:r>
    </w:p>
    <w:p w14:paraId="79F6E79E">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招标文件未列明，而投标人认为必需的费用也需列入报价。</w:t>
      </w:r>
    </w:p>
    <w:p w14:paraId="50E8D150">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12.5</w:t>
      </w:r>
      <w:r>
        <w:rPr>
          <w:rFonts w:hint="eastAsia" w:ascii="宋体" w:hAnsi="宋体" w:cs="宋体"/>
          <w:bCs/>
          <w:color w:val="auto"/>
          <w:szCs w:val="21"/>
          <w:highlight w:val="none"/>
        </w:rPr>
        <w:t>投标货币</w:t>
      </w:r>
    </w:p>
    <w:p w14:paraId="05E129A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投标文件中的货物单价和总价无特殊规定的采用人民币报价，以元为单位标注。</w:t>
      </w:r>
      <w:r>
        <w:rPr>
          <w:rFonts w:hint="eastAsia" w:ascii="宋体" w:hAnsi="宋体" w:cs="宋体"/>
          <w:color w:val="auto"/>
          <w:szCs w:val="21"/>
          <w:highlight w:val="none"/>
        </w:rPr>
        <w:t>招标文件中另有规定的按规定执行。</w:t>
      </w:r>
    </w:p>
    <w:p w14:paraId="6A4BE5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12.6</w:t>
      </w:r>
      <w:r>
        <w:rPr>
          <w:rFonts w:hint="eastAsia" w:ascii="宋体" w:hAnsi="宋体" w:cs="宋体"/>
          <w:bCs/>
          <w:color w:val="auto"/>
          <w:szCs w:val="21"/>
          <w:highlight w:val="none"/>
        </w:rPr>
        <w:t xml:space="preserve"> 投标配置</w:t>
      </w:r>
      <w:r>
        <w:rPr>
          <w:rFonts w:hint="eastAsia" w:ascii="宋体" w:hAnsi="宋体" w:cs="宋体"/>
          <w:bCs/>
          <w:color w:val="auto"/>
          <w:highlight w:val="none"/>
        </w:rPr>
        <w:t>与分项报价表</w:t>
      </w:r>
      <w:r>
        <w:rPr>
          <w:rFonts w:hint="eastAsia" w:ascii="宋体" w:hAnsi="宋体" w:cs="宋体"/>
          <w:bCs/>
          <w:color w:val="auto"/>
          <w:szCs w:val="21"/>
          <w:highlight w:val="none"/>
        </w:rPr>
        <w:t>上的价格应按下列方式分开填写</w:t>
      </w:r>
      <w:r>
        <w:rPr>
          <w:rFonts w:hint="eastAsia" w:ascii="宋体" w:hAnsi="宋体" w:cs="宋体"/>
          <w:color w:val="auto"/>
          <w:szCs w:val="21"/>
          <w:highlight w:val="none"/>
        </w:rPr>
        <w:t>：</w:t>
      </w:r>
    </w:p>
    <w:p w14:paraId="418A55CC">
      <w:pPr>
        <w:spacing w:line="360" w:lineRule="auto"/>
        <w:ind w:firstLine="420" w:firstLineChars="200"/>
        <w:rPr>
          <w:rFonts w:ascii="宋体" w:hAnsi="宋体" w:cs="宋体"/>
          <w:bCs/>
          <w:color w:val="auto"/>
          <w:szCs w:val="21"/>
          <w:highlight w:val="none"/>
        </w:rPr>
      </w:pPr>
      <w:bookmarkStart w:id="69" w:name="_Hlk110100992"/>
      <w:r>
        <w:rPr>
          <w:rFonts w:hint="eastAsia" w:ascii="宋体" w:hAnsi="宋体" w:cs="宋体"/>
          <w:bCs/>
          <w:color w:val="auto"/>
          <w:szCs w:val="21"/>
          <w:highlight w:val="none"/>
        </w:rPr>
        <w:t>(1)</w:t>
      </w:r>
      <w:r>
        <w:rPr>
          <w:rFonts w:hint="eastAsia" w:ascii="宋体" w:hAnsi="宋体" w:cs="宋体"/>
          <w:color w:val="auto"/>
          <w:szCs w:val="21"/>
          <w:highlight w:val="none"/>
        </w:rPr>
        <w:t>项目总价：</w:t>
      </w:r>
      <w:bookmarkEnd w:id="69"/>
      <w:r>
        <w:rPr>
          <w:rFonts w:hint="eastAsia" w:ascii="宋体" w:hAnsi="宋体" w:cs="宋体"/>
          <w:color w:val="auto"/>
          <w:szCs w:val="21"/>
          <w:highlight w:val="none"/>
        </w:rPr>
        <w:t>包括采购人需求的产品价格、质量保证费用、培训费用及售后服务费用，项目在指定地点、环境交付、安装、调试、验收所需费用和所有相关税金费用及为完成整个项目所产生的其他所有费用。</w:t>
      </w:r>
    </w:p>
    <w:p w14:paraId="643E167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(2)项目单价按投标配置</w:t>
      </w:r>
      <w:r>
        <w:rPr>
          <w:rFonts w:hint="eastAsia" w:ascii="宋体" w:hAnsi="宋体" w:cs="宋体"/>
          <w:bCs/>
          <w:color w:val="auto"/>
          <w:highlight w:val="none"/>
        </w:rPr>
        <w:t>及分项报价表</w:t>
      </w:r>
      <w:r>
        <w:rPr>
          <w:rFonts w:hint="eastAsia" w:ascii="宋体" w:hAnsi="宋体" w:cs="宋体"/>
          <w:bCs/>
          <w:color w:val="auto"/>
          <w:szCs w:val="21"/>
          <w:highlight w:val="none"/>
        </w:rPr>
        <w:t>中要求填报。</w:t>
      </w:r>
    </w:p>
    <w:p w14:paraId="18FC7717">
      <w:pPr>
        <w:spacing w:line="360" w:lineRule="auto"/>
        <w:ind w:firstLine="422" w:firstLineChars="200"/>
        <w:rPr>
          <w:rFonts w:ascii="宋体" w:hAnsi="宋体" w:cs="宋体"/>
          <w:b/>
          <w:color w:val="auto"/>
          <w:szCs w:val="21"/>
          <w:highlight w:val="none"/>
        </w:rPr>
      </w:pPr>
      <w:r>
        <w:rPr>
          <w:rFonts w:hint="eastAsia" w:ascii="宋体" w:hAnsi="宋体" w:cs="宋体"/>
          <w:b/>
          <w:bCs/>
          <w:color w:val="auto"/>
          <w:szCs w:val="21"/>
          <w:highlight w:val="none"/>
        </w:rPr>
        <w:t>13、</w:t>
      </w:r>
      <w:r>
        <w:rPr>
          <w:rFonts w:hint="eastAsia" w:ascii="宋体" w:hAnsi="宋体" w:cs="宋体"/>
          <w:b/>
          <w:color w:val="auto"/>
          <w:szCs w:val="21"/>
          <w:highlight w:val="none"/>
        </w:rPr>
        <w:t>技术参数响应及偏离表、商务条款响应及偏离表及投标货物说明</w:t>
      </w:r>
    </w:p>
    <w:p w14:paraId="0AB73A1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bCs/>
          <w:color w:val="auto"/>
          <w:szCs w:val="21"/>
          <w:highlight w:val="none"/>
          <w:lang w:val="zh-CN"/>
        </w:rPr>
        <w:t>13.1</w:t>
      </w:r>
      <w:r>
        <w:rPr>
          <w:rFonts w:hint="eastAsia" w:ascii="宋体" w:hAnsi="宋体" w:cs="宋体"/>
          <w:color w:val="auto"/>
          <w:szCs w:val="21"/>
          <w:highlight w:val="none"/>
          <w:lang w:val="zh-CN"/>
        </w:rPr>
        <w:t xml:space="preserve"> 对招标文件中的技术与商务条款要求逐项作出响应或偏离，并说明原因；</w:t>
      </w:r>
    </w:p>
    <w:p w14:paraId="451A4CFF">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13.2 提供参加本项目类似案例简介；</w:t>
      </w:r>
    </w:p>
    <w:p w14:paraId="3264F506">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13.3 培训计划；</w:t>
      </w:r>
    </w:p>
    <w:p w14:paraId="15837F82">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13.4 详细阐述所投货物的主要组成部分、功能设计、实现思路及关键技术；</w:t>
      </w:r>
    </w:p>
    <w:p w14:paraId="653E2815">
      <w:pPr>
        <w:tabs>
          <w:tab w:val="left" w:pos="1035"/>
        </w:tabs>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en-US" w:eastAsia="zh-CN"/>
        </w:rPr>
        <w:t>13.5</w:t>
      </w:r>
      <w:r>
        <w:rPr>
          <w:rFonts w:hint="eastAsia" w:ascii="宋体" w:hAnsi="宋体" w:cs="宋体"/>
          <w:color w:val="auto"/>
          <w:szCs w:val="21"/>
          <w:highlight w:val="none"/>
          <w:lang w:val="zh-CN"/>
        </w:rPr>
        <w:t xml:space="preserve"> 投标人认为需要的其他技术文件或说明。</w:t>
      </w:r>
    </w:p>
    <w:p w14:paraId="1CC74BEC">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14、服务承诺及售后服务机构、人员的情况介绍</w:t>
      </w:r>
    </w:p>
    <w:p w14:paraId="158EB460">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14.1</w:t>
      </w:r>
      <w:r>
        <w:rPr>
          <w:rFonts w:hint="eastAsia" w:ascii="宋体" w:hAnsi="宋体" w:cs="宋体"/>
          <w:color w:val="auto"/>
          <w:szCs w:val="21"/>
          <w:highlight w:val="none"/>
        </w:rPr>
        <w:t>投标人的服务承诺应按不低于招标文件中商务要求的标准。</w:t>
      </w:r>
    </w:p>
    <w:p w14:paraId="6BB942A6">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14.2</w:t>
      </w:r>
      <w:r>
        <w:rPr>
          <w:rFonts w:hint="eastAsia" w:ascii="宋体" w:hAnsi="宋体" w:cs="宋体"/>
          <w:color w:val="auto"/>
          <w:szCs w:val="21"/>
          <w:highlight w:val="none"/>
        </w:rPr>
        <w:t>提供投标人有关售后服务的管理制度、售后服务机构的分布情况、售后服务人员的数量、素质、技术水平及售后服务的反应能力。</w:t>
      </w:r>
    </w:p>
    <w:p w14:paraId="184AF4B1">
      <w:pPr>
        <w:spacing w:line="360" w:lineRule="auto"/>
        <w:ind w:firstLine="422" w:firstLineChars="200"/>
        <w:rPr>
          <w:rFonts w:ascii="宋体" w:hAnsi="宋体" w:cs="宋体"/>
          <w:b/>
          <w:color w:val="auto"/>
          <w:szCs w:val="21"/>
          <w:highlight w:val="none"/>
        </w:rPr>
      </w:pPr>
      <w:bookmarkStart w:id="70" w:name="_Toc49090510"/>
      <w:bookmarkStart w:id="71" w:name="_Toc14577359"/>
      <w:r>
        <w:rPr>
          <w:rFonts w:hint="eastAsia" w:ascii="宋体" w:hAnsi="宋体" w:cs="宋体"/>
          <w:b/>
          <w:color w:val="auto"/>
          <w:szCs w:val="21"/>
          <w:highlight w:val="none"/>
        </w:rPr>
        <w:t>15、投标函和开标一览表</w:t>
      </w:r>
    </w:p>
    <w:p w14:paraId="6DC133DD">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15.1</w:t>
      </w:r>
      <w:r>
        <w:rPr>
          <w:rFonts w:hint="eastAsia" w:ascii="宋体" w:hAnsi="宋体" w:cs="宋体"/>
          <w:color w:val="auto"/>
          <w:szCs w:val="21"/>
          <w:highlight w:val="none"/>
        </w:rPr>
        <w:t xml:space="preserve"> 投标人应按照招标文件中提供的格式完整、正确填写投标函、开标一览表。</w:t>
      </w:r>
    </w:p>
    <w:p w14:paraId="6E4ABB9A">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15.2</w:t>
      </w:r>
      <w:r>
        <w:rPr>
          <w:rFonts w:hint="eastAsia" w:ascii="宋体" w:hAnsi="宋体" w:cs="宋体"/>
          <w:color w:val="auto"/>
          <w:szCs w:val="21"/>
          <w:highlight w:val="none"/>
        </w:rPr>
        <w:t xml:space="preserve"> </w:t>
      </w:r>
      <w:r>
        <w:rPr>
          <w:rFonts w:hint="eastAsia" w:ascii="宋体" w:hAnsi="宋体"/>
          <w:bCs/>
          <w:i/>
          <w:color w:val="auto"/>
          <w:szCs w:val="21"/>
          <w:highlight w:val="none"/>
          <w:u w:val="single"/>
        </w:rPr>
        <w:t>开标一览表中的价格应与投标文件中投标配置与分项报价表中的价格一致，如不一致，</w:t>
      </w:r>
      <w:r>
        <w:rPr>
          <w:rFonts w:hint="eastAsia" w:ascii="宋体" w:hAnsi="宋体"/>
          <w:i/>
          <w:color w:val="auto"/>
          <w:szCs w:val="21"/>
          <w:highlight w:val="none"/>
          <w:u w:val="single"/>
        </w:rPr>
        <w:t>不作为无效投标处理</w:t>
      </w:r>
      <w:r>
        <w:rPr>
          <w:rFonts w:hint="eastAsia" w:ascii="宋体" w:hAnsi="宋体"/>
          <w:bCs/>
          <w:i/>
          <w:color w:val="auto"/>
          <w:szCs w:val="21"/>
          <w:highlight w:val="none"/>
          <w:u w:val="single"/>
        </w:rPr>
        <w:t>，但评标时按开标一览表中价格为准</w:t>
      </w:r>
      <w:r>
        <w:rPr>
          <w:rFonts w:hint="eastAsia" w:ascii="宋体" w:hAnsi="宋体"/>
          <w:b/>
          <w:bCs/>
          <w:i/>
          <w:color w:val="auto"/>
          <w:szCs w:val="21"/>
          <w:highlight w:val="none"/>
          <w:u w:val="single"/>
        </w:rPr>
        <w:t>。</w:t>
      </w:r>
    </w:p>
    <w:p w14:paraId="5E8E170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16、投标保证金</w:t>
      </w:r>
      <w:bookmarkEnd w:id="70"/>
      <w:bookmarkEnd w:id="71"/>
    </w:p>
    <w:p w14:paraId="5B482918">
      <w:pPr>
        <w:spacing w:line="360" w:lineRule="auto"/>
        <w:ind w:firstLine="420" w:firstLineChars="200"/>
        <w:rPr>
          <w:rFonts w:ascii="宋体" w:hAnsi="宋体"/>
          <w:bCs/>
          <w:color w:val="auto"/>
          <w:szCs w:val="21"/>
          <w:highlight w:val="none"/>
        </w:rPr>
      </w:pPr>
      <w:bookmarkStart w:id="72" w:name="_Toc49090511"/>
      <w:bookmarkStart w:id="73" w:name="_Toc14577360"/>
      <w:r>
        <w:rPr>
          <w:rFonts w:hint="eastAsia" w:ascii="宋体" w:hAnsi="宋体"/>
          <w:bCs/>
          <w:color w:val="auto"/>
          <w:szCs w:val="21"/>
          <w:highlight w:val="none"/>
        </w:rPr>
        <w:t>1</w:t>
      </w:r>
      <w:r>
        <w:rPr>
          <w:rFonts w:ascii="宋体" w:hAnsi="宋体"/>
          <w:bCs/>
          <w:color w:val="auto"/>
          <w:szCs w:val="21"/>
          <w:highlight w:val="none"/>
        </w:rPr>
        <w:t>6.1</w:t>
      </w:r>
      <w:r>
        <w:rPr>
          <w:rFonts w:hint="eastAsia" w:ascii="宋体" w:hAnsi="宋体"/>
          <w:bCs/>
          <w:color w:val="auto"/>
          <w:szCs w:val="21"/>
          <w:highlight w:val="none"/>
        </w:rPr>
        <w:t>供应商在开标开始前必须向代理机构足额提交投标保证金，作为其投标的一部分。投标保证金是为了保护采购人免遭因投标供应商的行为而蒙受的损失，采购人因</w:t>
      </w:r>
      <w:r>
        <w:rPr>
          <w:rFonts w:hint="eastAsia" w:ascii="宋体" w:hAnsi="宋体"/>
          <w:bCs/>
          <w:color w:val="auto"/>
          <w:szCs w:val="21"/>
          <w:highlight w:val="none"/>
          <w:lang w:val="en-US" w:eastAsia="zh-CN"/>
        </w:rPr>
        <w:t>投标</w:t>
      </w:r>
      <w:r>
        <w:rPr>
          <w:rFonts w:hint="eastAsia" w:ascii="宋体" w:hAnsi="宋体"/>
          <w:bCs/>
          <w:color w:val="auto"/>
          <w:szCs w:val="21"/>
          <w:highlight w:val="none"/>
        </w:rPr>
        <w:t>供应商的行为受到损害时，代理机构可根据相关规定处理。</w:t>
      </w:r>
    </w:p>
    <w:p w14:paraId="222B33D4">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6.2参加投标所需交纳的保证金必须是人民币，投标保证金的交纳形式见招标公告。</w:t>
      </w:r>
    </w:p>
    <w:p w14:paraId="26544C03">
      <w:pPr>
        <w:spacing w:line="360" w:lineRule="auto"/>
        <w:ind w:firstLine="420" w:firstLineChars="200"/>
        <w:rPr>
          <w:rFonts w:ascii="宋体" w:hAnsi="宋体"/>
          <w:bCs/>
          <w:color w:val="auto"/>
          <w:szCs w:val="21"/>
          <w:highlight w:val="none"/>
        </w:rPr>
      </w:pPr>
      <w:r>
        <w:rPr>
          <w:rFonts w:ascii="宋体" w:hAnsi="宋体"/>
          <w:bCs/>
          <w:color w:val="auto"/>
          <w:szCs w:val="21"/>
          <w:highlight w:val="none"/>
        </w:rPr>
        <w:t>1</w:t>
      </w:r>
      <w:r>
        <w:rPr>
          <w:rFonts w:hint="eastAsia" w:ascii="宋体" w:hAnsi="宋体"/>
          <w:bCs/>
          <w:color w:val="auto"/>
          <w:szCs w:val="21"/>
          <w:highlight w:val="none"/>
        </w:rPr>
        <w:t>6.3在开标时，对在响应文件递交截止时间以前未按招标文件要求提交投标保证金的响应文件，代理机构将视其为无效响应文件而予以拒绝。</w:t>
      </w:r>
    </w:p>
    <w:p w14:paraId="4A20199E">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16.</w:t>
      </w:r>
      <w:r>
        <w:rPr>
          <w:rFonts w:ascii="宋体" w:hAnsi="宋体"/>
          <w:color w:val="auto"/>
          <w:szCs w:val="21"/>
          <w:highlight w:val="none"/>
        </w:rPr>
        <w:t>4</w:t>
      </w:r>
      <w:r>
        <w:rPr>
          <w:rFonts w:hint="eastAsia" w:ascii="宋体" w:hAnsi="宋体"/>
          <w:bCs/>
          <w:color w:val="auto"/>
          <w:szCs w:val="21"/>
          <w:highlight w:val="none"/>
        </w:rPr>
        <w:t>未中标的投标人的投标保证金，将在中标通知书发出之日起5个工作日内予以原路退还，不计利息。</w:t>
      </w:r>
    </w:p>
    <w:p w14:paraId="43463E89">
      <w:pPr>
        <w:spacing w:line="360" w:lineRule="auto"/>
        <w:ind w:firstLine="420" w:firstLineChars="200"/>
        <w:rPr>
          <w:rFonts w:ascii="宋体" w:hAnsi="宋体"/>
          <w:bCs/>
          <w:color w:val="auto"/>
          <w:szCs w:val="21"/>
          <w:highlight w:val="none"/>
        </w:rPr>
      </w:pPr>
      <w:r>
        <w:rPr>
          <w:rFonts w:hint="eastAsia" w:ascii="宋体" w:hAnsi="宋体"/>
          <w:color w:val="auto"/>
          <w:szCs w:val="21"/>
          <w:highlight w:val="none"/>
        </w:rPr>
        <w:t>16.</w:t>
      </w:r>
      <w:r>
        <w:rPr>
          <w:rFonts w:ascii="宋体" w:hAnsi="宋体"/>
          <w:color w:val="auto"/>
          <w:szCs w:val="21"/>
          <w:highlight w:val="none"/>
        </w:rPr>
        <w:t>5</w:t>
      </w:r>
      <w:r>
        <w:rPr>
          <w:rFonts w:hint="eastAsia" w:ascii="宋体" w:hAnsi="宋体"/>
          <w:bCs/>
          <w:color w:val="auto"/>
          <w:szCs w:val="21"/>
          <w:highlight w:val="none"/>
        </w:rPr>
        <w:t>下列任何情况发生时，投标保证金将不予退还：</w:t>
      </w:r>
    </w:p>
    <w:p w14:paraId="2052CE76">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（1）投标人在投标有效期内撤回其投标；</w:t>
      </w:r>
    </w:p>
    <w:p w14:paraId="62B6629D">
      <w:pPr>
        <w:spacing w:line="360" w:lineRule="auto"/>
        <w:ind w:firstLine="315" w:firstLineChars="150"/>
        <w:rPr>
          <w:rFonts w:ascii="宋体" w:hAnsi="宋体"/>
          <w:bCs/>
          <w:color w:val="auto"/>
          <w:szCs w:val="21"/>
          <w:highlight w:val="none"/>
        </w:rPr>
      </w:pPr>
      <w:r>
        <w:rPr>
          <w:rFonts w:hint="eastAsia" w:ascii="宋体" w:hAnsi="宋体"/>
          <w:bCs/>
          <w:color w:val="auto"/>
          <w:szCs w:val="21"/>
          <w:highlight w:val="none"/>
        </w:rPr>
        <w:t>（2）投标人提供的有关资料、资格条件证明文件被确认是不真实的；</w:t>
      </w:r>
    </w:p>
    <w:p w14:paraId="503C0CE1">
      <w:pPr>
        <w:spacing w:line="360" w:lineRule="auto"/>
        <w:ind w:firstLine="315" w:firstLineChars="150"/>
        <w:rPr>
          <w:rFonts w:ascii="宋体" w:hAnsi="宋体"/>
          <w:color w:val="auto"/>
          <w:szCs w:val="21"/>
          <w:highlight w:val="none"/>
        </w:rPr>
      </w:pPr>
      <w:r>
        <w:rPr>
          <w:rFonts w:hint="eastAsia" w:ascii="宋体" w:hAnsi="宋体"/>
          <w:color w:val="auto"/>
          <w:szCs w:val="21"/>
          <w:highlight w:val="none"/>
        </w:rPr>
        <w:t>（3）投标人之间被证实有串标（例如：统一哄抬价格）、欺诈行为；</w:t>
      </w:r>
    </w:p>
    <w:p w14:paraId="46ED7559">
      <w:pPr>
        <w:spacing w:line="360" w:lineRule="auto"/>
        <w:ind w:left="1" w:firstLine="312" w:firstLineChars="149"/>
        <w:rPr>
          <w:rFonts w:ascii="宋体" w:hAnsi="宋体"/>
          <w:color w:val="auto"/>
          <w:szCs w:val="21"/>
          <w:highlight w:val="none"/>
        </w:rPr>
      </w:pPr>
      <w:r>
        <w:rPr>
          <w:rFonts w:hint="eastAsia" w:ascii="宋体" w:hAnsi="宋体"/>
          <w:color w:val="auto"/>
          <w:szCs w:val="21"/>
          <w:highlight w:val="none"/>
        </w:rPr>
        <w:t>（4）投标人被证明有妨碍其他人公平竞争、损害代理机构或者其他投标人合法权益的。</w:t>
      </w:r>
    </w:p>
    <w:p w14:paraId="7B61F12C">
      <w:pPr>
        <w:spacing w:after="156" w:afterLines="50" w:line="360" w:lineRule="auto"/>
        <w:ind w:firstLine="420" w:firstLineChars="200"/>
        <w:rPr>
          <w:rFonts w:ascii="宋体" w:hAnsi="宋体"/>
          <w:color w:val="auto"/>
          <w:szCs w:val="21"/>
          <w:highlight w:val="none"/>
        </w:rPr>
      </w:pPr>
      <w:r>
        <w:rPr>
          <w:rFonts w:hint="eastAsia" w:ascii="宋体" w:hAnsi="宋体"/>
          <w:color w:val="auto"/>
          <w:szCs w:val="21"/>
          <w:highlight w:val="none"/>
        </w:rPr>
        <w:t>16.</w:t>
      </w:r>
      <w:r>
        <w:rPr>
          <w:rFonts w:ascii="宋体" w:hAnsi="宋体"/>
          <w:color w:val="auto"/>
          <w:szCs w:val="21"/>
          <w:highlight w:val="none"/>
        </w:rPr>
        <w:t>6</w:t>
      </w:r>
      <w:r>
        <w:rPr>
          <w:rFonts w:hint="eastAsia" w:ascii="宋体" w:hAnsi="宋体"/>
          <w:color w:val="auto"/>
          <w:szCs w:val="21"/>
          <w:highlight w:val="none"/>
        </w:rPr>
        <w:t>中标供应商的投标保证金自合同签订之日起5个工作日内凭代理机构的经办人签署的保证金收据退还，不计利息。</w:t>
      </w:r>
    </w:p>
    <w:p w14:paraId="3134986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17、投标有效期</w:t>
      </w:r>
      <w:bookmarkEnd w:id="72"/>
      <w:bookmarkEnd w:id="73"/>
    </w:p>
    <w:p w14:paraId="180739FA">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17.1</w:t>
      </w:r>
      <w:r>
        <w:rPr>
          <w:rFonts w:hint="eastAsia" w:ascii="宋体" w:hAnsi="宋体" w:cs="宋体"/>
          <w:bCs/>
          <w:color w:val="auto"/>
          <w:szCs w:val="21"/>
          <w:highlight w:val="none"/>
        </w:rPr>
        <w:t xml:space="preserve"> 投标有效期为代理机构规定的开标之日起</w:t>
      </w:r>
      <w:r>
        <w:rPr>
          <w:rFonts w:hint="eastAsia" w:ascii="宋体" w:hAnsi="宋体" w:cs="宋体"/>
          <w:b/>
          <w:color w:val="auto"/>
          <w:szCs w:val="21"/>
          <w:highlight w:val="none"/>
          <w:u w:val="single"/>
        </w:rPr>
        <w:t>六十（60）天</w:t>
      </w:r>
      <w:r>
        <w:rPr>
          <w:rFonts w:hint="eastAsia" w:ascii="宋体" w:hAnsi="宋体" w:cs="宋体"/>
          <w:bCs/>
          <w:color w:val="auto"/>
          <w:szCs w:val="21"/>
          <w:highlight w:val="none"/>
        </w:rPr>
        <w:t>。投标有效期比规定短的将被视为非响应性投标而予以拒绝。</w:t>
      </w:r>
    </w:p>
    <w:p w14:paraId="6D8BE9CF">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17.2</w:t>
      </w:r>
      <w:r>
        <w:rPr>
          <w:rFonts w:hint="eastAsia" w:ascii="宋体" w:hAnsi="宋体" w:cs="宋体"/>
          <w:bCs/>
          <w:color w:val="auto"/>
          <w:szCs w:val="21"/>
          <w:highlight w:val="none"/>
        </w:rPr>
        <w:t xml:space="preserve"> </w:t>
      </w:r>
      <w:r>
        <w:rPr>
          <w:rFonts w:hint="eastAsia" w:ascii="宋体" w:hAnsi="宋体"/>
          <w:bCs/>
          <w:color w:val="auto"/>
          <w:szCs w:val="21"/>
          <w:highlight w:val="none"/>
        </w:rPr>
        <w:t>在特殊情况下，代理机构于原投标有效期满之前，可向投标人提出延长投标有效期的要求。这种要求与答复均应采用书面形式。投标人可以拒绝代理机构的这一要求而放弃投标，</w:t>
      </w:r>
      <w:r>
        <w:rPr>
          <w:rFonts w:hint="eastAsia" w:ascii="宋体" w:hAnsi="宋体"/>
          <w:color w:val="auto"/>
          <w:szCs w:val="21"/>
          <w:highlight w:val="none"/>
        </w:rPr>
        <w:t>代理机构在接到投标人书面答复后，将在原投标有效期满后五日内</w:t>
      </w:r>
      <w:r>
        <w:rPr>
          <w:rFonts w:hint="eastAsia" w:ascii="宋体" w:hAnsi="宋体"/>
          <w:b/>
          <w:bCs/>
          <w:color w:val="auto"/>
          <w:szCs w:val="21"/>
          <w:highlight w:val="none"/>
        </w:rPr>
        <w:t>无息退还其投标保证金</w:t>
      </w:r>
      <w:r>
        <w:rPr>
          <w:rFonts w:hint="eastAsia" w:ascii="宋体" w:hAnsi="宋体"/>
          <w:color w:val="auto"/>
          <w:szCs w:val="21"/>
          <w:highlight w:val="none"/>
        </w:rPr>
        <w:t>；</w:t>
      </w:r>
      <w:r>
        <w:rPr>
          <w:rFonts w:hint="eastAsia" w:ascii="宋体" w:hAnsi="宋体"/>
          <w:bCs/>
          <w:color w:val="auto"/>
          <w:szCs w:val="21"/>
          <w:highlight w:val="none"/>
        </w:rPr>
        <w:t>同意延长投标有效期的投标人既不能要求也不允许修改其投标文件。本招标文件第16条有关投标保证金的规定在延长期内继续有效</w:t>
      </w:r>
      <w:r>
        <w:rPr>
          <w:rFonts w:hint="eastAsia" w:ascii="宋体" w:hAnsi="宋体"/>
          <w:color w:val="auto"/>
          <w:szCs w:val="21"/>
          <w:highlight w:val="none"/>
        </w:rPr>
        <w:t>，同时受投标有效期约束的所有权利与义务均延长至新的有效期</w:t>
      </w:r>
      <w:r>
        <w:rPr>
          <w:rFonts w:hint="eastAsia" w:ascii="宋体" w:hAnsi="宋体"/>
          <w:bCs/>
          <w:color w:val="auto"/>
          <w:szCs w:val="21"/>
          <w:highlight w:val="none"/>
        </w:rPr>
        <w:t>。</w:t>
      </w:r>
    </w:p>
    <w:p w14:paraId="1CD61740">
      <w:pPr>
        <w:spacing w:line="360" w:lineRule="auto"/>
        <w:ind w:firstLine="422" w:firstLineChars="200"/>
        <w:rPr>
          <w:rFonts w:ascii="宋体" w:hAnsi="宋体" w:cs="宋体"/>
          <w:b/>
          <w:color w:val="auto"/>
          <w:szCs w:val="21"/>
          <w:highlight w:val="none"/>
        </w:rPr>
      </w:pPr>
      <w:bookmarkStart w:id="74" w:name="_Toc14577361"/>
      <w:bookmarkStart w:id="75" w:name="_Toc49090512"/>
      <w:r>
        <w:rPr>
          <w:rFonts w:hint="eastAsia" w:ascii="宋体" w:hAnsi="宋体" w:cs="宋体"/>
          <w:b/>
          <w:color w:val="auto"/>
          <w:szCs w:val="21"/>
          <w:highlight w:val="none"/>
        </w:rPr>
        <w:t>18、投标文件份数和签署</w:t>
      </w:r>
      <w:bookmarkEnd w:id="74"/>
      <w:bookmarkEnd w:id="75"/>
    </w:p>
    <w:p w14:paraId="6AF43792">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18.1</w:t>
      </w:r>
      <w:r>
        <w:rPr>
          <w:rFonts w:hint="eastAsia" w:ascii="宋体" w:hAnsi="宋体" w:cs="宋体"/>
          <w:bCs/>
          <w:color w:val="auto"/>
          <w:szCs w:val="21"/>
          <w:highlight w:val="none"/>
        </w:rPr>
        <w:t>投标人应严格按照招标公告和招标文件要求的份数准备投标文件，每份投标文件须清楚地标明“正本”或“副本”字样。一旦正本和副本不符，以正本为准。</w:t>
      </w:r>
    </w:p>
    <w:p w14:paraId="519FD875">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18.2投标文件正本中，除招标文件规定的可提交复印件外，其他文件均须提交原件。文字材料需打印或用不褪色墨水书写。投标文件的正本须经法定代表人或授权代表签署和加盖投标人公章。本采购文件所表述（指定）的公章是指法定名称章，不包括合同专用章、业务专用章等印章。</w:t>
      </w:r>
    </w:p>
    <w:p w14:paraId="4DF342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w:t>
      </w:r>
      <w:r>
        <w:rPr>
          <w:rFonts w:hint="eastAsia" w:ascii="宋体" w:hAnsi="宋体" w:cs="宋体"/>
          <w:bCs/>
          <w:color w:val="auto"/>
          <w:szCs w:val="21"/>
          <w:highlight w:val="none"/>
        </w:rPr>
        <w:t xml:space="preserve"> 除投标人对错处做必要修改外，投标文件不得行间插字、涂改或增删。如有修改错漏处，必须由法定代表人或授权代表签字或盖章。</w:t>
      </w:r>
    </w:p>
    <w:p w14:paraId="5CBF6F30">
      <w:pPr>
        <w:spacing w:line="360" w:lineRule="auto"/>
        <w:ind w:firstLine="422" w:firstLineChars="200"/>
        <w:rPr>
          <w:rFonts w:ascii="宋体" w:hAnsi="宋体" w:cs="宋体"/>
          <w:b/>
          <w:color w:val="auto"/>
          <w:szCs w:val="21"/>
          <w:highlight w:val="none"/>
        </w:rPr>
      </w:pPr>
      <w:bookmarkStart w:id="76" w:name="_Toc513029225"/>
      <w:bookmarkStart w:id="77" w:name="_Toc462564084"/>
      <w:bookmarkStart w:id="78" w:name="_Toc20823297"/>
      <w:bookmarkStart w:id="79" w:name="_Toc16938541"/>
      <w:r>
        <w:rPr>
          <w:rFonts w:hint="eastAsia" w:ascii="宋体" w:hAnsi="宋体" w:cs="宋体"/>
          <w:b/>
          <w:color w:val="auto"/>
          <w:szCs w:val="21"/>
          <w:highlight w:val="none"/>
        </w:rPr>
        <w:t>19、投标文件的密封和标记</w:t>
      </w:r>
      <w:bookmarkEnd w:id="76"/>
      <w:bookmarkEnd w:id="77"/>
      <w:bookmarkEnd w:id="78"/>
      <w:bookmarkEnd w:id="79"/>
    </w:p>
    <w:p w14:paraId="69CBCE7C">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19.1</w:t>
      </w:r>
      <w:r>
        <w:rPr>
          <w:rFonts w:hint="eastAsia" w:ascii="宋体" w:hAnsi="宋体" w:cs="宋体"/>
          <w:bCs/>
          <w:color w:val="auto"/>
          <w:szCs w:val="21"/>
          <w:highlight w:val="none"/>
        </w:rPr>
        <w:t>投标人应将投标文件正本、所有副本密封，不论投标人中标与否，投标文件均不退回。</w:t>
      </w:r>
    </w:p>
    <w:p w14:paraId="5C609184">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19.2</w:t>
      </w:r>
      <w:r>
        <w:rPr>
          <w:rFonts w:hint="eastAsia" w:ascii="宋体" w:hAnsi="宋体" w:cs="宋体"/>
          <w:bCs/>
          <w:color w:val="auto"/>
          <w:szCs w:val="21"/>
          <w:highlight w:val="none"/>
        </w:rPr>
        <w:t xml:space="preserve"> 密封的投标文件应：</w:t>
      </w:r>
    </w:p>
    <w:p w14:paraId="22E4D28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19.2.1 注明投标人名称，如因标注不清而产生的后果由投标人自负。按招标公告中注明的地址送达；</w:t>
      </w:r>
    </w:p>
    <w:p w14:paraId="3BD140A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19.2.2注明投标项目名称、</w:t>
      </w:r>
      <w:r>
        <w:rPr>
          <w:rFonts w:hint="eastAsia" w:ascii="宋体" w:hAnsi="宋体" w:cs="宋体"/>
          <w:bCs/>
          <w:color w:val="auto"/>
          <w:szCs w:val="21"/>
          <w:highlight w:val="none"/>
          <w:lang w:val="en-US" w:eastAsia="zh-CN"/>
        </w:rPr>
        <w:t>项目</w:t>
      </w:r>
      <w:r>
        <w:rPr>
          <w:rFonts w:hint="eastAsia" w:ascii="宋体" w:hAnsi="宋体" w:cs="宋体"/>
          <w:bCs/>
          <w:color w:val="auto"/>
          <w:szCs w:val="21"/>
          <w:highlight w:val="none"/>
        </w:rPr>
        <w:t>编号。</w:t>
      </w:r>
    </w:p>
    <w:p w14:paraId="454CECBC">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19.2.3</w:t>
      </w:r>
      <w:r>
        <w:rPr>
          <w:rFonts w:hint="eastAsia" w:ascii="宋体" w:hAnsi="宋体" w:cs="宋体"/>
          <w:bCs/>
          <w:color w:val="auto"/>
          <w:szCs w:val="21"/>
          <w:highlight w:val="none"/>
        </w:rPr>
        <w:t>未按要求密封和加写标记，代理机构对误投或过早启封概不负责。对由此造成提前开封的投标文件，代理机构将予以拒绝，作无效投标处理。</w:t>
      </w:r>
    </w:p>
    <w:p w14:paraId="73EA480B">
      <w:pPr>
        <w:spacing w:line="360" w:lineRule="auto"/>
        <w:ind w:firstLine="422" w:firstLineChars="200"/>
        <w:rPr>
          <w:rFonts w:ascii="宋体" w:hAnsi="宋体" w:cs="宋体"/>
          <w:b/>
          <w:color w:val="auto"/>
          <w:szCs w:val="21"/>
          <w:highlight w:val="none"/>
        </w:rPr>
      </w:pPr>
      <w:bookmarkStart w:id="80" w:name="_Toc513029226"/>
      <w:bookmarkStart w:id="81" w:name="_Toc20823298"/>
      <w:bookmarkStart w:id="82" w:name="_Toc16938542"/>
      <w:r>
        <w:rPr>
          <w:rFonts w:hint="eastAsia" w:ascii="宋体" w:hAnsi="宋体" w:cs="宋体"/>
          <w:b/>
          <w:color w:val="auto"/>
          <w:szCs w:val="21"/>
          <w:highlight w:val="none"/>
        </w:rPr>
        <w:t>20、投标截止日期</w:t>
      </w:r>
      <w:bookmarkEnd w:id="80"/>
      <w:bookmarkEnd w:id="81"/>
      <w:bookmarkEnd w:id="82"/>
    </w:p>
    <w:p w14:paraId="7D02008F">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20.1</w:t>
      </w:r>
      <w:r>
        <w:rPr>
          <w:rFonts w:hint="eastAsia" w:ascii="宋体" w:hAnsi="宋体" w:cs="宋体"/>
          <w:bCs/>
          <w:color w:val="auto"/>
          <w:szCs w:val="21"/>
          <w:highlight w:val="none"/>
        </w:rPr>
        <w:t xml:space="preserve"> 代理机构收到投标文件的时间不得迟于招标公告中规定的截止时间。</w:t>
      </w:r>
    </w:p>
    <w:p w14:paraId="4F6F404B">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20.2</w:t>
      </w:r>
      <w:r>
        <w:rPr>
          <w:rFonts w:hint="eastAsia" w:ascii="宋体" w:hAnsi="宋体" w:cs="宋体"/>
          <w:bCs/>
          <w:color w:val="auto"/>
          <w:szCs w:val="21"/>
          <w:highlight w:val="none"/>
        </w:rPr>
        <w:t xml:space="preserve"> 代理机构可以通过修改招标文件酌情延长投标截止日期，在此情况下，投标人的所有权利和义务以及投标人受制的截止日期均应以延长后新的截止日期为准。</w:t>
      </w:r>
    </w:p>
    <w:p w14:paraId="06B756A4">
      <w:pPr>
        <w:spacing w:line="360" w:lineRule="auto"/>
        <w:ind w:firstLine="422" w:firstLineChars="200"/>
        <w:rPr>
          <w:rFonts w:ascii="宋体" w:hAnsi="宋体" w:cs="宋体"/>
          <w:b/>
          <w:color w:val="auto"/>
          <w:szCs w:val="21"/>
          <w:highlight w:val="none"/>
        </w:rPr>
      </w:pPr>
      <w:bookmarkStart w:id="83" w:name="_Toc513029227"/>
      <w:bookmarkStart w:id="84" w:name="_Toc20823299"/>
      <w:bookmarkStart w:id="85" w:name="_Toc16938543"/>
      <w:r>
        <w:rPr>
          <w:rFonts w:hint="eastAsia" w:ascii="宋体" w:hAnsi="宋体" w:cs="宋体"/>
          <w:b/>
          <w:color w:val="auto"/>
          <w:szCs w:val="21"/>
          <w:highlight w:val="none"/>
        </w:rPr>
        <w:t>21、迟交的投标文件</w:t>
      </w:r>
      <w:bookmarkEnd w:id="83"/>
      <w:bookmarkEnd w:id="84"/>
      <w:bookmarkEnd w:id="85"/>
    </w:p>
    <w:p w14:paraId="4C24A07F">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21.1</w:t>
      </w:r>
      <w:r>
        <w:rPr>
          <w:rFonts w:hint="eastAsia" w:ascii="宋体" w:hAnsi="宋体" w:cs="宋体"/>
          <w:bCs/>
          <w:color w:val="auto"/>
          <w:szCs w:val="21"/>
          <w:highlight w:val="none"/>
        </w:rPr>
        <w:t xml:space="preserve"> 代理机构拒绝接收在其规定的投标截止时间后递交的任何投标文件。</w:t>
      </w:r>
    </w:p>
    <w:p w14:paraId="0C5222EF">
      <w:pPr>
        <w:spacing w:line="360" w:lineRule="auto"/>
        <w:ind w:firstLine="422" w:firstLineChars="200"/>
        <w:rPr>
          <w:rFonts w:ascii="宋体" w:hAnsi="宋体" w:cs="宋体"/>
          <w:b/>
          <w:color w:val="auto"/>
          <w:szCs w:val="21"/>
          <w:highlight w:val="none"/>
        </w:rPr>
      </w:pPr>
      <w:bookmarkStart w:id="86" w:name="_Toc16938544"/>
      <w:bookmarkStart w:id="87" w:name="_Toc513029228"/>
      <w:bookmarkStart w:id="88" w:name="_Toc20823300"/>
      <w:r>
        <w:rPr>
          <w:rFonts w:hint="eastAsia" w:ascii="宋体" w:hAnsi="宋体" w:cs="宋体"/>
          <w:b/>
          <w:color w:val="auto"/>
          <w:szCs w:val="21"/>
          <w:highlight w:val="none"/>
        </w:rPr>
        <w:t>22、投标文件的修改和撤回</w:t>
      </w:r>
      <w:bookmarkEnd w:id="86"/>
      <w:bookmarkEnd w:id="87"/>
      <w:bookmarkEnd w:id="88"/>
    </w:p>
    <w:p w14:paraId="29C989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w:t>
      </w:r>
      <w:r>
        <w:rPr>
          <w:rFonts w:hint="eastAsia" w:ascii="宋体" w:hAnsi="宋体" w:cs="宋体"/>
          <w:bCs/>
          <w:color w:val="auto"/>
          <w:szCs w:val="21"/>
          <w:highlight w:val="none"/>
        </w:rPr>
        <w:t xml:space="preserve"> 投标人在递交投标文件后，可以修改或撤回其投标文件，但这种修改和撤回，必须在规定的投标截止时间前，以书面形式</w:t>
      </w:r>
      <w:r>
        <w:rPr>
          <w:rFonts w:hint="eastAsia" w:ascii="宋体" w:hAnsi="宋体" w:cs="宋体"/>
          <w:color w:val="auto"/>
          <w:szCs w:val="21"/>
          <w:highlight w:val="none"/>
        </w:rPr>
        <w:t>通知代理机构，否则，代理机构将拒绝。</w:t>
      </w:r>
    </w:p>
    <w:p w14:paraId="362AB8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22.2</w:t>
      </w:r>
      <w:r>
        <w:rPr>
          <w:rFonts w:hint="eastAsia" w:ascii="宋体" w:hAnsi="宋体" w:cs="宋体"/>
          <w:bCs/>
          <w:color w:val="auto"/>
          <w:szCs w:val="21"/>
          <w:highlight w:val="none"/>
        </w:rPr>
        <w:t xml:space="preserve"> 投标人的修改或撤回文件应按规定进行编制、密封、标记和发送，并应在封套上加注“修改”或“撤回”字样。</w:t>
      </w:r>
      <w:r>
        <w:rPr>
          <w:rFonts w:hint="eastAsia" w:ascii="宋体" w:hAnsi="宋体" w:cs="宋体"/>
          <w:color w:val="auto"/>
          <w:szCs w:val="21"/>
          <w:highlight w:val="none"/>
        </w:rPr>
        <w:t>上述补充或修改若涉及投标报价，必须注明“最后唯一报价”字样，否则将视为有选择的报价。修改文件必须在投标截止时间前送达代理机构。</w:t>
      </w:r>
    </w:p>
    <w:p w14:paraId="1295388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22.3</w:t>
      </w:r>
      <w:r>
        <w:rPr>
          <w:rFonts w:hint="eastAsia" w:ascii="宋体" w:hAnsi="宋体" w:cs="宋体"/>
          <w:bCs/>
          <w:color w:val="auto"/>
          <w:szCs w:val="21"/>
          <w:highlight w:val="none"/>
        </w:rPr>
        <w:t xml:space="preserve"> 在投标截止时间之后，投标人不得对其投标文件作任何修改。</w:t>
      </w:r>
    </w:p>
    <w:p w14:paraId="48B4B3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w:t>
      </w:r>
      <w:r>
        <w:rPr>
          <w:rFonts w:hint="eastAsia" w:ascii="宋体" w:hAnsi="宋体" w:cs="宋体"/>
          <w:bCs/>
          <w:color w:val="auto"/>
          <w:szCs w:val="21"/>
          <w:highlight w:val="none"/>
        </w:rPr>
        <w:t xml:space="preserve"> 在投标截止时间至招标文件中规定的投标有效期满之间的这段时间内，投标人不得撤回其投标。</w:t>
      </w:r>
    </w:p>
    <w:p w14:paraId="7EEA5D6D">
      <w:pPr>
        <w:spacing w:line="360" w:lineRule="auto"/>
        <w:ind w:firstLine="422" w:firstLineChars="200"/>
        <w:rPr>
          <w:rFonts w:ascii="宋体" w:hAnsi="宋体" w:cs="宋体"/>
          <w:b/>
          <w:color w:val="auto"/>
          <w:szCs w:val="21"/>
          <w:highlight w:val="none"/>
        </w:rPr>
      </w:pPr>
      <w:bookmarkStart w:id="89" w:name="_Toc16938546"/>
      <w:bookmarkStart w:id="90" w:name="_Toc20823302"/>
      <w:bookmarkStart w:id="91" w:name="_Toc513029230"/>
      <w:r>
        <w:rPr>
          <w:rFonts w:hint="eastAsia" w:ascii="宋体" w:hAnsi="宋体" w:cs="宋体"/>
          <w:b/>
          <w:color w:val="auto"/>
          <w:szCs w:val="21"/>
          <w:highlight w:val="none"/>
        </w:rPr>
        <w:t>23、开标</w:t>
      </w:r>
      <w:bookmarkEnd w:id="89"/>
      <w:bookmarkEnd w:id="90"/>
      <w:bookmarkEnd w:id="91"/>
    </w:p>
    <w:p w14:paraId="34DE58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23.1</w:t>
      </w:r>
      <w:r>
        <w:rPr>
          <w:rFonts w:hint="eastAsia" w:ascii="宋体" w:hAnsi="宋体" w:cs="宋体"/>
          <w:bCs/>
          <w:color w:val="auto"/>
          <w:szCs w:val="21"/>
          <w:highlight w:val="none"/>
        </w:rPr>
        <w:t xml:space="preserve"> 代理机构将在招标公告中规定的时间和地点组织公开开标</w:t>
      </w:r>
      <w:r>
        <w:rPr>
          <w:rFonts w:hint="eastAsia" w:ascii="宋体" w:hAnsi="宋体" w:cs="宋体"/>
          <w:color w:val="auto"/>
          <w:szCs w:val="21"/>
          <w:highlight w:val="none"/>
        </w:rPr>
        <w:t>。投标人应委派携带有效证件的代表准时参加，参加开标的代表需签名以证明其出席。投标人未参加开标的，视同认可开标结果。</w:t>
      </w:r>
    </w:p>
    <w:p w14:paraId="786890FF">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23.2</w:t>
      </w:r>
      <w:r>
        <w:rPr>
          <w:rFonts w:hint="eastAsia" w:ascii="宋体" w:hAnsi="宋体" w:cs="宋体"/>
          <w:color w:val="auto"/>
          <w:szCs w:val="21"/>
          <w:highlight w:val="none"/>
        </w:rPr>
        <w:t>开标仪式由代理机构组织，采购人代表、监委、投标人代表等参加。</w:t>
      </w:r>
    </w:p>
    <w:p w14:paraId="0C95250C">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23.3</w:t>
      </w:r>
      <w:r>
        <w:rPr>
          <w:rFonts w:hint="eastAsia" w:ascii="宋体" w:hAnsi="宋体" w:cs="宋体"/>
          <w:bCs/>
          <w:color w:val="auto"/>
          <w:szCs w:val="21"/>
          <w:highlight w:val="none"/>
        </w:rPr>
        <w:t>按照规定同意撤回的投标文件将不予开封。</w:t>
      </w:r>
    </w:p>
    <w:p w14:paraId="329E0B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23.4 开标时请投标人推选的代表查验投标文件密封情况，投标登记薄上作纪录无误后，代理机构当众拆封宣读每份投标文件中“开标一览表”的内容，未列入开标一览表的内容一律不在开标时宣读。开标时未宣读的投标报价信息，不得在评标时采用。</w:t>
      </w:r>
    </w:p>
    <w:p w14:paraId="71297F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23.5 代理机构将指定专人负责开标记录并存档备查，各投标人需仔细核对开标纪录相关内容并签字确认。</w:t>
      </w:r>
    </w:p>
    <w:p w14:paraId="2E6110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23.6 投标人在报价时不允许采用选择性报价，否则将被视为无效投标。</w:t>
      </w:r>
    </w:p>
    <w:p w14:paraId="556923F6">
      <w:pPr>
        <w:spacing w:line="360" w:lineRule="auto"/>
        <w:ind w:firstLine="422" w:firstLineChars="200"/>
        <w:rPr>
          <w:rFonts w:ascii="宋体" w:hAnsi="宋体" w:cs="宋体"/>
          <w:b/>
          <w:color w:val="auto"/>
          <w:szCs w:val="21"/>
          <w:highlight w:val="none"/>
        </w:rPr>
      </w:pPr>
      <w:bookmarkStart w:id="92" w:name="_Toc16938547"/>
      <w:bookmarkStart w:id="93" w:name="_Toc20823303"/>
      <w:bookmarkStart w:id="94" w:name="_Toc513029231"/>
      <w:r>
        <w:rPr>
          <w:rFonts w:hint="eastAsia" w:ascii="宋体" w:hAnsi="宋体" w:cs="宋体"/>
          <w:b/>
          <w:color w:val="auto"/>
          <w:szCs w:val="21"/>
          <w:highlight w:val="none"/>
        </w:rPr>
        <w:t>24、评标委员会</w:t>
      </w:r>
    </w:p>
    <w:p w14:paraId="432B722E">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24.1开标后，代理机构将立即组织评标委员会（以下简称评委会）进行评标。</w:t>
      </w:r>
    </w:p>
    <w:p w14:paraId="6B6136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 评委会由有关技术、经济等方面的专家组成，且人员构成符合政府采购有关规定。</w:t>
      </w:r>
    </w:p>
    <w:p w14:paraId="27E253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24.3评委会独立工作，负责评审所有投标文件并确定中标候选人。</w:t>
      </w:r>
    </w:p>
    <w:p w14:paraId="5FBD4217">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25、评标过程的保密与公正</w:t>
      </w:r>
    </w:p>
    <w:bookmarkEnd w:id="92"/>
    <w:bookmarkEnd w:id="93"/>
    <w:bookmarkEnd w:id="94"/>
    <w:p w14:paraId="07976A8B">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25.1</w:t>
      </w:r>
      <w:r>
        <w:rPr>
          <w:rFonts w:hint="eastAsia" w:ascii="宋体" w:hAnsi="宋体" w:cs="宋体"/>
          <w:bCs/>
          <w:color w:val="auto"/>
          <w:szCs w:val="21"/>
          <w:highlight w:val="none"/>
        </w:rPr>
        <w:t>公开开标后，直至签订合同之日止，凡是与审查、澄清、评价和比较投标的有关资料以及授标建议等，采购人、评委、代理机构工作人员均不得向投标人或与评标无关的其他人员透露。</w:t>
      </w:r>
    </w:p>
    <w:p w14:paraId="170DF2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25.2在评标过程中，投标人不得以任何行为影响评标过程，否则其投标文件将被作为无效投标文件。</w:t>
      </w:r>
    </w:p>
    <w:p w14:paraId="6804B0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25.3 在评标期间，代理机构将设专门工作人员与投标人联系。</w:t>
      </w:r>
    </w:p>
    <w:p w14:paraId="24D7DD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25.4 代理机构和评委会不向落标的投标人解释未中标原因，也不公布评标过程中的相关细节。</w:t>
      </w:r>
    </w:p>
    <w:p w14:paraId="125C247F">
      <w:pPr>
        <w:spacing w:line="360" w:lineRule="auto"/>
        <w:ind w:firstLine="422" w:firstLineChars="200"/>
        <w:rPr>
          <w:rFonts w:ascii="宋体" w:hAnsi="宋体" w:cs="宋体"/>
          <w:b/>
          <w:color w:val="auto"/>
          <w:szCs w:val="21"/>
          <w:highlight w:val="none"/>
        </w:rPr>
      </w:pPr>
      <w:bookmarkStart w:id="95" w:name="_Toc16938548"/>
      <w:bookmarkStart w:id="96" w:name="_Toc20823304"/>
      <w:bookmarkStart w:id="97" w:name="_Toc513029232"/>
      <w:r>
        <w:rPr>
          <w:rFonts w:hint="eastAsia" w:ascii="宋体" w:hAnsi="宋体" w:cs="宋体"/>
          <w:b/>
          <w:color w:val="auto"/>
          <w:szCs w:val="21"/>
          <w:highlight w:val="none"/>
        </w:rPr>
        <w:t>26、投标的澄清</w:t>
      </w:r>
      <w:bookmarkEnd w:id="95"/>
      <w:bookmarkEnd w:id="96"/>
      <w:bookmarkEnd w:id="97"/>
    </w:p>
    <w:p w14:paraId="52CE4E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26.1评标期间，为有助于对投标文件的审查、评价和比较，评委会有权以书面形式要求投标人对其投标文件进行澄清，但并非对每个投标人都作澄清要求。</w:t>
      </w:r>
    </w:p>
    <w:p w14:paraId="17A534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接到评委会澄清要求的投标人应派人按评委会通知的时间和地点做出书面澄清，书面澄清的内容须由投标人法定代表人或授权代表签署，并作为投标文件的补充部分，但投标的价格和实质性的内容不得做任何更改。</w:t>
      </w:r>
    </w:p>
    <w:p w14:paraId="2D0B21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接到评委会澄清要求的投标人如未按规定做出澄清，其风险由投标人自行承担。</w:t>
      </w:r>
    </w:p>
    <w:p w14:paraId="34382631">
      <w:pPr>
        <w:spacing w:line="360" w:lineRule="auto"/>
        <w:ind w:firstLine="422" w:firstLineChars="200"/>
        <w:rPr>
          <w:rFonts w:ascii="宋体" w:hAnsi="宋体" w:cs="宋体"/>
          <w:b/>
          <w:color w:val="auto"/>
          <w:szCs w:val="21"/>
          <w:highlight w:val="none"/>
        </w:rPr>
      </w:pPr>
      <w:bookmarkStart w:id="98" w:name="_Toc513029233"/>
      <w:bookmarkStart w:id="99" w:name="_Toc16938549"/>
      <w:bookmarkStart w:id="100" w:name="_Toc20823305"/>
      <w:r>
        <w:rPr>
          <w:rFonts w:hint="eastAsia" w:ascii="宋体" w:hAnsi="宋体" w:cs="宋体"/>
          <w:b/>
          <w:color w:val="auto"/>
          <w:szCs w:val="21"/>
          <w:highlight w:val="none"/>
        </w:rPr>
        <w:t>27、对投标文件的初审</w:t>
      </w:r>
      <w:bookmarkEnd w:id="98"/>
      <w:bookmarkEnd w:id="99"/>
      <w:bookmarkEnd w:id="100"/>
    </w:p>
    <w:p w14:paraId="3AA75816">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27.1</w:t>
      </w:r>
      <w:r>
        <w:rPr>
          <w:rFonts w:hint="eastAsia" w:ascii="宋体" w:hAnsi="宋体" w:cs="宋体"/>
          <w:bCs/>
          <w:color w:val="auto"/>
          <w:szCs w:val="21"/>
          <w:highlight w:val="none"/>
        </w:rPr>
        <w:t>投标文件初审分为资格检查和符合性检查。</w:t>
      </w:r>
    </w:p>
    <w:p w14:paraId="5B58AAAD">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27.1.1</w:t>
      </w:r>
      <w:r>
        <w:rPr>
          <w:rFonts w:hint="eastAsia" w:ascii="宋体" w:hAnsi="宋体" w:cs="宋体"/>
          <w:bCs/>
          <w:color w:val="auto"/>
          <w:szCs w:val="21"/>
          <w:highlight w:val="none"/>
        </w:rPr>
        <w:t>资格审查：依据法律法规和招标文件的规定，由采购人对投标文件中的资信证明文件进行审查。并将审查结论以书面形式向评委会反馈。</w:t>
      </w:r>
    </w:p>
    <w:p w14:paraId="68F6B71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在进行资格性审查的同时，将在“信用中国”网站（www.creditchina.gov.cn）、“中国政府采购网”(www.ccgp.gov.cn)对投标人是否被列入失信被执行人、重大税收违法案件当事人名单、政府采购严重失信行为记录名单情况进行查询，以确定投标人是否具备投标资格。查询结果将以网页打印的形式留存并归档。</w:t>
      </w:r>
    </w:p>
    <w:p w14:paraId="3A0C630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若接受联合体投标的项目，两个以上的自然人、法人或者其他组织组成一个联合体，以一个供应商的身份共同参加政府采购活动的,联合体成员存在不良信用记录的，视同联合体存在不良信用记录。</w:t>
      </w:r>
    </w:p>
    <w:p w14:paraId="51D2BD6D">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27.1.2</w:t>
      </w:r>
      <w:r>
        <w:rPr>
          <w:rFonts w:hint="eastAsia" w:ascii="宋体" w:hAnsi="宋体" w:cs="宋体"/>
          <w:bCs/>
          <w:color w:val="auto"/>
          <w:szCs w:val="21"/>
          <w:highlight w:val="none"/>
        </w:rPr>
        <w:t>符合性检查：依据招标文件的规定，由评委会从投标文件的有效性、完整性和对招标文件的响应程度进行审查，以确定是否对招标文件的实质性要求作出响应。</w:t>
      </w:r>
    </w:p>
    <w:p w14:paraId="553B94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27.2在详细评标之前，评委会将首先审查每份投标文件是否实质性响应了招标文件的要求。实质性响应的投标应该是与招标文件要求的全部条款、条件和规格相符，没有重大偏离或保留的投标。</w:t>
      </w:r>
    </w:p>
    <w:p w14:paraId="1A06A52A">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所谓重大偏离或保留是指与招标文件规定的实质性要求存在负偏离，或者在实质上与招标文件不一致，而且限制了合同中买方（采购人）和见证方（代理机构）的权利或投标人的义务，纠正这些偏离或保留将会对其他实质性响应要求的投标人的竞争地位产生不公正的影响。是否属于重大偏离由评委会按照少数服从多数的原则作出结论。</w:t>
      </w:r>
      <w:r>
        <w:rPr>
          <w:rFonts w:hint="eastAsia" w:ascii="宋体" w:hAnsi="宋体" w:cs="宋体"/>
          <w:bCs/>
          <w:color w:val="auto"/>
          <w:szCs w:val="21"/>
          <w:highlight w:val="none"/>
        </w:rPr>
        <w:t>评委决定投标文件的响应性只根据投标文件本身的内容，而不寻求外部的证据。</w:t>
      </w:r>
    </w:p>
    <w:p w14:paraId="7FE5E031">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27.3</w:t>
      </w:r>
      <w:r>
        <w:rPr>
          <w:rFonts w:hint="eastAsia" w:ascii="宋体" w:hAnsi="宋体" w:cs="宋体"/>
          <w:bCs/>
          <w:color w:val="auto"/>
          <w:szCs w:val="21"/>
          <w:highlight w:val="none"/>
        </w:rPr>
        <w:t>如果投标文件实质上没有响应招标文件的要求，评委会将予以拒绝，投标人不得通过修改或撤销不合要求的偏离或保留而使其投标成为实质性响应的投标。</w:t>
      </w:r>
    </w:p>
    <w:p w14:paraId="2D46391A">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27.4</w:t>
      </w:r>
      <w:r>
        <w:rPr>
          <w:rFonts w:hint="eastAsia" w:ascii="宋体" w:hAnsi="宋体" w:cs="宋体"/>
          <w:bCs/>
          <w:color w:val="auto"/>
          <w:szCs w:val="21"/>
          <w:highlight w:val="none"/>
        </w:rPr>
        <w:t>评委会将对确定为实质性响应的投标进行进一步审核，看其是否有计算上或累加上的算术错误，对开标一览表内容修正错误的原则如下：</w:t>
      </w:r>
    </w:p>
    <w:p w14:paraId="78D4302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（1）投标文件中开标一览表内容与投标文件中相应内容不一致的，以开标一览表为准。</w:t>
      </w:r>
    </w:p>
    <w:p w14:paraId="2C07A55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（2）投标文件、“开标一览表”中报价的大写金额与小写金额不一致的，以大写金额为准。</w:t>
      </w:r>
    </w:p>
    <w:p w14:paraId="754C542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（3）单价金额小数点或者百分比有明显错位的，以开标一览表的总价为准，并修改单价。</w:t>
      </w:r>
    </w:p>
    <w:p w14:paraId="3D73236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3447483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同时出现两种以上错误的，按照前款规定的顺序修正。对不同文字文本投标文件的解释发生异议的，以中文文本为准。</w:t>
      </w:r>
    </w:p>
    <w:p w14:paraId="6EF80F71">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27.5</w:t>
      </w:r>
      <w:r>
        <w:rPr>
          <w:rFonts w:hint="eastAsia" w:ascii="宋体" w:hAnsi="宋体" w:cs="宋体"/>
          <w:bCs/>
          <w:color w:val="auto"/>
          <w:szCs w:val="21"/>
          <w:highlight w:val="none"/>
        </w:rPr>
        <w:t>评委会将按上述修正错误的方法调整投标文件中的投标报价，调整后的价格应对投标人具有约束力。如果投标人不接受修正后的价格，则其投标将被拒绝，其投标保证金不予退还。</w:t>
      </w:r>
    </w:p>
    <w:p w14:paraId="34AA18C5">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27.6</w:t>
      </w:r>
      <w:r>
        <w:rPr>
          <w:rFonts w:hint="eastAsia" w:ascii="宋体" w:hAnsi="宋体" w:cs="宋体"/>
          <w:bCs/>
          <w:color w:val="auto"/>
          <w:szCs w:val="21"/>
          <w:highlight w:val="none"/>
        </w:rPr>
        <w:t>评委会将允许修正投标文件中不构成重大偏离的、微小的、非正规的、不一致的或不规则的地方，但这些修改不能影响任何投标人相应的名次排列，否则不允许修正。</w:t>
      </w:r>
    </w:p>
    <w:p w14:paraId="1AB78C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27.7采用最低评标价法的采购项目，提供相同品牌产品的不同投标人参加同一合同项下投标的，以其中通过资格审查、符合性审查且报价最低的参加评标；报价相同的，由评标委员会按照招标文件规定的方式确定招标文件未规定的通过随机抽取的方式确定一个参加评标的投标人，其他投标无效。</w:t>
      </w:r>
    </w:p>
    <w:p w14:paraId="519E85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评标委员会根据招标文件规定的方式确定，招标文件未规定的采取随机抽取的方式确定一个中标候选人，其他同品牌投标人不作为中标候选人。</w:t>
      </w:r>
    </w:p>
    <w:p w14:paraId="3A07B4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非单一产品采购项目，招标文件中将载明其中的核心产品。多家投标人提供的核心产品品牌相同的，按前两款规定处理。</w:t>
      </w:r>
    </w:p>
    <w:p w14:paraId="272B27C4">
      <w:pPr>
        <w:spacing w:line="360" w:lineRule="auto"/>
        <w:ind w:firstLine="422" w:firstLineChars="200"/>
        <w:rPr>
          <w:rFonts w:ascii="宋体" w:hAnsi="宋体" w:cs="宋体"/>
          <w:b/>
          <w:color w:val="auto"/>
          <w:szCs w:val="21"/>
          <w:highlight w:val="none"/>
        </w:rPr>
      </w:pPr>
      <w:bookmarkStart w:id="101" w:name="_Toc513029234"/>
      <w:bookmarkStart w:id="102" w:name="_Toc16938550"/>
      <w:bookmarkStart w:id="103" w:name="_Toc20823306"/>
      <w:r>
        <w:rPr>
          <w:rFonts w:hint="eastAsia" w:ascii="宋体" w:hAnsi="宋体" w:cs="宋体"/>
          <w:b/>
          <w:color w:val="auto"/>
          <w:szCs w:val="21"/>
          <w:highlight w:val="none"/>
        </w:rPr>
        <w:t>28、</w:t>
      </w:r>
      <w:bookmarkEnd w:id="101"/>
      <w:bookmarkEnd w:id="102"/>
      <w:bookmarkEnd w:id="103"/>
      <w:r>
        <w:rPr>
          <w:rFonts w:hint="eastAsia" w:ascii="宋体" w:hAnsi="宋体" w:cs="宋体"/>
          <w:b/>
          <w:color w:val="auto"/>
          <w:szCs w:val="21"/>
          <w:highlight w:val="none"/>
        </w:rPr>
        <w:t>无效投标、废标及投标人不足三家的处理</w:t>
      </w:r>
    </w:p>
    <w:p w14:paraId="5264271E">
      <w:pPr>
        <w:spacing w:line="360" w:lineRule="auto"/>
        <w:ind w:firstLine="420" w:firstLineChars="200"/>
        <w:rPr>
          <w:rFonts w:ascii="宋体" w:hAnsi="宋体" w:cs="宋体"/>
          <w:bCs/>
          <w:color w:val="auto"/>
          <w:szCs w:val="21"/>
          <w:highlight w:val="none"/>
        </w:rPr>
      </w:pPr>
      <w:bookmarkStart w:id="104" w:name="_Toc16938551"/>
      <w:bookmarkStart w:id="105" w:name="_Toc20823307"/>
      <w:bookmarkStart w:id="106" w:name="_Toc513029235"/>
      <w:r>
        <w:rPr>
          <w:rFonts w:hint="eastAsia" w:ascii="宋体" w:hAnsi="宋体" w:cs="宋体"/>
          <w:bCs/>
          <w:color w:val="auto"/>
          <w:szCs w:val="21"/>
          <w:highlight w:val="none"/>
        </w:rPr>
        <w:t>28.1无效投标条款</w:t>
      </w:r>
    </w:p>
    <w:p w14:paraId="67432B55">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28.1.1未按要求交纳投标保证金的；</w:t>
      </w:r>
    </w:p>
    <w:p w14:paraId="39BBDC9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w:t>
      </w:r>
      <w:r>
        <w:rPr>
          <w:rFonts w:ascii="宋体" w:hAnsi="宋体" w:cs="宋体"/>
          <w:bCs/>
          <w:color w:val="auto"/>
          <w:szCs w:val="21"/>
          <w:highlight w:val="none"/>
        </w:rPr>
        <w:t>2</w:t>
      </w:r>
      <w:r>
        <w:rPr>
          <w:rFonts w:hint="eastAsia" w:ascii="宋体" w:hAnsi="宋体" w:cs="宋体"/>
          <w:bCs/>
          <w:color w:val="auto"/>
          <w:szCs w:val="21"/>
          <w:highlight w:val="none"/>
        </w:rPr>
        <w:t>未按照招标文件规定要求密封、签署、盖章的；</w:t>
      </w:r>
    </w:p>
    <w:p w14:paraId="14DDD4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w:t>
      </w:r>
      <w:r>
        <w:rPr>
          <w:rFonts w:ascii="宋体" w:hAnsi="宋体" w:cs="宋体"/>
          <w:bCs/>
          <w:color w:val="auto"/>
          <w:szCs w:val="21"/>
          <w:highlight w:val="none"/>
        </w:rPr>
        <w:t>3</w:t>
      </w:r>
      <w:r>
        <w:rPr>
          <w:rFonts w:hint="eastAsia" w:ascii="宋体" w:hAnsi="宋体" w:cs="宋体"/>
          <w:bCs/>
          <w:color w:val="auto"/>
          <w:szCs w:val="21"/>
          <w:highlight w:val="none"/>
        </w:rPr>
        <w:t>投标人在报价时采用选择性报价；</w:t>
      </w:r>
    </w:p>
    <w:p w14:paraId="7577A3C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w:t>
      </w:r>
      <w:r>
        <w:rPr>
          <w:rFonts w:ascii="宋体" w:hAnsi="宋体" w:cs="宋体"/>
          <w:bCs/>
          <w:color w:val="auto"/>
          <w:szCs w:val="21"/>
          <w:highlight w:val="none"/>
        </w:rPr>
        <w:t>4</w:t>
      </w:r>
      <w:r>
        <w:rPr>
          <w:rFonts w:hint="eastAsia" w:ascii="宋体" w:hAnsi="宋体" w:cs="宋体"/>
          <w:bCs/>
          <w:color w:val="auto"/>
          <w:szCs w:val="21"/>
          <w:highlight w:val="none"/>
        </w:rPr>
        <w:t>投标人不具备招标文件中规定资格要求的；</w:t>
      </w:r>
    </w:p>
    <w:p w14:paraId="7871941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w:t>
      </w:r>
      <w:r>
        <w:rPr>
          <w:rFonts w:ascii="宋体" w:hAnsi="宋体" w:cs="宋体"/>
          <w:bCs/>
          <w:color w:val="auto"/>
          <w:szCs w:val="21"/>
          <w:highlight w:val="none"/>
        </w:rPr>
        <w:t>5</w:t>
      </w:r>
      <w:r>
        <w:rPr>
          <w:rFonts w:hint="eastAsia" w:ascii="宋体" w:hAnsi="宋体" w:cs="宋体"/>
          <w:bCs/>
          <w:color w:val="auto"/>
          <w:szCs w:val="21"/>
          <w:highlight w:val="none"/>
        </w:rPr>
        <w:t>投标人的报价超过了采购预算或最高限价的；</w:t>
      </w:r>
    </w:p>
    <w:p w14:paraId="729FC047">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w:t>
      </w:r>
      <w:r>
        <w:rPr>
          <w:rFonts w:ascii="宋体" w:hAnsi="宋体" w:cs="宋体"/>
          <w:bCs/>
          <w:color w:val="auto"/>
          <w:szCs w:val="21"/>
          <w:highlight w:val="none"/>
        </w:rPr>
        <w:t>6</w:t>
      </w:r>
      <w:r>
        <w:rPr>
          <w:rFonts w:hint="eastAsia" w:ascii="宋体" w:hAnsi="宋体" w:cs="宋体"/>
          <w:bCs/>
          <w:color w:val="auto"/>
          <w:szCs w:val="21"/>
          <w:highlight w:val="none"/>
        </w:rPr>
        <w:t>未通过符合性检查的；</w:t>
      </w:r>
    </w:p>
    <w:p w14:paraId="3C4648ED">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28.1.7不符合招标文件中规定的其他实质性要求和条件的</w:t>
      </w:r>
      <w:r>
        <w:rPr>
          <w:rFonts w:hint="eastAsia" w:ascii="宋体" w:hAnsi="宋体" w:cs="宋体"/>
          <w:bCs/>
          <w:i/>
          <w:color w:val="auto"/>
          <w:szCs w:val="21"/>
          <w:highlight w:val="none"/>
          <w:u w:val="single"/>
        </w:rPr>
        <w:t>（本招标文件中斜体且有下划线部分为实质性要求和条件，包括但不限于该范围）</w:t>
      </w:r>
      <w:r>
        <w:rPr>
          <w:rFonts w:hint="eastAsia" w:ascii="宋体" w:hAnsi="宋体" w:cs="宋体"/>
          <w:bCs/>
          <w:color w:val="auto"/>
          <w:szCs w:val="21"/>
          <w:highlight w:val="none"/>
          <w:u w:val="single"/>
        </w:rPr>
        <w:t xml:space="preserve">； </w:t>
      </w:r>
    </w:p>
    <w:p w14:paraId="6E431B3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28.1.8投标人被 “信用中国”网站（www.creditchina.gov.cn）、“中国政府采购网”(www.ccgp.gov.cn)列入失信被执行人或重大税收违法案件当事人名单或政府采购严重失信行为记录名单。若接受联合体的项目，两个以上的自然人、法人或者其他组织组成一个联合体，以一个供应商的身份共同参加政府采购活动的，联合体成员存在不良信用记录的，视同联合体存在不良应用记录。</w:t>
      </w:r>
    </w:p>
    <w:p w14:paraId="67B8B3A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28.1.9  投标文件含有采购人不能接受的附加条件的；</w:t>
      </w:r>
    </w:p>
    <w:p w14:paraId="1294B18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28.1.10 评标委员会认为投标人的报价明显低于其他通过符合性审查投标人的报价，有可能影响产品质量或者不能诚信履约的，要求其在评标现场合理的时间内提供书面说明，必要时提交相关证明材料；投标人不能证明其报价合理性的，评标委员会应当将其作为无效投标处理。</w:t>
      </w:r>
    </w:p>
    <w:p w14:paraId="7F91922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28.1.11其他法律、法规及本招标文件规定的属无效投标的情形。</w:t>
      </w:r>
    </w:p>
    <w:p w14:paraId="19257E48">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28.2废标条款</w:t>
      </w:r>
      <w:r>
        <w:rPr>
          <w:rFonts w:hint="eastAsia" w:ascii="宋体" w:hAnsi="宋体" w:cs="宋体"/>
          <w:bCs/>
          <w:color w:val="auto"/>
          <w:szCs w:val="21"/>
          <w:highlight w:val="none"/>
          <w:lang w:eastAsia="zh-CN"/>
        </w:rPr>
        <w:t>：</w:t>
      </w:r>
    </w:p>
    <w:p w14:paraId="13AF2F03">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28.2.1符合专业条件的供应商或者对招标文件作实质响应的供应商不足三家的；</w:t>
      </w:r>
    </w:p>
    <w:p w14:paraId="438373A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28.2.2投标人的报价均超过采购预算或最高限价；</w:t>
      </w:r>
    </w:p>
    <w:p w14:paraId="7293C21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28.2.3出现影响采购公正的违法、违规行为的；</w:t>
      </w:r>
    </w:p>
    <w:p w14:paraId="64F06C8A">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28.2.4因重大变故，采购任务取消的；</w:t>
      </w:r>
    </w:p>
    <w:p w14:paraId="7B02E80F">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28.2.5评标委员会认定招标文件存在歧义、重大缺陷导致评审工作无法进行。</w:t>
      </w:r>
    </w:p>
    <w:p w14:paraId="51B3A938">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28.3投标截止时间结束后参加投标的投标人不足三家或者通过资格审查或符合性审查的投标人不足三家的，除采购任务取消情形外，按照以下方式处理： </w:t>
      </w:r>
    </w:p>
    <w:p w14:paraId="1265073D">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28.3.1招标文件存在不合理条款或者招标程序不符合规定的，由采购人、代理机构改正后依法重新招标；</w:t>
      </w:r>
    </w:p>
    <w:p w14:paraId="1B89EB20">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28.3.2 招标文件没有不合理条款、招标程序符合规定，需要采用其他采购方式采购的，采购人应当依法报财政部门批准。</w:t>
      </w:r>
    </w:p>
    <w:bookmarkEnd w:id="104"/>
    <w:bookmarkEnd w:id="105"/>
    <w:bookmarkEnd w:id="106"/>
    <w:p w14:paraId="407552D5">
      <w:pPr>
        <w:spacing w:line="360" w:lineRule="auto"/>
        <w:ind w:firstLine="422" w:firstLineChars="200"/>
        <w:rPr>
          <w:rFonts w:hint="eastAsia" w:ascii="宋体" w:hAnsi="宋体" w:cs="宋体"/>
          <w:b/>
          <w:bCs/>
          <w:color w:val="auto"/>
          <w:szCs w:val="21"/>
          <w:highlight w:val="none"/>
        </w:rPr>
      </w:pPr>
      <w:bookmarkStart w:id="107" w:name="_Toc513029238"/>
      <w:bookmarkStart w:id="108" w:name="_Toc16938554"/>
      <w:bookmarkStart w:id="109" w:name="_Toc20823310"/>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.4 异常低价投标（响应）</w:t>
      </w:r>
    </w:p>
    <w:p w14:paraId="1B6720E9">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 xml:space="preserve">.4.1.投标（响应）报价低于全部通过符合性审查供应商投标（响应）报价平均值50%的，即投标（响应）报价&lt;全部通过符合性审查供应商投标（响应）报价平均值×50%； </w:t>
      </w:r>
    </w:p>
    <w:p w14:paraId="48333DD1">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 xml:space="preserve">.4.2.投标（响应）报价低于通过符合性审查的次低报价供应商投标（响应）报价50%的，即投标（响应）报价&lt;通过符合性审查的次低报价供应商投标（响应）报价×50%； </w:t>
      </w:r>
    </w:p>
    <w:p w14:paraId="23B6988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.4.3.投标（响应）报价低于采购项目最高限价45%的，即投标（响应）报价&lt;采购项目最高限价×45%；</w:t>
      </w:r>
    </w:p>
    <w:p w14:paraId="1B04A2C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.4.4.评审委员会基于专业判断，认为供应商报价过低，有可能影响产品质量或者不能诚信履约的其他情形。</w:t>
      </w:r>
    </w:p>
    <w:p w14:paraId="42AB4C1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采购人可以结合具体项目实际情况，提高上述第1项至第3项中启动异常低价投标（响应）审查的数值标准，最高不超过65%。</w:t>
      </w:r>
    </w:p>
    <w:p w14:paraId="1736C19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相关法律法规对供应商报价有规定的，从其规定。 </w:t>
      </w:r>
    </w:p>
    <w:p w14:paraId="72FCD4A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28</w:t>
      </w:r>
      <w:r>
        <w:rPr>
          <w:rFonts w:hint="eastAsia" w:ascii="宋体" w:hAnsi="宋体" w:cs="宋体"/>
          <w:b/>
          <w:bCs/>
          <w:color w:val="auto"/>
          <w:szCs w:val="21"/>
          <w:highlight w:val="none"/>
        </w:rPr>
        <w:t>.4.5.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9C233F9">
      <w:pPr>
        <w:spacing w:line="360" w:lineRule="auto"/>
        <w:ind w:firstLine="422" w:firstLineChars="200"/>
        <w:rPr>
          <w:rFonts w:hint="eastAsia" w:ascii="宋体" w:hAnsi="宋体" w:cs="宋体"/>
          <w:b w:val="0"/>
          <w:bCs w:val="0"/>
          <w:color w:val="auto"/>
          <w:szCs w:val="21"/>
          <w:highlight w:val="none"/>
        </w:rPr>
      </w:pPr>
      <w:r>
        <w:rPr>
          <w:rFonts w:hint="eastAsia" w:ascii="宋体" w:hAnsi="宋体" w:cs="宋体"/>
          <w:b/>
          <w:bCs/>
          <w:color w:val="auto"/>
          <w:szCs w:val="21"/>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76AB5B">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29、</w:t>
      </w:r>
      <w:bookmarkEnd w:id="107"/>
      <w:r>
        <w:rPr>
          <w:rFonts w:hint="eastAsia" w:ascii="宋体" w:hAnsi="宋体" w:cs="宋体"/>
          <w:b/>
          <w:bCs/>
          <w:color w:val="auto"/>
          <w:szCs w:val="21"/>
          <w:highlight w:val="none"/>
        </w:rPr>
        <w:t>确定</w:t>
      </w:r>
      <w:bookmarkEnd w:id="108"/>
      <w:bookmarkEnd w:id="109"/>
      <w:r>
        <w:rPr>
          <w:rFonts w:hint="eastAsia" w:ascii="宋体" w:hAnsi="宋体" w:cs="宋体"/>
          <w:b/>
          <w:bCs/>
          <w:color w:val="auto"/>
          <w:szCs w:val="21"/>
          <w:highlight w:val="none"/>
        </w:rPr>
        <w:t>中标单位</w:t>
      </w:r>
    </w:p>
    <w:p w14:paraId="71A006E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29.1评委会根据本招标文件规定评标方法与评标标准向采购人推荐出中标候选人。</w:t>
      </w:r>
    </w:p>
    <w:p w14:paraId="479A1AB1">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29.2 采购人应根据评委会推荐的中标候选人确定中标人。</w:t>
      </w:r>
    </w:p>
    <w:p w14:paraId="39DB3E59">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29.3</w:t>
      </w:r>
      <w:r>
        <w:rPr>
          <w:rFonts w:hint="eastAsia" w:ascii="宋体" w:hAnsi="宋体" w:cs="宋体"/>
          <w:color w:val="auto"/>
          <w:szCs w:val="21"/>
          <w:highlight w:val="none"/>
        </w:rPr>
        <w:t>代理机构将在</w:t>
      </w:r>
      <w:r>
        <w:rPr>
          <w:rFonts w:hint="eastAsia" w:ascii="宋体" w:hAnsi="宋体" w:cs="宋体"/>
          <w:color w:val="auto"/>
          <w:szCs w:val="21"/>
          <w:highlight w:val="none"/>
          <w:lang w:eastAsia="zh-CN"/>
        </w:rPr>
        <w:t>“扬州大学附属医院”“扬州大学网”和“江苏招标采购服务平台”</w:t>
      </w:r>
      <w:r>
        <w:rPr>
          <w:rFonts w:hint="eastAsia" w:ascii="宋体" w:hAnsi="宋体" w:cs="宋体"/>
          <w:color w:val="auto"/>
          <w:szCs w:val="21"/>
          <w:highlight w:val="none"/>
        </w:rPr>
        <w:t>发布中标公告，公告期限为1个工作日。</w:t>
      </w:r>
    </w:p>
    <w:p w14:paraId="5F8A2C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29.4若有充分证据证明，中标人出现下列情况之一的，一经查实，将被取消中标资格：</w:t>
      </w:r>
    </w:p>
    <w:p w14:paraId="41C644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29.4.1提供虚假材料谋取中标的；</w:t>
      </w:r>
    </w:p>
    <w:p w14:paraId="2F3E79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29.4.2向采购人、代理机构行贿或者提供其他不正当利益的；</w:t>
      </w:r>
    </w:p>
    <w:p w14:paraId="1CBF29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29.4.3恶意竞争，投标总报价明显低于其自身合理成本且又无法提供证明的；</w:t>
      </w:r>
    </w:p>
    <w:p w14:paraId="44CAC8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29.4.4属于本文件规定的无效条件，但在评标过程中又未被评委会发现的；</w:t>
      </w:r>
    </w:p>
    <w:p w14:paraId="7300976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29.4.5与采购人或者其他投标人串通投标的；</w:t>
      </w:r>
    </w:p>
    <w:p w14:paraId="116DC2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29.4.6采取不正当手段诋毁、排挤其他供应商的；</w:t>
      </w:r>
    </w:p>
    <w:p w14:paraId="7625C8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29.4.7不符合法律、法规的规定的。</w:t>
      </w:r>
      <w:bookmarkStart w:id="110" w:name="_Toc200451960"/>
    </w:p>
    <w:p w14:paraId="69D4BB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 有下列情形之一的，视为投标人串通投标，投标无效：</w:t>
      </w:r>
    </w:p>
    <w:p w14:paraId="1915CB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29.5.1不同投标人的投标文件由同一单位或者个人编制。</w:t>
      </w:r>
    </w:p>
    <w:p w14:paraId="0DA87F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29.5.2不同投标人委托同一单位或者个人办理投标事宜。</w:t>
      </w:r>
    </w:p>
    <w:p w14:paraId="51D9CF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29.5.3 不同投标人的投标文件载明的项目管理成员或者联系人员为同一人。</w:t>
      </w:r>
    </w:p>
    <w:p w14:paraId="32BD60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29.5.4不同投标人的投标文件异常一致或者投标报价呈规律性差异。</w:t>
      </w:r>
    </w:p>
    <w:p w14:paraId="0F06A8F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29.5.5不同投标人的投标文件相互混装。</w:t>
      </w:r>
    </w:p>
    <w:p w14:paraId="15CCF4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29.5.6不同投标人的投标保证金从同一单位或者个人的账户转出。</w:t>
      </w:r>
    </w:p>
    <w:p w14:paraId="28EC1986">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30、质疑处理</w:t>
      </w:r>
      <w:bookmarkEnd w:id="110"/>
    </w:p>
    <w:p w14:paraId="1D783D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投标人认为采购文件、采购过程和中标结果使自己的权益受到损害的，可以在知道或应知其权益受到损害之日起七个工作日内，以书面形式（原件送达）向代理机构或采购人提出质疑。上述应知其权益受到损害之日，是指：</w:t>
      </w:r>
    </w:p>
    <w:p w14:paraId="447F66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30.1.1对可以质疑的采购文件提出质疑的，为收到采购文件之日或者采购文件公告期限届满之日；</w:t>
      </w:r>
    </w:p>
    <w:p w14:paraId="7876E0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30.1.2对采购过程提出质疑的，为各采购程序环节结束之日；</w:t>
      </w:r>
    </w:p>
    <w:p w14:paraId="18EC95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30.1.3对中标结果提出质疑的，为中标结果公告期限届满之日。</w:t>
      </w:r>
    </w:p>
    <w:p w14:paraId="0E206905">
      <w:pPr>
        <w:spacing w:line="360" w:lineRule="auto"/>
        <w:ind w:firstLine="420" w:firstLineChars="200"/>
        <w:rPr>
          <w:rFonts w:ascii="宋体" w:hAnsi="宋体" w:cs="宋体"/>
          <w:snapToGrid w:val="0"/>
          <w:color w:val="auto"/>
          <w:szCs w:val="21"/>
          <w:highlight w:val="none"/>
        </w:rPr>
      </w:pPr>
      <w:r>
        <w:rPr>
          <w:rFonts w:hint="eastAsia" w:ascii="宋体" w:hAnsi="宋体" w:cs="宋体"/>
          <w:color w:val="auto"/>
          <w:szCs w:val="21"/>
          <w:highlight w:val="none"/>
        </w:rPr>
        <w:t>30.2</w:t>
      </w:r>
      <w:r>
        <w:rPr>
          <w:rFonts w:hint="eastAsia" w:ascii="宋体" w:hAnsi="宋体"/>
          <w:color w:val="auto"/>
          <w:szCs w:val="21"/>
          <w:highlight w:val="none"/>
        </w:rPr>
        <w:t>供应商应在法定质疑期内一次性提出针对同一采购程序环节的质疑。</w:t>
      </w:r>
      <w:r>
        <w:rPr>
          <w:rFonts w:hint="eastAsia" w:ascii="宋体" w:hAnsi="宋体"/>
          <w:color w:val="auto"/>
          <w:highlight w:val="none"/>
        </w:rPr>
        <w:t>供应商如在法定期限内对同一采购程序环节提出多次质疑的，代理机构或采购人将只对供应商第一次质疑作出答复。</w:t>
      </w:r>
      <w:r>
        <w:rPr>
          <w:rFonts w:hint="eastAsia" w:ascii="宋体" w:hAnsi="宋体" w:cs="宋体"/>
          <w:color w:val="auto"/>
          <w:szCs w:val="21"/>
          <w:highlight w:val="none"/>
        </w:rPr>
        <w:t>质疑必须按《政府采购法》、《政府采购法实施条例》及《</w:t>
      </w:r>
      <w:r>
        <w:rPr>
          <w:rFonts w:hint="eastAsia" w:ascii="宋体" w:hAnsi="宋体"/>
          <w:color w:val="auto"/>
          <w:szCs w:val="21"/>
          <w:highlight w:val="none"/>
        </w:rPr>
        <w:t>政府采购质疑和投诉办法</w:t>
      </w:r>
      <w:r>
        <w:rPr>
          <w:rFonts w:hint="eastAsia" w:ascii="宋体" w:hAnsi="宋体" w:cs="宋体"/>
          <w:color w:val="auto"/>
          <w:szCs w:val="21"/>
          <w:highlight w:val="none"/>
        </w:rPr>
        <w:t>》等相关规定提交，未按上述要求提交的质疑函（含传真、电子邮件等）代理机构或采购人有权不</w:t>
      </w:r>
      <w:r>
        <w:rPr>
          <w:rFonts w:hint="eastAsia" w:ascii="宋体" w:hAnsi="宋体" w:cs="宋体"/>
          <w:color w:val="auto"/>
          <w:spacing w:val="-20"/>
          <w:szCs w:val="21"/>
          <w:highlight w:val="none"/>
        </w:rPr>
        <w:t>予受理。</w:t>
      </w:r>
    </w:p>
    <w:p w14:paraId="290D8F4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30.3未参加投标活动的供应商或在投标活动中自身权益未受到损害的供应商所提出的质疑不予受理。</w:t>
      </w:r>
    </w:p>
    <w:p w14:paraId="3638C8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30.4质疑申请应当包括下列内容：</w:t>
      </w:r>
    </w:p>
    <w:p w14:paraId="3055BA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30.4.1质疑投标人的名称、地址、邮编、联系人、联系电话；</w:t>
      </w:r>
    </w:p>
    <w:p w14:paraId="7FB6A1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30.4.2具体的质疑事项及明确的请求；</w:t>
      </w:r>
    </w:p>
    <w:p w14:paraId="7A3262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30.4.3认为自己合法权益受到损害或可能受到损害的相关证据材料；</w:t>
      </w:r>
    </w:p>
    <w:p w14:paraId="0BF47D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30.4.4提起质疑的日期；</w:t>
      </w:r>
    </w:p>
    <w:p w14:paraId="251813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30.4.5质疑申请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14:paraId="0696BE2A">
      <w:pPr>
        <w:spacing w:line="360" w:lineRule="auto"/>
        <w:ind w:firstLine="420" w:firstLineChars="200"/>
        <w:rPr>
          <w:rFonts w:ascii="宋体" w:hAnsi="宋体" w:cs="宋体"/>
          <w:snapToGrid w:val="0"/>
          <w:color w:val="auto"/>
          <w:szCs w:val="21"/>
          <w:highlight w:val="none"/>
        </w:rPr>
      </w:pPr>
      <w:r>
        <w:rPr>
          <w:rFonts w:hint="eastAsia" w:ascii="宋体" w:hAnsi="宋体" w:cs="宋体"/>
          <w:snapToGrid w:val="0"/>
          <w:color w:val="auto"/>
          <w:szCs w:val="21"/>
          <w:highlight w:val="none"/>
        </w:rPr>
        <w:t>《质疑申请书》及《授权委托书》格式见网址：http://zfcg.yangzhou.gov.cn/</w:t>
      </w:r>
    </w:p>
    <w:p w14:paraId="3ADF9E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30.5代理机构收到质疑申请后，将对质疑的形式和内容进行审查，如质疑内容、格式不符合规定，代理机构将告知质疑人进行补正。</w:t>
      </w:r>
    </w:p>
    <w:p w14:paraId="243F9E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30.6质疑人应当在法定质疑期限内进行补正并重新提交质疑函，拒不补正或者在法定期限内未重新提交质疑函的，为无效质疑，代理机构有权不予受理。</w:t>
      </w:r>
    </w:p>
    <w:p w14:paraId="5E36A3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30.7对于内容、格式符合规定的质疑函，代理机构应当在收到投标供应商的书面质疑后七个工作日内作出答复，并以书面形式通知质疑供应商和其他有关供应商，但答复的内容不得涉及商业秘密。</w:t>
      </w:r>
    </w:p>
    <w:p w14:paraId="661C09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 诚实信用</w:t>
      </w:r>
    </w:p>
    <w:p w14:paraId="247E3F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30.8.1 投标人之间不得相互串通投标报价，不得妨碍其他投标人的公平竞争，不得损害采购人和其他投标人的合法权益。</w:t>
      </w:r>
    </w:p>
    <w:p w14:paraId="3462B1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30.8.2 投标人不得以向代理机构工作人员、评标委员会成员行贿或者采取其他不正当手段谋取中标。经查实投标人有此行为的，政府采购管理部门将投标人列入不良行为记录名单，按照《政府采购法》有关规定处理。</w:t>
      </w:r>
    </w:p>
    <w:p w14:paraId="7C9A8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30.8.3 投标人提出书面质疑必须有理、有据，不得虚假质疑和恶意质疑，并对质疑内容的真实性承担责任。一经查实，代理机构有权依据政府采购的有关规定，报请政府采购监管部门对该投标人进行相应的行政处罚并在网站上予以公示。如果投标人或者其他利害关系人通过捏造事实、伪造证明材料等方式提出质疑，干扰政府采购活动正常进行的，属于严重不良行为，代理机构将提请政府采购监管部门将其列入不良行为记录名单，并依法予以处罚。</w:t>
      </w:r>
    </w:p>
    <w:p w14:paraId="1CAAD7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30.8.4 投标人不得虚假承诺，否则，按照提供虚假材料谋取中标成交处理。</w:t>
      </w:r>
    </w:p>
    <w:p w14:paraId="13C663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30.8．5 投标人应自觉遵守开标、评标纪律，扰乱开标评标现场秩序的，属于失信行为，根据《江苏省政府采购供应商监督管理暂行办法》，失信行为将被记入投标人诚信档案。</w:t>
      </w:r>
    </w:p>
    <w:p w14:paraId="7181B1F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31、中标通知书</w:t>
      </w:r>
    </w:p>
    <w:p w14:paraId="26E35D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31.l中标结果确定后，代理机构将向中标供应商发出中标通知书。</w:t>
      </w:r>
    </w:p>
    <w:p w14:paraId="095AE3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 中标供应商收到中标通知书后，应签字确认中标通知书已收到。若无回复，则公告后视同中标供应商已经知悉并同意接受。</w:t>
      </w:r>
    </w:p>
    <w:p w14:paraId="6CE780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31.3中标通知书将是合同的一个组成部分。对采购人和中标供应商均具有法律效力。中标通知书发出后，采购人改变中标结果的，或者中标供应商放弃中标项目的，应当依法承担法律责任。</w:t>
      </w:r>
    </w:p>
    <w:p w14:paraId="542630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31.4所有投标文件都将作为档案保存，不论中标与否，代理机构均不退回。</w:t>
      </w:r>
    </w:p>
    <w:p w14:paraId="69194FE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32、 签订合同</w:t>
      </w:r>
    </w:p>
    <w:p w14:paraId="1FC027F4">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32</w:t>
      </w:r>
      <w:r>
        <w:rPr>
          <w:rFonts w:hint="eastAsia" w:ascii="宋体" w:hAnsi="宋体" w:cs="宋体"/>
          <w:color w:val="auto"/>
          <w:szCs w:val="21"/>
          <w:highlight w:val="none"/>
        </w:rPr>
        <w:t>.l中标供应商应按中标通知书规定的时间、地点,按照招标文件确定的事项与采购人签订政府采购合同，且不得迟于中标通知书发出之日起</w:t>
      </w:r>
      <w:r>
        <w:rPr>
          <w:rFonts w:hint="eastAsia" w:ascii="宋体" w:hAnsi="宋体" w:cs="宋体"/>
          <w:color w:val="auto"/>
          <w:szCs w:val="21"/>
          <w:highlight w:val="none"/>
          <w:lang w:val="en-US" w:eastAsia="zh-CN"/>
        </w:rPr>
        <w:t>三十</w:t>
      </w:r>
      <w:r>
        <w:rPr>
          <w:rFonts w:hint="eastAsia" w:ascii="宋体" w:hAnsi="宋体" w:cs="宋体"/>
          <w:color w:val="auto"/>
          <w:szCs w:val="21"/>
          <w:highlight w:val="none"/>
        </w:rPr>
        <w:t>日，由此给采购人造成损失的，中标供应商应承担赔偿责任。</w:t>
      </w:r>
    </w:p>
    <w:p w14:paraId="70163E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32.2招标文件、中标供应商的投标文件及招标过程中有关澄清、承诺文件均应作为合同附件。</w:t>
      </w:r>
    </w:p>
    <w:p w14:paraId="2A763C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签订合同后，</w:t>
      </w:r>
      <w:r>
        <w:rPr>
          <w:rFonts w:hint="eastAsia" w:ascii="宋体" w:hAnsi="宋体"/>
          <w:i/>
          <w:color w:val="auto"/>
          <w:szCs w:val="21"/>
          <w:highlight w:val="none"/>
          <w:u w:val="single"/>
        </w:rPr>
        <w:t>中标供应商不得将货物及其他相关服务进行转包</w:t>
      </w:r>
      <w:r>
        <w:rPr>
          <w:rFonts w:hint="eastAsia" w:ascii="宋体" w:hAnsi="宋体" w:cs="宋体"/>
          <w:color w:val="auto"/>
          <w:szCs w:val="21"/>
          <w:highlight w:val="none"/>
        </w:rPr>
        <w:t>。未经采购人同意，中标供应商也不得采用分包的形式履行合同，否则采购人有权终止合同</w:t>
      </w:r>
      <w:r>
        <w:rPr>
          <w:rFonts w:hint="eastAsia" w:ascii="宋体" w:hAnsi="宋体"/>
          <w:color w:val="auto"/>
          <w:szCs w:val="21"/>
          <w:highlight w:val="none"/>
        </w:rPr>
        <w:t>，中标供应商的履约保证金将不予退还</w:t>
      </w:r>
      <w:r>
        <w:rPr>
          <w:rFonts w:hint="eastAsia" w:ascii="宋体" w:hAnsi="宋体" w:cs="宋体"/>
          <w:color w:val="auto"/>
          <w:szCs w:val="21"/>
          <w:highlight w:val="none"/>
        </w:rPr>
        <w:t>。转包或分包造成采购人损失或致使合同履行中发生违约现象的，中标供应商应承担赔偿责任。</w:t>
      </w:r>
    </w:p>
    <w:p w14:paraId="2FDCD9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32.4采购人不得向中标人提出任何不合理的要求作为签订合同的条件，不得与中标人私下订立背离合同实质性内容的协议。所签订的合同不得对招标文件确定事项和中标人投标文件作实质性修改。</w:t>
      </w:r>
    </w:p>
    <w:p w14:paraId="16931BBD">
      <w:pPr>
        <w:spacing w:before="0" w:after="0" w:line="360" w:lineRule="auto"/>
        <w:ind w:firstLine="420" w:firstLineChars="200"/>
        <w:outlineLvl w:val="9"/>
        <w:rPr>
          <w:rFonts w:ascii="Times New Roman" w:hAnsi="Times New Roman" w:eastAsia="宋体"/>
          <w:b w:val="0"/>
          <w:color w:val="auto"/>
          <w:sz w:val="21"/>
          <w:szCs w:val="21"/>
          <w:highlight w:val="yellow"/>
        </w:rPr>
      </w:pPr>
      <w:r>
        <w:rPr>
          <w:rFonts w:ascii="Times New Roman" w:hAnsi="Times New Roman" w:eastAsia="宋体"/>
          <w:color w:val="auto"/>
          <w:sz w:val="21"/>
          <w:szCs w:val="21"/>
          <w:highlight w:val="yellow"/>
        </w:rPr>
        <w:t>3</w:t>
      </w:r>
      <w:r>
        <w:rPr>
          <w:rFonts w:hint="eastAsia" w:ascii="Times New Roman" w:hAnsi="Times New Roman" w:eastAsia="宋体"/>
          <w:color w:val="auto"/>
          <w:sz w:val="21"/>
          <w:szCs w:val="21"/>
          <w:highlight w:val="yellow"/>
          <w:lang w:val="en-US" w:eastAsia="zh-CN"/>
        </w:rPr>
        <w:t>3</w:t>
      </w:r>
      <w:r>
        <w:rPr>
          <w:rFonts w:ascii="Times New Roman" w:hAnsi="Times New Roman" w:eastAsia="宋体"/>
          <w:color w:val="auto"/>
          <w:sz w:val="21"/>
          <w:szCs w:val="21"/>
          <w:highlight w:val="yellow"/>
        </w:rPr>
        <w:t>、履约保证金</w:t>
      </w:r>
    </w:p>
    <w:p w14:paraId="3254B6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 xml:space="preserve">.1 </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交纳人民币</w:t>
      </w:r>
      <w:r>
        <w:rPr>
          <w:rFonts w:hint="eastAsia" w:ascii="宋体" w:hAnsi="宋体" w:cs="宋体"/>
          <w:color w:val="auto"/>
          <w:szCs w:val="21"/>
          <w:highlight w:val="none"/>
          <w:u w:val="single"/>
        </w:rPr>
        <w:t>中标价的10%</w:t>
      </w:r>
      <w:r>
        <w:rPr>
          <w:rFonts w:hint="eastAsia" w:ascii="宋体" w:hAnsi="宋体" w:cs="宋体"/>
          <w:color w:val="auto"/>
          <w:szCs w:val="21"/>
          <w:highlight w:val="none"/>
        </w:rPr>
        <w:t>_作为本合同的履约保证金。</w:t>
      </w:r>
    </w:p>
    <w:p w14:paraId="26DA981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履约保证金用以约束</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在合同履行中的行为，弥补合同执行中由于自身行为可能给</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带来的各种损失。</w:t>
      </w:r>
    </w:p>
    <w:p w14:paraId="0A23CE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.2合同履行结束后，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应及时退还交纳的履约保证金。</w:t>
      </w:r>
    </w:p>
    <w:p w14:paraId="780DDD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.2.1履约保证金退还方式：履约保证金在合作期满，</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已履行双方所有约定后30个工作日内退还，不计利息。</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凭</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人签署的项目验收单或项目验收报告、履约保证金收据原件，前往</w:t>
      </w:r>
      <w:r>
        <w:rPr>
          <w:rFonts w:hint="eastAsia" w:ascii="宋体" w:hAnsi="宋体" w:cs="宋体"/>
          <w:color w:val="auto"/>
          <w:szCs w:val="21"/>
          <w:highlight w:val="none"/>
          <w:lang w:val="en-US" w:eastAsia="zh-CN"/>
        </w:rPr>
        <w:t>采购人处</w:t>
      </w:r>
      <w:r>
        <w:rPr>
          <w:rFonts w:hint="eastAsia" w:ascii="宋体" w:hAnsi="宋体" w:cs="宋体"/>
          <w:color w:val="auto"/>
          <w:szCs w:val="21"/>
          <w:highlight w:val="none"/>
        </w:rPr>
        <w:t>办理保证金退还手续。</w:t>
      </w:r>
    </w:p>
    <w:p w14:paraId="41D0101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.2.2履约保证金退还时间：履约保证金在合作期满，</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已履行双方所有约定后30个工作日内退还，不计利息。</w:t>
      </w:r>
    </w:p>
    <w:p w14:paraId="2FAFAA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.2.3履约保证金退还条件：</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凭</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人签署的项目验收单或项目验收报告、履约保证金收据原件，前往</w:t>
      </w:r>
      <w:r>
        <w:rPr>
          <w:rFonts w:hint="eastAsia" w:ascii="宋体" w:hAnsi="宋体" w:cs="宋体"/>
          <w:color w:val="auto"/>
          <w:szCs w:val="21"/>
          <w:highlight w:val="none"/>
          <w:lang w:val="en-US" w:eastAsia="zh-CN"/>
        </w:rPr>
        <w:t>采购人处</w:t>
      </w:r>
      <w:r>
        <w:rPr>
          <w:rFonts w:hint="eastAsia" w:ascii="宋体" w:hAnsi="宋体" w:cs="宋体"/>
          <w:color w:val="auto"/>
          <w:szCs w:val="21"/>
          <w:highlight w:val="none"/>
        </w:rPr>
        <w:t>办理保证金退还手续。</w:t>
      </w:r>
    </w:p>
    <w:p w14:paraId="3B0FEF1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33</w:t>
      </w:r>
      <w:r>
        <w:rPr>
          <w:rFonts w:hint="eastAsia" w:ascii="宋体" w:hAnsi="宋体" w:cs="宋体"/>
          <w:color w:val="auto"/>
          <w:szCs w:val="21"/>
          <w:highlight w:val="none"/>
        </w:rPr>
        <w:t>.2.4履约保证金不予退还的情形：</w:t>
      </w:r>
    </w:p>
    <w:p w14:paraId="7C0667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（1）签订合同后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发现</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在响应文件中提供虚假材料的；</w:t>
      </w:r>
    </w:p>
    <w:p w14:paraId="25A13D9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与</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、其他供应商或者采购代理机构恶意串通的；</w:t>
      </w:r>
    </w:p>
    <w:p w14:paraId="18CA7CA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（3）将成交项目转让给他人，或者在响应文件中未说明，且未经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同意，将成交项目分包给他人的；</w:t>
      </w:r>
    </w:p>
    <w:p w14:paraId="28AF17D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（4）除因不可抗力或响应文件认可的情形以外，成交供应商不与采购人签订合同的；</w:t>
      </w:r>
    </w:p>
    <w:p w14:paraId="57DF34C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（5）签订合同后因</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原因无法履行合同或者拒绝履行合同义务的。</w:t>
      </w:r>
    </w:p>
    <w:p w14:paraId="6976F7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若</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在验收、使用过程中发现</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提供的货物为假冒伪劣产品（包括但不限于伪造产地、冒用商标、以次充好等行为），</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有权立即终止合同，并扣除</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全部履约保证金作为违约金。</w:t>
      </w:r>
    </w:p>
    <w:p w14:paraId="6F97EB3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送货单应严格按合同清单填写货物名称、品牌、规格、型号等技术参数，货物与送货单必须完全相符，如发现不符，</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有权扣除</w:t>
      </w:r>
      <w:r>
        <w:rPr>
          <w:rFonts w:hint="eastAsia" w:ascii="宋体" w:hAnsi="宋体" w:cs="宋体"/>
          <w:color w:val="auto"/>
          <w:szCs w:val="21"/>
          <w:highlight w:val="none"/>
          <w:lang w:val="en-US" w:eastAsia="zh-CN"/>
        </w:rPr>
        <w:t>中标人</w:t>
      </w:r>
      <w:r>
        <w:rPr>
          <w:rFonts w:hint="eastAsia" w:ascii="宋体" w:hAnsi="宋体" w:cs="宋体"/>
          <w:color w:val="auto"/>
          <w:szCs w:val="21"/>
          <w:highlight w:val="none"/>
        </w:rPr>
        <w:t>全部履约保证金作为违约金。</w:t>
      </w:r>
    </w:p>
    <w:p w14:paraId="7790D7E4">
      <w:pPr>
        <w:spacing w:line="360" w:lineRule="auto"/>
        <w:ind w:firstLine="420" w:firstLineChars="200"/>
        <w:rPr>
          <w:rFonts w:hint="eastAsia" w:ascii="宋体" w:hAnsi="宋体" w:cs="宋体"/>
          <w:color w:val="auto"/>
          <w:szCs w:val="21"/>
          <w:highlight w:val="none"/>
        </w:rPr>
      </w:pPr>
    </w:p>
    <w:p w14:paraId="79F344B4">
      <w:pPr>
        <w:spacing w:line="360" w:lineRule="auto"/>
        <w:ind w:firstLine="420" w:firstLineChars="200"/>
        <w:rPr>
          <w:rFonts w:hint="eastAsia" w:ascii="宋体" w:hAnsi="宋体" w:cs="宋体"/>
          <w:color w:val="auto"/>
          <w:szCs w:val="21"/>
          <w:highlight w:val="none"/>
        </w:rPr>
      </w:pPr>
    </w:p>
    <w:p w14:paraId="33B070BC">
      <w:pPr>
        <w:spacing w:line="360" w:lineRule="auto"/>
        <w:ind w:firstLine="420" w:firstLineChars="200"/>
        <w:rPr>
          <w:rFonts w:hint="eastAsia" w:ascii="宋体" w:hAnsi="宋体" w:cs="宋体"/>
          <w:color w:val="auto"/>
          <w:szCs w:val="21"/>
          <w:highlight w:val="none"/>
        </w:rPr>
      </w:pPr>
    </w:p>
    <w:p w14:paraId="6D47EC35">
      <w:pPr>
        <w:spacing w:line="360" w:lineRule="auto"/>
        <w:ind w:firstLine="420" w:firstLineChars="200"/>
        <w:rPr>
          <w:rFonts w:hint="eastAsia" w:ascii="宋体" w:hAnsi="宋体" w:cs="宋体"/>
          <w:color w:val="auto"/>
          <w:szCs w:val="21"/>
          <w:highlight w:val="none"/>
        </w:rPr>
      </w:pPr>
    </w:p>
    <w:p w14:paraId="3F07582E">
      <w:pPr>
        <w:rPr>
          <w:rFonts w:hint="eastAsia" w:ascii="宋体" w:hAnsi="宋体" w:cs="宋体"/>
          <w:color w:val="auto"/>
          <w:sz w:val="36"/>
          <w:highlight w:val="none"/>
          <w:lang w:val="en-US" w:eastAsia="zh-CN"/>
        </w:rPr>
      </w:pPr>
      <w:bookmarkStart w:id="111" w:name="_Toc25921"/>
      <w:r>
        <w:rPr>
          <w:rFonts w:hint="eastAsia" w:ascii="宋体" w:hAnsi="宋体" w:cs="宋体"/>
          <w:color w:val="auto"/>
          <w:sz w:val="36"/>
          <w:highlight w:val="none"/>
          <w:lang w:val="en-US" w:eastAsia="zh-CN"/>
        </w:rPr>
        <w:br w:type="page"/>
      </w:r>
    </w:p>
    <w:p w14:paraId="6FF21D8B">
      <w:pPr>
        <w:pStyle w:val="2"/>
        <w:spacing w:line="360" w:lineRule="auto"/>
        <w:jc w:val="center"/>
        <w:rPr>
          <w:rFonts w:hint="eastAsia" w:ascii="宋体" w:hAnsi="宋体" w:cs="宋体"/>
          <w:color w:val="auto"/>
          <w:sz w:val="36"/>
          <w:highlight w:val="none"/>
        </w:rPr>
      </w:pPr>
      <w:r>
        <w:rPr>
          <w:rFonts w:hint="eastAsia" w:ascii="宋体" w:hAnsi="宋体" w:cs="宋体"/>
          <w:color w:val="auto"/>
          <w:sz w:val="36"/>
          <w:highlight w:val="none"/>
          <w:lang w:val="en-US" w:eastAsia="zh-CN"/>
        </w:rPr>
        <w:t>第三章 合同条款及格式</w:t>
      </w:r>
      <w:bookmarkEnd w:id="111"/>
    </w:p>
    <w:p w14:paraId="2F52C50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14:paraId="46E174D1">
      <w:pPr>
        <w:pStyle w:val="10"/>
        <w:rPr>
          <w:rFonts w:hint="eastAsia" w:hAnsi="宋体" w:cs="宋体"/>
          <w:color w:val="auto"/>
          <w:highlight w:val="none"/>
        </w:rPr>
      </w:pPr>
    </w:p>
    <w:p w14:paraId="31304D6F">
      <w:pPr>
        <w:jc w:val="center"/>
        <w:rPr>
          <w:rFonts w:hint="eastAsia"/>
          <w:sz w:val="36"/>
          <w:szCs w:val="36"/>
        </w:rPr>
      </w:pPr>
      <w:bookmarkStart w:id="112" w:name="_Toc17515"/>
      <w:r>
        <w:rPr>
          <w:rFonts w:hint="eastAsia"/>
          <w:sz w:val="36"/>
          <w:szCs w:val="36"/>
        </w:rPr>
        <w:t>合 同</w:t>
      </w:r>
    </w:p>
    <w:p w14:paraId="25175AF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项目名称：扬州大学附属医院2026年度护士工作鞋采购项目                       </w:t>
      </w:r>
    </w:p>
    <w:p w14:paraId="0C088B3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审计编号：YDFYCGZX-后勤物资</w:t>
      </w:r>
    </w:p>
    <w:p w14:paraId="3ED0C71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甲方（采购人/买方）：扬州大学附属医院       </w:t>
      </w:r>
    </w:p>
    <w:p w14:paraId="6A73AE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乙方（供应商/卖方）： </w:t>
      </w:r>
    </w:p>
    <w:p w14:paraId="72F868D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根据《中华人民共和国政府采购法》、《中华人民共和国民法典》等法律法规的规定，甲乙双方按照本项目</w:t>
      </w:r>
      <w:r>
        <w:rPr>
          <w:rFonts w:hint="eastAsia" w:ascii="宋体" w:hAnsi="宋体"/>
          <w:color w:val="auto"/>
          <w:szCs w:val="21"/>
          <w:highlight w:val="none"/>
          <w:lang w:val="en-US" w:eastAsia="zh-CN"/>
        </w:rPr>
        <w:t>招标</w:t>
      </w:r>
      <w:r>
        <w:rPr>
          <w:rFonts w:hint="eastAsia" w:ascii="宋体" w:hAnsi="宋体"/>
          <w:color w:val="auto"/>
          <w:szCs w:val="21"/>
          <w:highlight w:val="none"/>
        </w:rPr>
        <w:t>结果签订本合同。</w:t>
      </w:r>
    </w:p>
    <w:p w14:paraId="3EDACBA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1、合同标的</w:t>
      </w:r>
    </w:p>
    <w:p w14:paraId="6AC2E34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乙方根据甲方需求，提供下列货物： 护士工作鞋 。</w:t>
      </w:r>
    </w:p>
    <w:p w14:paraId="519654C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货物名称、规格及数量等要求详见附件。</w:t>
      </w:r>
    </w:p>
    <w:p w14:paraId="0F3EB69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2、合同总金额</w:t>
      </w:r>
    </w:p>
    <w:p w14:paraId="73EFEBC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 合同签约价：人民币（大写）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元整（¥</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63586E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2.2本合同项下的服务及物资采用固定总价方式进行结算，单价详见乙方的投标报价清单（附后）。</w:t>
      </w:r>
    </w:p>
    <w:p w14:paraId="5E85937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上述固定单价包括乙方提供的货物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w:t>
      </w:r>
      <w:r>
        <w:rPr>
          <w:rFonts w:hint="eastAsia" w:ascii="宋体" w:hAnsi="宋体"/>
          <w:color w:val="auto"/>
          <w:szCs w:val="21"/>
          <w:highlight w:val="none"/>
          <w:lang w:val="en-US" w:eastAsia="zh-CN"/>
        </w:rPr>
        <w:t>招标</w:t>
      </w:r>
      <w:r>
        <w:rPr>
          <w:rFonts w:hint="eastAsia" w:ascii="宋体" w:hAnsi="宋体"/>
          <w:color w:val="auto"/>
          <w:szCs w:val="21"/>
          <w:highlight w:val="none"/>
        </w:rPr>
        <w:t>文件中另有规定的除外。</w:t>
      </w:r>
    </w:p>
    <w:p w14:paraId="457697D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2.4本合同单价还包含乙方根据甲方需要应当提供的伴随服务费用。</w:t>
      </w:r>
    </w:p>
    <w:p w14:paraId="71AAFC1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2.5本合同执行期间合同单价不变。</w:t>
      </w:r>
    </w:p>
    <w:p w14:paraId="29F63A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2.6在</w:t>
      </w:r>
      <w:r>
        <w:rPr>
          <w:rFonts w:hint="eastAsia" w:ascii="宋体" w:hAnsi="宋体"/>
          <w:color w:val="auto"/>
          <w:szCs w:val="21"/>
          <w:highlight w:val="none"/>
          <w:lang w:val="en-US" w:eastAsia="zh-CN"/>
        </w:rPr>
        <w:t>招标</w:t>
      </w:r>
      <w:r>
        <w:rPr>
          <w:rFonts w:hint="eastAsia" w:ascii="宋体" w:hAnsi="宋体"/>
          <w:color w:val="auto"/>
          <w:szCs w:val="21"/>
          <w:highlight w:val="none"/>
        </w:rPr>
        <w:t>文件未列明，而乙方认为履行本合同必需的费用也包含在合同单价中。</w:t>
      </w:r>
    </w:p>
    <w:p w14:paraId="66280B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3、组成本合同的有关文件</w:t>
      </w:r>
    </w:p>
    <w:p w14:paraId="29575B7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3.1乙方应按</w:t>
      </w:r>
      <w:r>
        <w:rPr>
          <w:rFonts w:hint="eastAsia" w:ascii="宋体" w:hAnsi="宋体"/>
          <w:color w:val="auto"/>
          <w:szCs w:val="21"/>
          <w:highlight w:val="none"/>
          <w:lang w:val="en-US" w:eastAsia="zh-CN"/>
        </w:rPr>
        <w:t>招标</w:t>
      </w:r>
      <w:r>
        <w:rPr>
          <w:rFonts w:hint="eastAsia" w:ascii="宋体" w:hAnsi="宋体"/>
          <w:color w:val="auto"/>
          <w:szCs w:val="21"/>
          <w:highlight w:val="none"/>
        </w:rPr>
        <w:t>文件规定的时间向甲方提供货物的有关技术资料。</w:t>
      </w:r>
    </w:p>
    <w:p w14:paraId="175C4C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 没有甲方事先书面同意，乙方不得将由甲方提供的有关合同或任何合同条文或资料提供给任何其他人。即使向履行本合同有关的人员提</w:t>
      </w:r>
      <w:r>
        <w:rPr>
          <w:rFonts w:hint="eastAsia"/>
        </w:rPr>
        <w:t>供，也应注意保密并限于履行合同的必</w:t>
      </w:r>
      <w:r>
        <w:rPr>
          <w:rFonts w:hint="eastAsia" w:ascii="宋体" w:hAnsi="宋体"/>
          <w:color w:val="auto"/>
          <w:szCs w:val="21"/>
          <w:highlight w:val="none"/>
        </w:rPr>
        <w:t>需范围。</w:t>
      </w:r>
    </w:p>
    <w:p w14:paraId="4AEBEE6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 关于本项目采购的</w:t>
      </w:r>
      <w:r>
        <w:rPr>
          <w:rFonts w:hint="eastAsia" w:ascii="宋体" w:hAnsi="宋体"/>
          <w:color w:val="auto"/>
          <w:szCs w:val="21"/>
          <w:highlight w:val="none"/>
          <w:lang w:val="en-US" w:eastAsia="zh-CN"/>
        </w:rPr>
        <w:t>招标</w:t>
      </w:r>
      <w:r>
        <w:rPr>
          <w:rFonts w:hint="eastAsia" w:ascii="宋体" w:hAnsi="宋体"/>
          <w:color w:val="auto"/>
          <w:szCs w:val="21"/>
          <w:highlight w:val="none"/>
        </w:rPr>
        <w:t>文件、响应文件以及与本次采购活动方式相适应的文件及有关附件是本合同不可分割的组成部分，这些文件包括但不限于：</w:t>
      </w:r>
    </w:p>
    <w:p w14:paraId="582596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（1）</w:t>
      </w:r>
      <w:r>
        <w:rPr>
          <w:rFonts w:hint="eastAsia" w:ascii="宋体" w:hAnsi="宋体"/>
          <w:color w:val="auto"/>
          <w:szCs w:val="21"/>
          <w:highlight w:val="none"/>
          <w:lang w:val="en-US" w:eastAsia="zh-CN"/>
        </w:rPr>
        <w:t>招标</w:t>
      </w:r>
      <w:r>
        <w:rPr>
          <w:rFonts w:hint="eastAsia" w:ascii="宋体" w:hAnsi="宋体"/>
          <w:color w:val="auto"/>
          <w:szCs w:val="21"/>
          <w:highlight w:val="none"/>
        </w:rPr>
        <w:t xml:space="preserve">文件；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（2）报价文件；</w:t>
      </w:r>
    </w:p>
    <w:p w14:paraId="3519BE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（3）项目组人员表                 （4）技术参数、商务条款响应及偏离表；</w:t>
      </w:r>
    </w:p>
    <w:p w14:paraId="37A87E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（5）服务承诺；                   （6）成交通知书；</w:t>
      </w:r>
    </w:p>
    <w:p w14:paraId="560EAA9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（7）甲乙双方补充协议；           （8）乙方参加</w:t>
      </w:r>
      <w:r>
        <w:rPr>
          <w:rFonts w:hint="eastAsia" w:ascii="宋体" w:hAnsi="宋体"/>
          <w:color w:val="auto"/>
          <w:szCs w:val="21"/>
          <w:highlight w:val="none"/>
          <w:lang w:val="en-US" w:eastAsia="zh-CN"/>
        </w:rPr>
        <w:t>投标</w:t>
      </w:r>
      <w:r>
        <w:rPr>
          <w:rFonts w:hint="eastAsia" w:ascii="宋体" w:hAnsi="宋体"/>
          <w:color w:val="auto"/>
          <w:szCs w:val="21"/>
          <w:highlight w:val="none"/>
        </w:rPr>
        <w:t>时提供的响应文件。</w:t>
      </w:r>
    </w:p>
    <w:p w14:paraId="0BB38DB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4、知识产权保证</w:t>
      </w:r>
    </w:p>
    <w:p w14:paraId="024F9E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乙方保证甲方在使用、接受本合同货物或其任何一部分时，不受第三方提出侵犯其专利权、版权、商标权和工业设计权等知识产权的起诉。一旦出现侵权，由乙方负全部责任。</w:t>
      </w:r>
    </w:p>
    <w:p w14:paraId="4381C2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5、产权保证</w:t>
      </w:r>
    </w:p>
    <w:p w14:paraId="640D264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乙方保证所交付的货物和服务所涉及的物品所有权无任何抵押、查封等权利瑕疵。</w:t>
      </w:r>
    </w:p>
    <w:p w14:paraId="6781FEE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6、履约保证金</w:t>
      </w:r>
    </w:p>
    <w:p w14:paraId="011CDBF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6.1乙方在签订合同前须缴纳合同款10%作为履约保证金至甲方指定账户。履约保证金用以约束乙方在合同履行中的行为，弥补合同执行中由于自身行为可能给甲方带来的各种损失。</w:t>
      </w:r>
    </w:p>
    <w:p w14:paraId="4B2EF90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6.2履约保证金的退还：履约保证金在合作期满，乙方已履行双方所有约定后30个工作日内退还，不计利息。乙方凭甲方人签署的项目验收单或项目验收报告、履约保证金收据原件，前往甲方办理保证金退还手续。</w:t>
      </w:r>
    </w:p>
    <w:p w14:paraId="6414762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6.3有下列情形之一的，履约保证金不予退还:</w:t>
      </w:r>
    </w:p>
    <w:p w14:paraId="0004CD9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（1）签订合同后甲方发现乙方在响应文件中提供虚假材料的；</w:t>
      </w:r>
    </w:p>
    <w:p w14:paraId="534F1E0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（2）乙方与甲方、其他供应商或者采购代理机构恶意串通的；</w:t>
      </w:r>
    </w:p>
    <w:p w14:paraId="1D3EB62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（3）将成交项目转让给他人，或者在响应文件中未说明，且未经甲方同意，将成交项目分包给他人的；</w:t>
      </w:r>
    </w:p>
    <w:p w14:paraId="09DFAB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（4）除因不可抗力或响应文件认可的情形以外，成交供应商不与采购人签订合同的；</w:t>
      </w:r>
    </w:p>
    <w:p w14:paraId="64BC53D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（5）签订合同后因乙方原因无法履行合同或者拒绝履行合同义务的。</w:t>
      </w:r>
    </w:p>
    <w:p w14:paraId="27EA0E6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若甲方在验收、使用过程中发现乙方提供的货物为假冒伪劣产品（包括但不限于伪造产地、冒用商标、以次充好等行为），甲方有权立即终止合同，并扣除乙方全部履约保证金作为违约金。</w:t>
      </w:r>
    </w:p>
    <w:p w14:paraId="5937DD2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（7）乙方送货单应严格按合同清单填写货物名称、品牌、规格、型号等技术参数，货物与送货单必须完全相符，如发现不符，甲方有权扣除乙方全部履约保证金作为违约金。</w:t>
      </w:r>
    </w:p>
    <w:p w14:paraId="4F2B5F6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7、转包或分包</w:t>
      </w:r>
    </w:p>
    <w:p w14:paraId="4DF6FA0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7.1 本合同禁止转包，本合同范围的货物，应由乙方直接提供的，不得转让他人提供。</w:t>
      </w:r>
    </w:p>
    <w:p w14:paraId="16E1FC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7.2 经甲方同意，乙方可以依法采取分包方式履行合同，但是分包方式履行的，乙方应就采购项目向甲方负全责。</w:t>
      </w:r>
    </w:p>
    <w:p w14:paraId="76A1FD7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8、质保期等其他约定</w:t>
      </w:r>
    </w:p>
    <w:p w14:paraId="3F86AFE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8.1 质保期按每个类别产品保质期分别计算，自项目验收合格之日起计，产品临近失效期6个月无条件退换货。</w:t>
      </w:r>
    </w:p>
    <w:p w14:paraId="2D17F95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8.2 所有安全责任与赔偿由乙方负责，甲方不负责，甲乙双方就此签订协议。</w:t>
      </w:r>
    </w:p>
    <w:p w14:paraId="0BC4EA6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9、交货期、交货方式及交货地点</w:t>
      </w:r>
    </w:p>
    <w:p w14:paraId="1C603D1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9.1 交货时间要求：乙方自接到甲方供货通知之日起，45日历天。</w:t>
      </w:r>
    </w:p>
    <w:p w14:paraId="3313870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9.2 交货时间认定：当商品和送货单同时交付给甲方时，视为正式交货时间；若未实现同时交付，则以送达时间较晚者计算交货时间。</w:t>
      </w:r>
    </w:p>
    <w:p w14:paraId="0F2ECBF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9.3 交货方式：乙方按甲方需求送货上门，每批次货物必须连同盖有乙方公章的送货单交给甲方指定的接收部门，甲方验收合格后甲乙双方办理书面移交手续。送货单上的物品名称、品牌、规格型号、单价必须与合同吻合，否则甲方有权拒绝办理签收手续。</w:t>
      </w:r>
    </w:p>
    <w:p w14:paraId="115388B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9.4 交货地点：甲方指定地点。</w:t>
      </w:r>
    </w:p>
    <w:p w14:paraId="4CB0A0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9.5 乙方须根据甲方需求分批次供货，如果供货数量超过甲方确定的需求量，则甲方有权拒收超过部分的货物。</w:t>
      </w:r>
    </w:p>
    <w:p w14:paraId="2F1CA87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9.6在履行合同过程中，如果乙方遇到不能按时交货和提供服务的情况，应及时告知甲方，在获得甲方书面同意后，才可推迟交货或提供服务时间。否则，乙方将承担一切违约责任。</w:t>
      </w:r>
    </w:p>
    <w:p w14:paraId="797854B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9.7如果乙方未经甲方书面同意逾期交付货物的，将受到以下制裁：每逾期1天，乙方向甲方偿付逾期交货部分货款总额的万分之二的违约金，甲方可以从待付款项中扣除。</w:t>
      </w:r>
    </w:p>
    <w:p w14:paraId="1856EF1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10、货款支付</w:t>
      </w:r>
    </w:p>
    <w:p w14:paraId="5A1FDE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10.1 本合同项下所有款项均以人民币支付。 </w:t>
      </w:r>
    </w:p>
    <w:p w14:paraId="1398C9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10.2 本合同项下的采购资金由甲方支付，付款前乙方向甲方开具发票。若乙方开票不及时或违反合同约定，甲方有权拒付，由此造成的责任和损失由乙方承担。</w:t>
      </w:r>
    </w:p>
    <w:p w14:paraId="676FE6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 付款方式：</w:t>
      </w:r>
    </w:p>
    <w:p w14:paraId="4AEC2C3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合同生效后，乙方按甲方需求即时配送，并将货品送到甲方指定地点，经甲方库房保管员验收合格，交货完毕后在60个工作日内支付该笔货款。乙方必须提供甲方的验收单及开具的正规增值税发票等材料交甲方办理付款手续，甲方凭手续齐全的单据付款。（以上均不计息）。乙方承诺严格按合同约定价格供货，未经甲方书面同意，不得以任何理由超出合同总金额供货，若乙方擅自超合同价供货，甲方有权拒绝接收超量部分货物，且对超量部分不予支付任何款项，由此产生的损失由乙方承担。</w:t>
      </w:r>
    </w:p>
    <w:p w14:paraId="61697CB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在本物资合同履行过程中，关于发票结算事宜，双方明确约定如下：乙方应在每月月底前完成与甲方就当月物资供应的发票结算工作，且该结算必须严格限定在当月完成，不得以任何理由跨月进行。同时，乙方所开具的发票日期与甲方出具的结算单日期均应处于同一自然月内。</w:t>
      </w:r>
    </w:p>
    <w:p w14:paraId="26E27BE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 本合同所涉及款项均不计息。</w:t>
      </w:r>
    </w:p>
    <w:p w14:paraId="59B83D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11、税费</w:t>
      </w:r>
    </w:p>
    <w:p w14:paraId="0C234A9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w:t>
      </w:r>
    </w:p>
    <w:p w14:paraId="40F0C7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12、质量保证及售后服务</w:t>
      </w:r>
    </w:p>
    <w:p w14:paraId="702B6B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12.1 乙方应按</w:t>
      </w:r>
      <w:r>
        <w:rPr>
          <w:rFonts w:hint="eastAsia" w:ascii="宋体" w:hAnsi="宋体"/>
          <w:color w:val="auto"/>
          <w:szCs w:val="21"/>
          <w:highlight w:val="none"/>
          <w:lang w:val="en-US" w:eastAsia="zh-CN"/>
        </w:rPr>
        <w:t>招标</w:t>
      </w:r>
      <w:r>
        <w:rPr>
          <w:rFonts w:hint="eastAsia" w:ascii="宋体" w:hAnsi="宋体"/>
          <w:color w:val="auto"/>
          <w:szCs w:val="21"/>
          <w:highlight w:val="none"/>
        </w:rPr>
        <w:t>文件规定及响应文件承诺的技术要求、质量标准向甲方提供货物；若技术性能无特殊说明，则按国家有关部门最新颁布的标准及规范为准。</w:t>
      </w:r>
    </w:p>
    <w:p w14:paraId="4CC56FF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12.2乙方应保证其提供的货物是全面和规范的。货物验收后，在质量保证期内，乙方应对由于设计、工艺或材料的缺陷所发生的任何不足或故障负责，所需费用由乙方承担。</w:t>
      </w:r>
    </w:p>
    <w:p w14:paraId="4D66480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12.3 服务过程中，乙方应对所提供服务出现的质量及安全问题负责处理解决并承担一切费用。</w:t>
      </w:r>
    </w:p>
    <w:p w14:paraId="67E7005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12.4 如在使用过程中发生质量问题，乙方应在1小时内响应，2小时内赶到故障现场进行维护服务，24小时内解决问题（因不可抗力或甲方同意延期修理的除外）。</w:t>
      </w:r>
    </w:p>
    <w:p w14:paraId="240455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13、交货、调试和验收</w:t>
      </w:r>
    </w:p>
    <w:p w14:paraId="5557D2C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13.1 在交付前，乙方应作出全面检查和对验收文件进行整理，并列出清单，作为甲方初验收和使用的技术条件依据，检验的结果交甲方。</w:t>
      </w:r>
    </w:p>
    <w:p w14:paraId="253DB2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13.2 验收标准：按乙方响应文件的承诺，并不低于国家相关标准。甲乙双方须在1个工作日内初验收，符合</w:t>
      </w:r>
      <w:r>
        <w:rPr>
          <w:rFonts w:hint="eastAsia" w:ascii="宋体" w:hAnsi="宋体"/>
          <w:color w:val="auto"/>
          <w:szCs w:val="21"/>
          <w:highlight w:val="none"/>
          <w:lang w:val="en-US" w:eastAsia="zh-CN"/>
        </w:rPr>
        <w:t>招标</w:t>
      </w:r>
      <w:r>
        <w:rPr>
          <w:rFonts w:hint="eastAsia" w:ascii="宋体" w:hAnsi="宋体"/>
          <w:color w:val="auto"/>
          <w:szCs w:val="21"/>
          <w:highlight w:val="none"/>
        </w:rPr>
        <w:t>文件要求的，给予签收，初步验收不合格的，甲方有权解除合同。</w:t>
      </w:r>
    </w:p>
    <w:p w14:paraId="4AEBFD3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13.3 甲方对乙方提交的货物依据</w:t>
      </w:r>
      <w:r>
        <w:rPr>
          <w:rFonts w:hint="eastAsia" w:ascii="宋体" w:hAnsi="宋体"/>
          <w:color w:val="auto"/>
          <w:szCs w:val="21"/>
          <w:highlight w:val="none"/>
          <w:lang w:val="en-US" w:eastAsia="zh-CN"/>
        </w:rPr>
        <w:t>招标</w:t>
      </w:r>
      <w:r>
        <w:rPr>
          <w:rFonts w:hint="eastAsia" w:ascii="宋体" w:hAnsi="宋体"/>
          <w:color w:val="auto"/>
          <w:szCs w:val="21"/>
          <w:highlight w:val="none"/>
        </w:rPr>
        <w:t>文件上的技术要求和国家有关质量标准进行现场初步验收，外观、说明书、包装符合招标文件技术要求的，给予签收，初步验收不合格的不予签收。</w:t>
      </w:r>
    </w:p>
    <w:p w14:paraId="5A5D26A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14、货物包装、发运及运输</w:t>
      </w:r>
    </w:p>
    <w:p w14:paraId="429FC2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14.1乙方应对其提供的货物所涉及物品在发运前对其进行满足运输距离、防潮、防震、防锈和防破损装卸等要求包装，以保证安全运达甲方指定地点。</w:t>
      </w:r>
    </w:p>
    <w:p w14:paraId="05F7BA2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 根据甲方通知的时间和指定的地点，乙方负责安排送货、装卸、清点、堆放、保管，费用乙方承担。</w:t>
      </w:r>
    </w:p>
    <w:p w14:paraId="0BAD014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14.3 货物在交付甲方前发生的风险均由乙方负责。</w:t>
      </w:r>
    </w:p>
    <w:p w14:paraId="0715A5A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14.4 货物在规定的交付期限内由乙方送达甲方指定的地点。</w:t>
      </w:r>
    </w:p>
    <w:p w14:paraId="647FDFD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14.5 所有商品必须包装完好并密封，确保纸张没有任何部分暴露在外，以避免商品散落；如包装不完整或不合规，甲方将拒收，由此造成的责任和损失由乙方承担。</w:t>
      </w:r>
    </w:p>
    <w:p w14:paraId="18BBFAF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15、违约责任</w:t>
      </w:r>
    </w:p>
    <w:p w14:paraId="7E980C8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15.1 甲方无正当理由拒绝初验收和终验收货物项目的（乙方未符合合同规定的情况除外），甲方应按未付货物项目款金额每日万分之五向乙方支付违约金。</w:t>
      </w:r>
    </w:p>
    <w:p w14:paraId="2A26853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15.2 甲方无故逾期验收和无故逾期办理款项支付手续的（乙方未符合合同规定的情况除外）,甲方应按逾期付款金额每日万分之五向乙方支付违约金。</w:t>
      </w:r>
    </w:p>
    <w:p w14:paraId="22D182E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15.3乙方违约，在消除违约情形前，应按本合同项目总额每日万分之五向甲方支付违约金，甲方可以从待付款项中扣除。</w:t>
      </w:r>
    </w:p>
    <w:p w14:paraId="5A9764F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15.4乙方逾期交付货物的，乙方应按逾期交货总额每日千分之五向甲方支付违约金，由甲方从待付货款中扣除。逾期超过约定日期10个工作日不能交货的，甲方可有权提前解除本合同。乙方因逾期交货或因其他违约行为导致甲方解除合同的，乙方应向甲方支付合同签约价5%的违约金，如造成甲方损失超过违约金，超出部分由乙方继续承担赔偿责任。</w:t>
      </w:r>
    </w:p>
    <w:p w14:paraId="7D08D5B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15.5 无特殊原因(如品牌方型号停产或者下架)等情况下，乙方所交的货物项目全部或部分品种、型号、规格、技术参数、质量不符合合同规定及招标文件规定标准的，乙方更换货物但逾期交付的（甲方拒绝接受的除外），按乙方逾期交付处理；乙方拒绝更换的，甲方可选择解除本合同或本合同的一部分，并可追究乙方的其他违约责任。</w:t>
      </w:r>
    </w:p>
    <w:p w14:paraId="56FB5E4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15.6合同生效后，发现乙方投标属虚假承诺，或经权威部门监测提供的货物不能满足谈判文件要求，造成合同无法继续履行的，乙方履约保证金不予退还。</w:t>
      </w:r>
    </w:p>
    <w:p w14:paraId="045C248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15.7乙方应加强工作人员的管理，禁止乙方以各种手段腐蚀、贿赂甲方单位工作人员，并将诚信档案记录的工作人员违规不良行为纳入违约行为,如有违反，甲方将停止履行合同，并追究乙方违约责任。</w:t>
      </w:r>
    </w:p>
    <w:p w14:paraId="5DF32AD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15.8无特殊原因(如品牌方型号停产或者下架)等情况下，乙方供货时不得以任何理由变更合同商品的品牌、型号及技术参数，一经发现一次性罚款贰仟元整；如拒不改正的，采购人有权单方面终止合同。</w:t>
      </w:r>
    </w:p>
    <w:p w14:paraId="68C5A5D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16、不可抗力事件处理</w:t>
      </w:r>
    </w:p>
    <w:p w14:paraId="017942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23EB28A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0F839D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17、争议解决</w:t>
      </w:r>
    </w:p>
    <w:p w14:paraId="472F059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17.1 因货物的品质质量问题发生争议的，可在国家认可的质量检测机构对货物内容质量进行鉴定。货物符合标准的，鉴定费由甲方承担；货物项目不符合质量标准的，鉴定费由乙方承担。</w:t>
      </w:r>
    </w:p>
    <w:p w14:paraId="71F7305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17.2 因履行本合同引起的或与本合同有关的争议，甲、乙双方应首先通过友好协商解决；如果协商不能解决争议，甲乙双方同意采取下列两种方式的第（ 1 ）种方式解决争议：</w:t>
      </w:r>
    </w:p>
    <w:p w14:paraId="330642B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（1）向甲方所在地有管辖权的人民法院提起诉讼，适用中华人民共和国法律；</w:t>
      </w:r>
    </w:p>
    <w:p w14:paraId="123B0AE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（2）向扬州仲裁委员会按其仲裁规则申请仲裁。</w:t>
      </w:r>
    </w:p>
    <w:p w14:paraId="7E1EFDC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17.3 若甲乙双方任何一方都没有选择解除合同的，为避免扩大损失，在诉讼或仲裁期间，双方应继续履行。</w:t>
      </w:r>
    </w:p>
    <w:p w14:paraId="05FA0F9D">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18、合同其它</w:t>
      </w:r>
    </w:p>
    <w:p w14:paraId="6535B18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18.1 乙方应诚实信用，严格按照招标文件要求和投标承诺履行合同，不向甲方进行商业贿赂或者提供不正当利益。</w:t>
      </w:r>
    </w:p>
    <w:p w14:paraId="57E9854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18.2 合同经双方法定代表人或授权代表签字并盖章后生效。</w:t>
      </w:r>
    </w:p>
    <w:p w14:paraId="34AAD5D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18.3本合同未尽事宜，遵照《中华人民共和国民法典》有关条文执行。</w:t>
      </w:r>
    </w:p>
    <w:p w14:paraId="18D9E21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18.4 本合同正本一式肆份，甲方贰份，乙方贰份。具有同等法律效力。</w:t>
      </w:r>
    </w:p>
    <w:p w14:paraId="2A7AF262">
      <w:pPr>
        <w:spacing w:line="360" w:lineRule="auto"/>
        <w:ind w:firstLine="420" w:firstLineChars="200"/>
        <w:rPr>
          <w:rFonts w:hint="eastAsia" w:ascii="宋体" w:hAnsi="宋体"/>
          <w:color w:val="auto"/>
          <w:szCs w:val="21"/>
          <w:highlight w:val="none"/>
        </w:rPr>
      </w:pPr>
    </w:p>
    <w:p w14:paraId="49B1501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甲方：扬州大学附属医院              乙方： </w:t>
      </w:r>
    </w:p>
    <w:p w14:paraId="3259C4C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法定代表人或授权签约人              法定代表人或授权签约人</w:t>
      </w:r>
    </w:p>
    <w:p w14:paraId="38DE61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（签字）：                         （签字）：</w:t>
      </w:r>
    </w:p>
    <w:p w14:paraId="4643E51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    址：扬州市邗江中路368号      地    址：</w:t>
      </w:r>
    </w:p>
    <w:p w14:paraId="35B8EEC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信用代码：123210004688337887        邮    编：</w:t>
      </w:r>
    </w:p>
    <w:p w14:paraId="12AD74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    话：0514-82981199             电    话：</w:t>
      </w:r>
    </w:p>
    <w:p w14:paraId="2365D56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开户银行：                          开户银行：</w:t>
      </w:r>
    </w:p>
    <w:p w14:paraId="14B7B0F9">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账    号：                          账    号：</w:t>
      </w:r>
    </w:p>
    <w:p w14:paraId="660D05E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日    期:2026年   月   日          日     期：2026年   月   日</w:t>
      </w:r>
    </w:p>
    <w:p w14:paraId="1CA8CA76">
      <w:pPr>
        <w:rPr>
          <w:rFonts w:hint="eastAsia"/>
        </w:rPr>
      </w:pPr>
    </w:p>
    <w:p w14:paraId="126BCC4A">
      <w:pPr>
        <w:rPr>
          <w:rFonts w:hint="eastAsia"/>
        </w:rPr>
      </w:pPr>
    </w:p>
    <w:p w14:paraId="4C88E7EE">
      <w:pPr>
        <w:rPr>
          <w:rFonts w:hint="eastAsia"/>
        </w:rPr>
      </w:pPr>
    </w:p>
    <w:p w14:paraId="3B368661">
      <w:pPr>
        <w:rPr>
          <w:rFonts w:hint="eastAsia"/>
        </w:rPr>
      </w:pPr>
    </w:p>
    <w:p w14:paraId="35CE06D0">
      <w:pPr>
        <w:rPr>
          <w:rFonts w:hint="eastAsia"/>
        </w:rPr>
      </w:pPr>
    </w:p>
    <w:p w14:paraId="3BE82FA8">
      <w:pPr>
        <w:rPr>
          <w:rFonts w:hint="eastAsia"/>
        </w:rPr>
      </w:pPr>
    </w:p>
    <w:p w14:paraId="55790E8E">
      <w:pPr>
        <w:rPr>
          <w:rFonts w:hint="eastAsia"/>
        </w:rPr>
      </w:pPr>
    </w:p>
    <w:p w14:paraId="20304537">
      <w:pPr>
        <w:rPr>
          <w:rFonts w:hint="eastAsia"/>
        </w:rPr>
      </w:pPr>
    </w:p>
    <w:p w14:paraId="76DC0A78">
      <w:pPr>
        <w:rPr>
          <w:rFonts w:hint="eastAsia"/>
        </w:rPr>
      </w:pPr>
      <w:r>
        <w:rPr>
          <w:rFonts w:hint="eastAsia"/>
        </w:rPr>
        <w:br w:type="page"/>
      </w:r>
    </w:p>
    <w:p w14:paraId="728AA656">
      <w:pPr>
        <w:spacing w:after="0" w:line="240" w:lineRule="auto"/>
        <w:jc w:val="center"/>
        <w:rPr>
          <w:rFonts w:ascii="宋体" w:hAnsi="Courier New" w:eastAsia="宋体" w:cs="Times New Roman"/>
          <w:b/>
          <w:bCs/>
          <w:sz w:val="44"/>
          <w:szCs w:val="44"/>
          <w14:ligatures w14:val="none"/>
        </w:rPr>
      </w:pPr>
      <w:r>
        <w:rPr>
          <w:rFonts w:hint="eastAsia" w:ascii="宋体" w:hAnsi="Courier New" w:eastAsia="宋体" w:cs="Times New Roman"/>
          <w:b/>
          <w:bCs/>
          <w:sz w:val="44"/>
          <w:szCs w:val="44"/>
          <w14:ligatures w14:val="none"/>
        </w:rPr>
        <w:t>廉洁合作协议</w:t>
      </w:r>
    </w:p>
    <w:p w14:paraId="4C1C1E1D">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甲方名称：扬州大学附属医院 </w:t>
      </w:r>
    </w:p>
    <w:p w14:paraId="6DBC1586">
      <w:pPr>
        <w:spacing w:line="360" w:lineRule="auto"/>
        <w:rPr>
          <w:rFonts w:hint="eastAsia" w:ascii="宋体" w:hAnsi="宋体"/>
          <w:color w:val="auto"/>
          <w:szCs w:val="21"/>
          <w:highlight w:val="none"/>
        </w:rPr>
      </w:pPr>
      <w:r>
        <w:rPr>
          <w:rFonts w:hint="eastAsia" w:ascii="宋体" w:hAnsi="宋体"/>
          <w:color w:val="auto"/>
          <w:szCs w:val="21"/>
          <w:highlight w:val="none"/>
        </w:rPr>
        <w:t xml:space="preserve">乙方名称： </w:t>
      </w:r>
    </w:p>
    <w:p w14:paraId="6392B17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在甲乙双方订立、履行合同过程中，为保持廉洁自律的工作作风，防止各种不正当行为的发生，甲乙双方订立协议如下：</w:t>
      </w:r>
    </w:p>
    <w:p w14:paraId="0DAED8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一、甲乙双方应当自觉遵守国家、地方法律法规以及本合同的约定，在合同的订立、履行过程中廉洁自律。</w:t>
      </w:r>
    </w:p>
    <w:p w14:paraId="07B0CDC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二、甲乙双方工作人员严禁进行商业目的的统方，不得对外泄露涉及业务或个人的隐私数据，不得违规规提供医疗机构内未公开的数据、患者用药化验检查诊疗等信息。</w:t>
      </w:r>
    </w:p>
    <w:p w14:paraId="24D2DD0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三、甲乙双方工作人员应当保持与合作方的正常业务交往，不得以任何形式向合作方索要和收受个人回扣等好处费，不得接受合作方或其关联机构的礼金、有价证券和贵重物品。</w:t>
      </w:r>
    </w:p>
    <w:p w14:paraId="487717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四、甲乙双方工作人员不得参加可能对公正开展业务有影响的宴请、旅游、学习、考察、健身、娱乐活动等，不以讲课费、顾问费、咨询费、课题费等名义牟取高额利益，不违规在对方机构等兼（任）职并取酬，不利用职权为本人及特定关系人经商办企业提供便利条件。</w:t>
      </w:r>
    </w:p>
    <w:p w14:paraId="1BCAE3C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五、甲乙双方工作人员不得要求或者接受合作方为其住房装修、婚丧嫁娶、家属和子女的工作安排以及出国等提供方便。不得接受合作方工作人员介绍的家属、亲友等关系人从事与合同相关的业务。</w:t>
      </w:r>
    </w:p>
    <w:p w14:paraId="51902234">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六、甲乙双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217CFC7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七、甲乙双方不得采用任何方式向对方索要、摊派或者变相摊派捐赠，不违规接受与医院采购、知识产权、科研成果、行业数据及信息等权利和主张相关的捐赠。</w:t>
      </w:r>
    </w:p>
    <w:p w14:paraId="52EEE17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八、如发现工作人员有违反上述合同者，应向医院纪检部门举报（医院举报接待部门：纪委办公室：举报电话：87907263，电子邮箱：</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"https://yangzhouyiyuan.com/infoSon/17/19/26" </w:instrText>
      </w:r>
      <w:r>
        <w:rPr>
          <w:rFonts w:hint="eastAsia" w:ascii="宋体" w:hAnsi="宋体"/>
          <w:color w:val="auto"/>
          <w:szCs w:val="21"/>
          <w:highlight w:val="none"/>
        </w:rPr>
        <w:fldChar w:fldCharType="separate"/>
      </w:r>
      <w:r>
        <w:rPr>
          <w:rFonts w:hint="eastAsia" w:ascii="宋体" w:hAnsi="宋体"/>
          <w:color w:val="auto"/>
          <w:szCs w:val="21"/>
          <w:highlight w:val="none"/>
        </w:rPr>
        <w:t>yyyjcs@126.com</w:t>
      </w:r>
      <w:r>
        <w:rPr>
          <w:rFonts w:hint="eastAsia" w:ascii="宋体" w:hAnsi="宋体"/>
          <w:color w:val="auto"/>
          <w:szCs w:val="21"/>
          <w:highlight w:val="none"/>
        </w:rPr>
        <w:fldChar w:fldCharType="end"/>
      </w:r>
      <w:r>
        <w:rPr>
          <w:rFonts w:hint="eastAsia" w:ascii="宋体" w:hAnsi="宋体"/>
          <w:color w:val="auto"/>
          <w:szCs w:val="21"/>
          <w:highlight w:val="none"/>
        </w:rPr>
        <w:t>）。被投诉方不得找任何借口对投诉人进行报复。</w:t>
      </w:r>
    </w:p>
    <w:p w14:paraId="314D33F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九、任何一方发现对方有违反本合同或者采用不正当的手段行贿合作方工作人员等不正当竞争行为的，有权解除合同。</w:t>
      </w:r>
    </w:p>
    <w:p w14:paraId="79CFE72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十、本廉洁协议作为合同的附件，与合同具有同等法律效力。经合同双方签署后立即生效。</w:t>
      </w:r>
    </w:p>
    <w:p w14:paraId="37E4454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十一、本协议一式肆份，甲、乙双方各执贰份，从签订之日起生效。</w:t>
      </w:r>
    </w:p>
    <w:p w14:paraId="4B434502">
      <w:pPr>
        <w:spacing w:line="360" w:lineRule="auto"/>
        <w:ind w:firstLine="420" w:firstLineChars="200"/>
        <w:rPr>
          <w:rFonts w:hint="eastAsia" w:ascii="宋体" w:hAnsi="宋体"/>
          <w:color w:val="auto"/>
          <w:szCs w:val="21"/>
          <w:highlight w:val="none"/>
        </w:rPr>
      </w:pPr>
    </w:p>
    <w:p w14:paraId="6EBB33B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甲方：(盖章) 扬州大学附属医院           乙方：(盖章) </w:t>
      </w:r>
    </w:p>
    <w:p w14:paraId="1EBCED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法定代表人(或授权签约人)：              法定代表人(或授权签约人)：</w:t>
      </w:r>
    </w:p>
    <w:p w14:paraId="5101225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日期：     年  月  日                   日期：     年  月  日</w:t>
      </w:r>
    </w:p>
    <w:p w14:paraId="33907EF6">
      <w:pPr>
        <w:rPr>
          <w:rFonts w:hint="eastAsia"/>
        </w:rPr>
      </w:pPr>
    </w:p>
    <w:p w14:paraId="49638526">
      <w:pPr>
        <w:rPr>
          <w:rFonts w:hint="eastAsia"/>
        </w:rPr>
      </w:pPr>
    </w:p>
    <w:p w14:paraId="09F7DE39">
      <w:pPr>
        <w:rPr>
          <w:rFonts w:hint="eastAsia"/>
        </w:rPr>
      </w:pPr>
      <w:r>
        <w:rPr>
          <w:rFonts w:hint="eastAsia"/>
        </w:rPr>
        <w:t>附件 采购清单</w:t>
      </w:r>
    </w:p>
    <w:p w14:paraId="672E7168">
      <w:pPr>
        <w:rPr>
          <w:rFonts w:hint="eastAsia"/>
        </w:rPr>
      </w:pPr>
    </w:p>
    <w:p w14:paraId="65E5B842">
      <w:pPr>
        <w:rPr>
          <w:color w:val="auto"/>
          <w:sz w:val="36"/>
          <w:highlight w:val="none"/>
        </w:rPr>
      </w:pPr>
      <w:r>
        <w:rPr>
          <w:color w:val="auto"/>
          <w:sz w:val="36"/>
          <w:highlight w:val="none"/>
        </w:rPr>
        <w:br w:type="page"/>
      </w:r>
    </w:p>
    <w:p w14:paraId="0C46F530">
      <w:pPr>
        <w:pStyle w:val="2"/>
        <w:jc w:val="center"/>
        <w:rPr>
          <w:color w:val="auto"/>
          <w:sz w:val="36"/>
          <w:highlight w:val="none"/>
        </w:rPr>
      </w:pPr>
      <w:r>
        <w:rPr>
          <w:color w:val="auto"/>
          <w:sz w:val="36"/>
          <w:highlight w:val="none"/>
        </w:rPr>
        <w:t>第四章 项目需求</w:t>
      </w:r>
      <w:bookmarkEnd w:id="112"/>
    </w:p>
    <w:p w14:paraId="2F30E56C">
      <w:pPr>
        <w:numPr>
          <w:ilvl w:val="0"/>
          <w:numId w:val="1"/>
        </w:numPr>
        <w:spacing w:line="500" w:lineRule="exact"/>
        <w:ind w:firstLine="422" w:firstLineChars="200"/>
        <w:rPr>
          <w:rFonts w:hint="eastAsia" w:ascii="宋体" w:hAnsi="宋体" w:cs="宋体"/>
          <w:color w:val="auto"/>
          <w:highlight w:val="none"/>
        </w:rPr>
      </w:pPr>
      <w:r>
        <w:rPr>
          <w:rFonts w:hint="eastAsia" w:ascii="宋体" w:hAnsi="宋体" w:cs="宋体"/>
          <w:b/>
          <w:bCs/>
          <w:color w:val="auto"/>
          <w:szCs w:val="21"/>
          <w:highlight w:val="none"/>
        </w:rPr>
        <w:t>项目概况</w:t>
      </w:r>
    </w:p>
    <w:p w14:paraId="10FCB11D">
      <w:pPr>
        <w:spacing w:line="360" w:lineRule="auto"/>
        <w:ind w:firstLine="420" w:firstLineChars="200"/>
        <w:rPr>
          <w:rFonts w:hint="eastAsia" w:ascii="Times New Roman" w:hAnsi="Times New Roman" w:eastAsia="宋体" w:cs="宋体"/>
          <w:szCs w:val="21"/>
          <w:highlight w:val="none"/>
          <w:shd w:val="clear" w:color="auto" w:fill="FFFFFF"/>
          <w:lang w:eastAsia="zh-CN"/>
        </w:rPr>
      </w:pPr>
      <w:r>
        <w:rPr>
          <w:rFonts w:hint="eastAsia" w:ascii="宋体" w:hAnsi="宋体" w:eastAsia="宋体" w:cs="宋体"/>
          <w:szCs w:val="21"/>
          <w:highlight w:val="none"/>
          <w:shd w:val="clear" w:color="auto" w:fill="FFFFFF"/>
          <w:lang w:val="en-US" w:eastAsia="zh-CN"/>
        </w:rPr>
        <w:t>1、</w:t>
      </w:r>
      <w:r>
        <w:rPr>
          <w:rFonts w:hint="eastAsia" w:ascii="宋体" w:hAnsi="宋体" w:eastAsia="宋体" w:cs="宋体"/>
          <w:szCs w:val="21"/>
          <w:highlight w:val="none"/>
          <w:shd w:val="clear" w:color="auto" w:fill="FFFFFF"/>
        </w:rPr>
        <w:t>项目名称：</w:t>
      </w:r>
      <w:r>
        <w:rPr>
          <w:rFonts w:hint="eastAsia" w:ascii="宋体" w:hAnsi="宋体" w:cs="宋体"/>
          <w:szCs w:val="21"/>
          <w:highlight w:val="none"/>
          <w:shd w:val="clear" w:color="auto" w:fill="FFFFFF"/>
          <w:lang w:eastAsia="zh-CN"/>
        </w:rPr>
        <w:t>扬州大学附属医院护士鞋采购项目</w:t>
      </w:r>
    </w:p>
    <w:p w14:paraId="1DF24BCA">
      <w:pPr>
        <w:tabs>
          <w:tab w:val="left" w:pos="900"/>
        </w:tabs>
        <w:spacing w:line="360" w:lineRule="auto"/>
        <w:ind w:firstLine="420" w:firstLineChars="200"/>
        <w:rPr>
          <w:rFonts w:hint="eastAsia"/>
          <w:highlight w:val="none"/>
        </w:rPr>
      </w:pPr>
      <w:r>
        <w:rPr>
          <w:rFonts w:hint="eastAsia" w:ascii="宋体" w:hAnsi="宋体" w:eastAsia="宋体" w:cs="Times New Roman"/>
          <w:szCs w:val="21"/>
          <w:highlight w:val="none"/>
          <w:lang w:val="en-US" w:eastAsia="zh-CN"/>
        </w:rPr>
        <w:t>2、</w:t>
      </w:r>
      <w:r>
        <w:rPr>
          <w:rFonts w:hint="eastAsia" w:ascii="宋体" w:hAnsi="宋体" w:cs="宋体"/>
          <w:b/>
          <w:bCs/>
          <w:color w:val="auto"/>
          <w:szCs w:val="21"/>
          <w:highlight w:val="none"/>
        </w:rPr>
        <w:t>本项目设定最高限价，最高限价为130625</w:t>
      </w:r>
      <w:r>
        <w:rPr>
          <w:rFonts w:hint="eastAsia" w:ascii="宋体" w:hAnsi="宋体" w:cs="宋体"/>
          <w:b/>
          <w:bCs/>
          <w:color w:val="auto"/>
          <w:szCs w:val="21"/>
          <w:highlight w:val="none"/>
          <w:lang w:val="en-US" w:eastAsia="zh-CN"/>
        </w:rPr>
        <w:t>元</w:t>
      </w:r>
      <w:r>
        <w:rPr>
          <w:rFonts w:hint="eastAsia" w:ascii="宋体" w:hAnsi="宋体" w:cs="宋体"/>
          <w:b/>
          <w:bCs/>
          <w:color w:val="auto"/>
          <w:szCs w:val="21"/>
          <w:highlight w:val="none"/>
        </w:rPr>
        <w:t>，报价超过最高限价的为无效报价，按照无效响应处理。</w:t>
      </w:r>
    </w:p>
    <w:p w14:paraId="13E3EA87">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服务内容：拟</w:t>
      </w:r>
      <w:r>
        <w:rPr>
          <w:rFonts w:hint="eastAsia" w:ascii="宋体" w:hAnsi="宋体"/>
          <w:color w:val="auto"/>
          <w:highlight w:val="none"/>
          <w:lang w:val="en-US" w:eastAsia="zh-CN"/>
        </w:rPr>
        <w:t>采购护士鞋1045双，其中女款为34-42码，男款为39-44码，每个尺码中间均要求有半码设计。</w:t>
      </w:r>
      <w:r>
        <w:rPr>
          <w:rFonts w:hint="eastAsia" w:ascii="宋体" w:hAnsi="宋体"/>
          <w:szCs w:val="21"/>
        </w:rPr>
        <w:t>护士鞋要求样式舒适大方、易于打理，质地柔韧，具有软硬兼顾，透气性强等优点。</w:t>
      </w:r>
    </w:p>
    <w:p w14:paraId="55D5ECD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、服务期限：</w:t>
      </w:r>
      <w:r>
        <w:rPr>
          <w:rFonts w:hint="eastAsia" w:ascii="宋体" w:hAnsi="宋体" w:cs="宋体"/>
          <w:color w:val="auto"/>
          <w:szCs w:val="21"/>
          <w:highlight w:val="none"/>
          <w:lang w:eastAsia="zh-CN"/>
        </w:rPr>
        <w:t>合同签订之日起</w:t>
      </w:r>
      <w:r>
        <w:rPr>
          <w:rFonts w:hint="eastAsia" w:ascii="宋体" w:hAnsi="宋体" w:cs="宋体"/>
          <w:color w:val="auto"/>
          <w:szCs w:val="21"/>
          <w:highlight w:val="none"/>
          <w:lang w:val="en-US" w:eastAsia="zh-CN"/>
        </w:rPr>
        <w:t>45</w:t>
      </w:r>
      <w:r>
        <w:rPr>
          <w:rFonts w:hint="eastAsia" w:ascii="宋体" w:hAnsi="宋体" w:cs="宋体"/>
          <w:color w:val="auto"/>
          <w:szCs w:val="21"/>
          <w:highlight w:val="none"/>
          <w:lang w:eastAsia="zh-CN"/>
        </w:rPr>
        <w:t>日历天内</w:t>
      </w:r>
      <w:r>
        <w:rPr>
          <w:rFonts w:hint="eastAsia" w:ascii="宋体" w:hAnsi="宋体"/>
          <w:szCs w:val="21"/>
        </w:rPr>
        <w:t>，送货到指定地点并协助采购人分发到位。</w:t>
      </w:r>
    </w:p>
    <w:p w14:paraId="2AA6B98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、服务地点：扬州。</w:t>
      </w:r>
    </w:p>
    <w:p w14:paraId="53B4266B">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eastAsia="宋体" w:cs="宋体"/>
          <w:color w:val="auto"/>
          <w:szCs w:val="21"/>
          <w:highlight w:val="none"/>
        </w:rPr>
        <w:t>本项目禁止转包或分包，项目范围内，应由投标人直接提供的服务，不得转让他人提供。</w:t>
      </w:r>
    </w:p>
    <w:p w14:paraId="59292F9C">
      <w:pPr>
        <w:spacing w:line="360" w:lineRule="auto"/>
        <w:ind w:firstLine="422" w:firstLineChars="200"/>
        <w:rPr>
          <w:rFonts w:hint="eastAsia" w:ascii="宋体" w:hAnsi="宋体"/>
          <w:b/>
          <w:color w:val="auto"/>
          <w:szCs w:val="21"/>
          <w:highlight w:val="none"/>
          <w:lang w:val="en-US" w:eastAsia="zh-CN"/>
        </w:rPr>
      </w:pPr>
      <w:r>
        <w:rPr>
          <w:rFonts w:hint="eastAsia" w:ascii="宋体" w:hAnsi="宋体"/>
          <w:b/>
          <w:color w:val="auto"/>
          <w:szCs w:val="21"/>
          <w:highlight w:val="none"/>
        </w:rPr>
        <w:t>二、</w:t>
      </w:r>
      <w:r>
        <w:rPr>
          <w:rFonts w:hint="eastAsia" w:ascii="宋体" w:hAnsi="宋体"/>
          <w:b/>
          <w:color w:val="auto"/>
          <w:szCs w:val="21"/>
          <w:highlight w:val="none"/>
          <w:lang w:val="en-US" w:eastAsia="zh-CN"/>
        </w:rPr>
        <w:t>技术要求：</w:t>
      </w:r>
    </w:p>
    <w:tbl>
      <w:tblPr>
        <w:tblStyle w:val="17"/>
        <w:tblW w:w="8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7412"/>
      </w:tblGrid>
      <w:tr w14:paraId="0300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noWrap w:val="0"/>
            <w:vAlign w:val="center"/>
          </w:tcPr>
          <w:p w14:paraId="0F58F8AF">
            <w:pPr>
              <w:jc w:val="center"/>
              <w:rPr>
                <w:rFonts w:hint="eastAsia"/>
              </w:rPr>
            </w:pPr>
            <w:r>
              <w:rPr>
                <w:rFonts w:hint="eastAsia"/>
              </w:rPr>
              <w:t>产品</w:t>
            </w:r>
          </w:p>
        </w:tc>
        <w:tc>
          <w:tcPr>
            <w:tcW w:w="7412" w:type="dxa"/>
            <w:noWrap w:val="0"/>
            <w:vAlign w:val="center"/>
          </w:tcPr>
          <w:p w14:paraId="10183810">
            <w:pPr>
              <w:jc w:val="center"/>
              <w:rPr>
                <w:rFonts w:hint="eastAsia"/>
              </w:rPr>
            </w:pPr>
            <w:r>
              <w:rPr>
                <w:rFonts w:hint="eastAsia"/>
              </w:rPr>
              <w:t>技术参数</w:t>
            </w:r>
          </w:p>
        </w:tc>
      </w:tr>
      <w:tr w14:paraId="0318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849" w:type="dxa"/>
            <w:noWrap w:val="0"/>
            <w:vAlign w:val="center"/>
          </w:tcPr>
          <w:p w14:paraId="63DC6F52">
            <w:pPr>
              <w:jc w:val="center"/>
              <w:rPr>
                <w:rFonts w:ascii="仿宋" w:hAnsi="仿宋" w:eastAsia="仿宋" w:cs="仿宋"/>
                <w:bCs/>
                <w:kern w:val="0"/>
                <w:sz w:val="24"/>
                <w:szCs w:val="24"/>
              </w:rPr>
            </w:pPr>
            <w:r>
              <w:rPr>
                <w:rFonts w:hint="eastAsia"/>
              </w:rPr>
              <w:t>护士鞋</w:t>
            </w:r>
          </w:p>
        </w:tc>
        <w:tc>
          <w:tcPr>
            <w:tcW w:w="7412" w:type="dxa"/>
            <w:noWrap w:val="0"/>
            <w:vAlign w:val="top"/>
          </w:tcPr>
          <w:p w14:paraId="422AAB78">
            <w:pPr>
              <w:spacing w:line="360" w:lineRule="auto"/>
              <w:jc w:val="left"/>
              <w:rPr>
                <w:rFonts w:hint="eastAsia" w:ascii="Times New Roman" w:hAnsi="Times New Roman" w:eastAsia="宋体" w:cs="Times New Roman"/>
                <w:b w:val="0"/>
                <w:bCs w:val="0"/>
                <w:i/>
                <w:iCs/>
                <w:u w:val="single"/>
                <w:lang w:eastAsia="zh-CN"/>
              </w:rPr>
            </w:pPr>
            <w:r>
              <w:rPr>
                <w:rFonts w:hint="eastAsia" w:ascii="Times New Roman" w:hAnsi="Times New Roman" w:eastAsia="宋体" w:cs="Times New Roman"/>
                <w:b w:val="0"/>
                <w:bCs w:val="0"/>
                <w:i/>
                <w:iCs/>
                <w:u w:val="single"/>
              </w:rPr>
              <w:t>★1.标准：制作质量标准不低于国家QB/T1002-2015皮鞋合格品标准。鞋子所用材料及成品安全性能应符合强制性国家标准 GB 25038-2024《鞋类通用安全要求》的规定。防滑性能参照HG/T 3780-2005标准，湿态防滑系数≥0.4等）</w:t>
            </w:r>
            <w:r>
              <w:rPr>
                <w:rFonts w:hint="eastAsia"/>
                <w:b w:val="0"/>
                <w:bCs w:val="0"/>
                <w:i/>
                <w:iCs/>
                <w:u w:val="single"/>
              </w:rPr>
              <w:t>（提供国家认可的检测机构（CNAS/CMA）的检测报告。</w:t>
            </w:r>
          </w:p>
          <w:p w14:paraId="75C3BD6E">
            <w:pPr>
              <w:spacing w:line="360" w:lineRule="auto"/>
              <w:jc w:val="left"/>
              <w:rPr>
                <w:rFonts w:hint="eastAsia" w:ascii="Times New Roman" w:hAnsi="Times New Roman" w:eastAsia="宋体" w:cs="Times New Roman"/>
                <w:b w:val="0"/>
                <w:bCs w:val="0"/>
                <w:i/>
                <w:iCs/>
                <w:u w:val="single"/>
              </w:rPr>
            </w:pPr>
            <w:r>
              <w:rPr>
                <w:rFonts w:hint="eastAsia" w:ascii="Times New Roman" w:hAnsi="Times New Roman" w:eastAsia="宋体" w:cs="Times New Roman"/>
                <w:b w:val="0"/>
                <w:bCs w:val="0"/>
                <w:i/>
                <w:iCs/>
                <w:u w:val="single"/>
              </w:rPr>
              <w:t>★2.鞋面：选用优质头层牛皮，质地柔韧具有软硬兼顾,透气性强,舒适大方，耐磨防震，清洗方便，不松面等优点。</w:t>
            </w:r>
          </w:p>
          <w:p w14:paraId="189810BD">
            <w:pPr>
              <w:spacing w:line="360" w:lineRule="auto"/>
              <w:jc w:val="left"/>
              <w:rPr>
                <w:rFonts w:hint="eastAsia" w:ascii="Times New Roman" w:hAnsi="Times New Roman" w:eastAsia="宋体" w:cs="Times New Roman"/>
                <w:b w:val="0"/>
                <w:bCs w:val="0"/>
                <w:i/>
                <w:iCs/>
                <w:u w:val="single"/>
              </w:rPr>
            </w:pPr>
            <w:r>
              <w:rPr>
                <w:rFonts w:hint="eastAsia" w:ascii="Times New Roman" w:hAnsi="Times New Roman" w:eastAsia="宋体" w:cs="Times New Roman"/>
                <w:b w:val="0"/>
                <w:bCs w:val="0"/>
                <w:i/>
                <w:iCs/>
                <w:u w:val="single"/>
              </w:rPr>
              <w:t>★3.内里：采用优质头层猪皮内里。经过抗菌防臭处理，柔软、干爽、舒适透气不黏脚、不捂脚且吸汗。后跟有防磨脚设计防臭，防霉，防菌。色牢度：湿测≥3级。</w:t>
            </w:r>
          </w:p>
          <w:p w14:paraId="275E6574">
            <w:pPr>
              <w:spacing w:line="360" w:lineRule="auto"/>
              <w:jc w:val="left"/>
              <w:rPr>
                <w:rFonts w:hint="eastAsia" w:ascii="Times New Roman" w:hAnsi="Times New Roman" w:eastAsia="宋体" w:cs="Times New Roman"/>
                <w:b w:val="0"/>
                <w:bCs w:val="0"/>
                <w:i/>
                <w:iCs/>
                <w:u w:val="single"/>
              </w:rPr>
            </w:pPr>
            <w:r>
              <w:rPr>
                <w:rFonts w:hint="eastAsia" w:ascii="Times New Roman" w:hAnsi="Times New Roman" w:eastAsia="宋体" w:cs="Times New Roman"/>
                <w:b w:val="0"/>
                <w:bCs w:val="0"/>
                <w:i/>
                <w:iCs/>
                <w:u w:val="single"/>
              </w:rPr>
              <w:t>★4.鞋垫：专业护足鞋垫，人体工学设计，全面承托，舒缓疲劳，减少劳损，横足弓承托，减轻足部受压，头层猪皮或者羊皮垫面，防菌、吸湿、透气、吸震。</w:t>
            </w:r>
          </w:p>
          <w:p w14:paraId="4CF7C8C7">
            <w:pPr>
              <w:spacing w:line="360" w:lineRule="auto"/>
              <w:jc w:val="left"/>
              <w:rPr>
                <w:rFonts w:hint="eastAsia" w:ascii="Times New Roman" w:hAnsi="Times New Roman" w:eastAsia="宋体" w:cs="Times New Roman"/>
                <w:b w:val="0"/>
                <w:bCs w:val="0"/>
              </w:rPr>
            </w:pPr>
            <w:r>
              <w:rPr>
                <w:rFonts w:hint="eastAsia" w:ascii="Times New Roman" w:hAnsi="Times New Roman" w:eastAsia="宋体" w:cs="Times New Roman"/>
                <w:b w:val="0"/>
                <w:bCs w:val="0"/>
                <w:i/>
                <w:iCs/>
                <w:u w:val="single"/>
              </w:rPr>
              <w:t>★5.鞋底：软底，采用45度橡胶发泡材料或者EVA，软硬适中。鞋底外防滑静音。鞋底部采用物理缓震结构型波浪纹路设计，符合人走路弯曲的减震原理，减少脚的负荷。鞋底轻便，鞋型适当宽松，适合各种各样脚型的人。大大提升了鞋子的舒适感和防滑性能。且鞋子能任意折叠、对折，上脚全方位柔软，可旋转360度无压力。</w:t>
            </w:r>
          </w:p>
          <w:p w14:paraId="75DAB8C8">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6.鞋跟：护士鞋跟高3～5厘米，着力面广，行走时安全系数高，采用人体力学最舒适高度 ，穿着舒适，缓解行走压力。</w:t>
            </w:r>
          </w:p>
          <w:p w14:paraId="739D7D6F">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7.胶水：采用优质环保胶水，环保无异味，减少有害气体，长时间穿着不易开胶。鞋口一圈加固条，长时间穿着不会变形。鞋底和鞋面采用360度手工缝线，能够有效的避免鞋子开胶。</w:t>
            </w:r>
          </w:p>
          <w:p w14:paraId="7D2F0BFF">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8.鞋子制作采用精湛的拉帮工艺，针线细腻均匀，定型好，不易变形。</w:t>
            </w:r>
          </w:p>
          <w:p w14:paraId="1511926C">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9.尺码: 鞋子为标准码，女鞋33#-42#，男鞋38#-46#，每个码数中间有半码设计。</w:t>
            </w:r>
          </w:p>
          <w:p w14:paraId="517DE70A">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10.款式：单鞋，满口，方头或圆头、不掉跟。</w:t>
            </w:r>
          </w:p>
          <w:p w14:paraId="0B5D5146">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11.整鞋效果：符合人体重力学原理，能整个脚掌均匀受力，又能有效降低脊柱负担，能减低冲击而不易疲劳。</w:t>
            </w:r>
          </w:p>
          <w:p w14:paraId="10FC005A">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12.成鞋耐折性能：折后割口裂口长度≤20mm，新裂纹长度≤5mm且不超过3处，帮面不应出现破损，帮底、围条、沿条、底墙结合部位无开胶，复合底无脱层，鞋底、底墙涂饰层无脱落。</w:t>
            </w:r>
          </w:p>
          <w:p w14:paraId="2D009E11">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13.外底耐磨性能：磨痕长度≤12mm。</w:t>
            </w:r>
          </w:p>
          <w:p w14:paraId="7279B886">
            <w:pPr>
              <w:spacing w:line="360" w:lineRule="auto"/>
              <w:jc w:val="left"/>
              <w:rPr>
                <w:rFonts w:hint="eastAsia" w:ascii="Times New Roman" w:hAnsi="Times New Roman" w:eastAsia="宋体" w:cs="Times New Roman"/>
              </w:rPr>
            </w:pPr>
            <w:r>
              <w:rPr>
                <w:rFonts w:hint="eastAsia" w:ascii="Times New Roman" w:hAnsi="Times New Roman" w:eastAsia="宋体" w:cs="Times New Roman"/>
              </w:rPr>
              <w:t>14.帮底剥离强度：≥50N/cm。</w:t>
            </w:r>
          </w:p>
          <w:p w14:paraId="52122D66">
            <w:pPr>
              <w:spacing w:line="360" w:lineRule="auto"/>
              <w:jc w:val="left"/>
              <w:rPr>
                <w:rFonts w:ascii="等线" w:hAnsi="等线" w:eastAsia="等线"/>
              </w:rPr>
            </w:pPr>
            <w:r>
              <w:rPr>
                <w:rFonts w:hint="eastAsia" w:ascii="Times New Roman" w:hAnsi="Times New Roman" w:eastAsia="宋体" w:cs="Times New Roman"/>
              </w:rPr>
              <w:t>15.外底与外中底粘合强度：≥20N/cm，微孔底撕裂而胶不开时≥15N/cm。</w:t>
            </w:r>
          </w:p>
        </w:tc>
      </w:tr>
    </w:tbl>
    <w:p w14:paraId="774F2457">
      <w:pPr>
        <w:spacing w:line="360" w:lineRule="auto"/>
        <w:ind w:firstLine="420"/>
        <w:rPr>
          <w:rFonts w:hint="eastAsia" w:ascii="宋体" w:hAnsi="宋体" w:eastAsia="宋体" w:cs="宋体"/>
          <w:b/>
          <w:bCs/>
          <w:color w:val="auto"/>
          <w:highlight w:val="none"/>
        </w:rPr>
      </w:pPr>
      <w:r>
        <w:rPr>
          <w:rFonts w:hint="eastAsia" w:ascii="宋体" w:hAnsi="宋体" w:eastAsia="宋体" w:cs="宋体"/>
          <w:b/>
          <w:bCs/>
          <w:color w:val="auto"/>
          <w:highlight w:val="none"/>
        </w:rPr>
        <w:t>3.样</w:t>
      </w:r>
      <w:r>
        <w:rPr>
          <w:rFonts w:hint="eastAsia" w:ascii="宋体" w:hAnsi="宋体" w:cs="宋体"/>
          <w:b/>
          <w:bCs/>
          <w:color w:val="auto"/>
          <w:highlight w:val="none"/>
          <w:lang w:val="en-US" w:eastAsia="zh-CN"/>
        </w:rPr>
        <w:t>品</w:t>
      </w:r>
      <w:r>
        <w:rPr>
          <w:rFonts w:hint="eastAsia" w:ascii="宋体" w:hAnsi="宋体" w:eastAsia="宋体" w:cs="宋体"/>
          <w:b/>
          <w:bCs/>
          <w:color w:val="auto"/>
          <w:highlight w:val="none"/>
        </w:rPr>
        <w:t>要求</w:t>
      </w:r>
    </w:p>
    <w:p w14:paraId="4654B8D8">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（1）投标人提供的样</w:t>
      </w:r>
      <w:r>
        <w:rPr>
          <w:rFonts w:hint="eastAsia" w:ascii="宋体" w:hAnsi="宋体" w:cs="宋体"/>
          <w:color w:val="auto"/>
          <w:highlight w:val="none"/>
          <w:lang w:val="en-US" w:eastAsia="zh-CN"/>
        </w:rPr>
        <w:t>品</w:t>
      </w:r>
      <w:r>
        <w:rPr>
          <w:rFonts w:hint="eastAsia" w:ascii="宋体" w:hAnsi="宋体" w:eastAsia="宋体" w:cs="宋体"/>
          <w:color w:val="auto"/>
          <w:highlight w:val="none"/>
        </w:rPr>
        <w:t>应包含</w:t>
      </w:r>
      <w:r>
        <w:rPr>
          <w:rFonts w:hint="eastAsia" w:ascii="宋体" w:hAnsi="宋体" w:eastAsia="宋体" w:cs="宋体"/>
          <w:color w:val="auto"/>
          <w:highlight w:val="none"/>
          <w:lang w:val="en-US" w:eastAsia="zh-CN"/>
        </w:rPr>
        <w:t>女款37码，男款42码各一双。</w:t>
      </w:r>
      <w:r>
        <w:rPr>
          <w:rFonts w:hint="eastAsia" w:ascii="宋体" w:hAnsi="宋体" w:eastAsia="宋体" w:cs="宋体"/>
          <w:color w:val="auto"/>
          <w:highlight w:val="none"/>
        </w:rPr>
        <w:t>所有样</w:t>
      </w:r>
      <w:r>
        <w:rPr>
          <w:rFonts w:hint="eastAsia" w:ascii="宋体" w:hAnsi="宋体" w:cs="宋体"/>
          <w:color w:val="auto"/>
          <w:highlight w:val="none"/>
          <w:lang w:val="en-US" w:eastAsia="zh-CN"/>
        </w:rPr>
        <w:t>品</w:t>
      </w:r>
      <w:r>
        <w:rPr>
          <w:rFonts w:hint="eastAsia" w:ascii="宋体" w:hAnsi="宋体" w:eastAsia="宋体" w:cs="宋体"/>
          <w:color w:val="auto"/>
          <w:highlight w:val="none"/>
        </w:rPr>
        <w:t>费用由投标人自行承担。</w:t>
      </w:r>
    </w:p>
    <w:p w14:paraId="7456BBBB">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bCs/>
          <w:iCs/>
          <w:color w:val="auto"/>
          <w:szCs w:val="21"/>
          <w:highlight w:val="none"/>
        </w:rPr>
      </w:pPr>
      <w:r>
        <w:rPr>
          <w:rFonts w:hint="eastAsia" w:ascii="宋体" w:hAnsi="宋体" w:cs="宋体"/>
          <w:bCs/>
          <w:iCs/>
          <w:color w:val="auto"/>
          <w:szCs w:val="21"/>
          <w:highlight w:val="none"/>
          <w:lang w:val="en-US" w:eastAsia="zh-CN"/>
        </w:rPr>
        <w:t>（2）</w:t>
      </w:r>
      <w:r>
        <w:rPr>
          <w:rFonts w:hint="eastAsia" w:ascii="宋体" w:hAnsi="宋体" w:cs="宋体"/>
          <w:bCs/>
          <w:iCs/>
          <w:color w:val="auto"/>
          <w:szCs w:val="21"/>
          <w:highlight w:val="none"/>
        </w:rPr>
        <w:t>样品送达时间及安装规定：样品须在</w:t>
      </w:r>
      <w:r>
        <w:rPr>
          <w:rFonts w:hint="eastAsia" w:ascii="宋体" w:hAnsi="宋体" w:cs="宋体"/>
          <w:bCs/>
          <w:iCs/>
          <w:color w:val="FF0000"/>
          <w:szCs w:val="21"/>
          <w:highlight w:val="none"/>
        </w:rPr>
        <w:t>开标当天</w:t>
      </w:r>
      <w:r>
        <w:rPr>
          <w:rFonts w:hint="eastAsia" w:ascii="宋体" w:hAnsi="宋体" w:cs="宋体"/>
          <w:bCs/>
          <w:iCs/>
          <w:color w:val="FF0000"/>
          <w:szCs w:val="21"/>
          <w:highlight w:val="none"/>
          <w:lang w:val="en-US" w:eastAsia="zh-CN"/>
        </w:rPr>
        <w:t xml:space="preserve">下午15：00 </w:t>
      </w:r>
      <w:r>
        <w:rPr>
          <w:rFonts w:hint="eastAsia" w:ascii="宋体" w:hAnsi="宋体" w:cs="宋体"/>
          <w:bCs/>
          <w:iCs/>
          <w:color w:val="FF0000"/>
          <w:szCs w:val="21"/>
          <w:highlight w:val="none"/>
        </w:rPr>
        <w:t>点前</w:t>
      </w:r>
      <w:r>
        <w:rPr>
          <w:rFonts w:hint="eastAsia" w:ascii="宋体" w:hAnsi="宋体" w:cs="宋体"/>
          <w:bCs/>
          <w:iCs/>
          <w:color w:val="auto"/>
          <w:szCs w:val="21"/>
          <w:highlight w:val="none"/>
        </w:rPr>
        <w:t>（逾期不予接收）送至</w:t>
      </w:r>
      <w:r>
        <w:rPr>
          <w:rFonts w:hint="eastAsia" w:ascii="宋体" w:hAnsi="宋体" w:cs="宋体"/>
          <w:bCs/>
          <w:iCs/>
          <w:color w:val="auto"/>
          <w:szCs w:val="21"/>
          <w:highlight w:val="none"/>
          <w:lang w:eastAsia="zh-CN"/>
        </w:rPr>
        <w:t>扬州市江阳中路九洲大厦1106</w:t>
      </w:r>
      <w:r>
        <w:rPr>
          <w:rFonts w:hint="eastAsia" w:ascii="宋体" w:hAnsi="宋体" w:cs="宋体"/>
          <w:bCs/>
          <w:iCs/>
          <w:color w:val="auto"/>
          <w:szCs w:val="21"/>
          <w:highlight w:val="none"/>
        </w:rPr>
        <w:t>，并安装摆放整齐。样品</w:t>
      </w:r>
      <w:r>
        <w:rPr>
          <w:rFonts w:hint="eastAsia" w:ascii="宋体" w:hAnsi="宋体" w:cs="宋体"/>
          <w:bCs/>
          <w:iCs/>
          <w:color w:val="auto"/>
          <w:szCs w:val="21"/>
          <w:highlight w:val="none"/>
          <w:lang w:val="en-US" w:eastAsia="zh-CN"/>
        </w:rPr>
        <w:t>摆放</w:t>
      </w:r>
      <w:r>
        <w:rPr>
          <w:rFonts w:hint="eastAsia" w:ascii="宋体" w:hAnsi="宋体" w:cs="宋体"/>
          <w:bCs/>
          <w:iCs/>
          <w:color w:val="auto"/>
          <w:szCs w:val="21"/>
          <w:highlight w:val="none"/>
        </w:rPr>
        <w:t>结束后，开标前由</w:t>
      </w:r>
      <w:r>
        <w:rPr>
          <w:rFonts w:hint="eastAsia" w:ascii="宋体" w:hAnsi="宋体" w:cs="宋体"/>
          <w:bCs/>
          <w:iCs/>
          <w:color w:val="auto"/>
          <w:szCs w:val="21"/>
          <w:highlight w:val="none"/>
          <w:lang w:val="en-US" w:eastAsia="zh-CN"/>
        </w:rPr>
        <w:t>代理公司</w:t>
      </w:r>
      <w:r>
        <w:rPr>
          <w:rFonts w:hint="eastAsia" w:ascii="宋体" w:hAnsi="宋体" w:cs="宋体"/>
          <w:bCs/>
          <w:iCs/>
          <w:color w:val="auto"/>
          <w:szCs w:val="21"/>
          <w:highlight w:val="none"/>
        </w:rPr>
        <w:t>工作人员及</w:t>
      </w:r>
      <w:r>
        <w:rPr>
          <w:rFonts w:hint="eastAsia" w:ascii="宋体" w:hAnsi="宋体" w:cs="宋体"/>
          <w:bCs/>
          <w:iCs/>
          <w:color w:val="auto"/>
          <w:szCs w:val="21"/>
          <w:highlight w:val="none"/>
          <w:lang w:val="en-US" w:eastAsia="zh-CN"/>
        </w:rPr>
        <w:t>采购人</w:t>
      </w:r>
      <w:r>
        <w:rPr>
          <w:rFonts w:hint="eastAsia" w:ascii="宋体" w:hAnsi="宋体" w:cs="宋体"/>
          <w:bCs/>
          <w:iCs/>
          <w:color w:val="auto"/>
          <w:szCs w:val="21"/>
          <w:highlight w:val="none"/>
        </w:rPr>
        <w:t>统一进行编号、封号，开标后投标人必须退出样品现场，直至样品打分结束。</w:t>
      </w:r>
    </w:p>
    <w:p w14:paraId="40CE8FED">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bCs/>
          <w:iCs/>
          <w:color w:val="auto"/>
          <w:szCs w:val="21"/>
          <w:highlight w:val="none"/>
          <w:lang w:val="en-US" w:eastAsia="zh-CN"/>
        </w:rPr>
      </w:pPr>
      <w:r>
        <w:rPr>
          <w:rFonts w:hint="eastAsia" w:ascii="宋体" w:hAnsi="宋体" w:cs="宋体"/>
          <w:bCs/>
          <w:iCs/>
          <w:color w:val="auto"/>
          <w:szCs w:val="21"/>
          <w:highlight w:val="none"/>
          <w:lang w:val="en-US" w:eastAsia="zh-CN"/>
        </w:rPr>
        <w:t>（3）样品费用：样品的制作、运输、安装、退场等费用均由投标人承担。</w:t>
      </w:r>
    </w:p>
    <w:p w14:paraId="11FA1BDF">
      <w:pPr>
        <w:pBdr>
          <w:top w:val="none" w:color="000000" w:sz="0" w:space="0"/>
          <w:left w:val="none" w:color="000000" w:sz="0" w:space="0"/>
          <w:bottom w:val="none" w:color="000000" w:sz="0" w:space="0"/>
          <w:right w:val="none" w:color="000000" w:sz="0" w:space="0"/>
        </w:pBdr>
        <w:spacing w:line="360" w:lineRule="auto"/>
        <w:ind w:firstLine="480"/>
        <w:rPr>
          <w:rFonts w:hint="eastAsia" w:ascii="宋体" w:hAnsi="宋体" w:cs="宋体"/>
          <w:bCs/>
          <w:iCs/>
          <w:color w:val="auto"/>
          <w:szCs w:val="21"/>
          <w:highlight w:val="none"/>
          <w:lang w:val="en-US" w:eastAsia="zh-CN"/>
        </w:rPr>
      </w:pPr>
      <w:r>
        <w:rPr>
          <w:rFonts w:hint="eastAsia" w:ascii="宋体" w:hAnsi="宋体" w:cs="宋体"/>
          <w:bCs/>
          <w:iCs/>
          <w:color w:val="auto"/>
          <w:szCs w:val="21"/>
          <w:highlight w:val="none"/>
          <w:lang w:val="en-US" w:eastAsia="zh-CN"/>
        </w:rPr>
        <w:t>（4）样品标识：所有样品都不应含有或隐去投标人单位名称、品牌、商标等能标明具体投标人的标识。</w:t>
      </w:r>
    </w:p>
    <w:p w14:paraId="5621E4D9">
      <w:pPr>
        <w:spacing w:line="360" w:lineRule="auto"/>
        <w:ind w:firstLine="420"/>
        <w:rPr>
          <w:rFonts w:hint="default" w:ascii="宋体" w:hAnsi="宋体" w:eastAsia="宋体" w:cs="宋体"/>
          <w:color w:val="auto"/>
          <w:highlight w:val="none"/>
          <w:lang w:val="en-US" w:eastAsia="zh-CN"/>
        </w:rPr>
      </w:pPr>
      <w:r>
        <w:rPr>
          <w:rFonts w:hint="eastAsia" w:ascii="宋体" w:hAnsi="宋体" w:cs="宋体"/>
          <w:bCs/>
          <w:iCs/>
          <w:color w:val="auto"/>
          <w:szCs w:val="21"/>
          <w:highlight w:val="none"/>
          <w:lang w:val="en-US" w:eastAsia="zh-CN"/>
        </w:rPr>
        <w:t>（4）样品退场：采购活动结束后，未中标人的样品，由投标人1个工作日内及时取回；中标人的样品，应按采购人要求送至指定位置，由采购人进行封存保管，并作为履约验收的参考。若投标人未及时取回，采购人及代理公司不负有保管责任。</w:t>
      </w:r>
    </w:p>
    <w:p w14:paraId="69584466">
      <w:pPr>
        <w:spacing w:line="360"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三、其他相关要求</w:t>
      </w:r>
    </w:p>
    <w:p w14:paraId="14E586FA">
      <w:pPr>
        <w:spacing w:line="360" w:lineRule="auto"/>
        <w:ind w:firstLine="42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.交货时间：合同签订之日起</w:t>
      </w:r>
      <w:r>
        <w:rPr>
          <w:rFonts w:hint="eastAsia" w:ascii="宋体" w:hAnsi="宋体" w:cs="宋体"/>
          <w:color w:val="auto"/>
          <w:highlight w:val="none"/>
          <w:lang w:val="en-US" w:eastAsia="zh-CN"/>
        </w:rPr>
        <w:t>45</w:t>
      </w:r>
      <w:r>
        <w:rPr>
          <w:rFonts w:hint="eastAsia" w:ascii="宋体" w:hAnsi="宋体" w:eastAsia="宋体" w:cs="宋体"/>
          <w:color w:val="auto"/>
          <w:highlight w:val="none"/>
        </w:rPr>
        <w:t>个日历天内交货</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并完成全部验收、文档整理工作</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如不能按时完成，视为虚假应标，采购人有权解除合同</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并追究其相应责任。</w:t>
      </w:r>
    </w:p>
    <w:p w14:paraId="440D7F59">
      <w:pPr>
        <w:spacing w:line="360" w:lineRule="auto"/>
        <w:ind w:firstLine="420"/>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 包装要求：每双护士鞋需用鞋盒独立包装，外包装不可有破损。</w:t>
      </w:r>
    </w:p>
    <w:p w14:paraId="559C5B30">
      <w:pPr>
        <w:spacing w:line="360" w:lineRule="auto"/>
        <w:ind w:firstLine="42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rPr>
        <w:t>. 供货要求：</w:t>
      </w:r>
      <w:r>
        <w:rPr>
          <w:rFonts w:hint="eastAsia" w:ascii="宋体" w:hAnsi="宋体" w:eastAsia="宋体" w:cs="宋体"/>
          <w:color w:val="auto"/>
          <w:highlight w:val="none"/>
          <w:lang w:eastAsia="zh-CN"/>
        </w:rPr>
        <w:t>①</w:t>
      </w:r>
      <w:r>
        <w:rPr>
          <w:rFonts w:hint="eastAsia" w:ascii="宋体" w:hAnsi="宋体" w:eastAsia="宋体" w:cs="宋体"/>
          <w:color w:val="auto"/>
          <w:highlight w:val="none"/>
        </w:rPr>
        <w:t>货物送至采购单位指定地点后采购单位将组织相关部门人员对所购的护士鞋进行抽样并送专业检测机构对样品进行检测验收，检测所产生的费用由成交人承担，对检测不达标准的商品采购单位将一律采取退货处理，直至达标为止。</w:t>
      </w:r>
    </w:p>
    <w:p w14:paraId="05BAC1C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②</w:t>
      </w:r>
      <w:r>
        <w:rPr>
          <w:rFonts w:hint="eastAsia" w:ascii="宋体" w:hAnsi="宋体" w:eastAsia="宋体" w:cs="宋体"/>
          <w:color w:val="auto"/>
          <w:highlight w:val="none"/>
        </w:rPr>
        <w:t>中标</w:t>
      </w:r>
      <w:r>
        <w:rPr>
          <w:rFonts w:hint="eastAsia" w:ascii="宋体" w:hAnsi="宋体" w:cs="宋体"/>
          <w:color w:val="auto"/>
          <w:highlight w:val="none"/>
          <w:lang w:val="en-US" w:eastAsia="zh-CN"/>
        </w:rPr>
        <w:t>人</w:t>
      </w:r>
      <w:r>
        <w:rPr>
          <w:rFonts w:hint="eastAsia" w:ascii="宋体" w:hAnsi="宋体" w:eastAsia="宋体" w:cs="宋体"/>
          <w:color w:val="auto"/>
          <w:highlight w:val="none"/>
        </w:rPr>
        <w:t xml:space="preserve">供货交付，需确保包装完整无损坏；所有货物在开箱检验时必须完好，无破损，配置与装箱单相符。货物外观清洁，标记编号以及等字体清晰、明确。 </w:t>
      </w:r>
    </w:p>
    <w:p w14:paraId="3314548B">
      <w:pPr>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③</w:t>
      </w:r>
      <w:r>
        <w:rPr>
          <w:rFonts w:hint="eastAsia" w:ascii="宋体" w:hAnsi="宋体" w:eastAsia="宋体" w:cs="宋体"/>
          <w:color w:val="auto"/>
          <w:highlight w:val="none"/>
        </w:rPr>
        <w:t>中标</w:t>
      </w:r>
      <w:r>
        <w:rPr>
          <w:rFonts w:hint="eastAsia" w:ascii="宋体" w:hAnsi="宋体" w:cs="宋体"/>
          <w:color w:val="auto"/>
          <w:highlight w:val="none"/>
          <w:lang w:val="en-US" w:eastAsia="zh-CN"/>
        </w:rPr>
        <w:t>人</w:t>
      </w:r>
      <w:r>
        <w:rPr>
          <w:rFonts w:hint="eastAsia" w:ascii="宋体" w:hAnsi="宋体" w:eastAsia="宋体" w:cs="宋体"/>
          <w:color w:val="auto"/>
          <w:highlight w:val="none"/>
        </w:rPr>
        <w:t>在实际供货时，若被发现提供的货物未能达到招标文件中的有关要求，将按有关法规进行处罚，采购人将有权单方面中止合同的执行,并追究因中标</w:t>
      </w:r>
      <w:r>
        <w:rPr>
          <w:rFonts w:hint="eastAsia" w:ascii="宋体" w:hAnsi="宋体" w:cs="宋体"/>
          <w:color w:val="auto"/>
          <w:highlight w:val="none"/>
          <w:lang w:val="en-US" w:eastAsia="zh-CN"/>
        </w:rPr>
        <w:t>人</w:t>
      </w:r>
      <w:r>
        <w:rPr>
          <w:rFonts w:hint="eastAsia" w:ascii="宋体" w:hAnsi="宋体" w:eastAsia="宋体" w:cs="宋体"/>
          <w:color w:val="auto"/>
          <w:highlight w:val="none"/>
        </w:rPr>
        <w:t>所提供的未达到所承诺准确率产品而产生的所有损失和责任。对于影响货物正常工作的必要组成部分，无论在技术规范中指出与否，供应商都应提供并在投标文件中明确列出。</w:t>
      </w:r>
    </w:p>
    <w:p w14:paraId="5EAEDD1E">
      <w:pPr>
        <w:spacing w:line="360" w:lineRule="auto"/>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.质保要求：自验收合格之日起提供至少1年的免费质保期。在质保期内，一旦发生非人为质量问题，</w:t>
      </w:r>
      <w:r>
        <w:rPr>
          <w:rFonts w:hint="eastAsia" w:ascii="宋体" w:hAnsi="宋体" w:cs="宋体"/>
          <w:color w:val="auto"/>
          <w:highlight w:val="none"/>
          <w:lang w:val="en-US" w:eastAsia="zh-CN"/>
        </w:rPr>
        <w:t>中标</w:t>
      </w:r>
      <w:r>
        <w:rPr>
          <w:rFonts w:hint="eastAsia" w:ascii="宋体" w:hAnsi="宋体" w:eastAsia="宋体" w:cs="宋体"/>
          <w:color w:val="auto"/>
          <w:highlight w:val="none"/>
          <w:lang w:eastAsia="zh-CN"/>
        </w:rPr>
        <w:t>人保证在接到通知后及时赶到现场进行更换，费用由</w:t>
      </w:r>
      <w:r>
        <w:rPr>
          <w:rFonts w:hint="eastAsia" w:ascii="宋体" w:hAnsi="宋体" w:cs="宋体"/>
          <w:color w:val="auto"/>
          <w:highlight w:val="none"/>
          <w:lang w:val="en-US" w:eastAsia="zh-CN"/>
        </w:rPr>
        <w:t>中标</w:t>
      </w:r>
      <w:r>
        <w:rPr>
          <w:rFonts w:hint="eastAsia" w:ascii="宋体" w:hAnsi="宋体" w:eastAsia="宋体" w:cs="宋体"/>
          <w:color w:val="auto"/>
          <w:highlight w:val="none"/>
          <w:lang w:eastAsia="zh-CN"/>
        </w:rPr>
        <w:t>人负责。</w:t>
      </w:r>
    </w:p>
    <w:p w14:paraId="1F89A085">
      <w:pPr>
        <w:spacing w:line="360" w:lineRule="auto"/>
        <w:ind w:firstLine="420"/>
        <w:rPr>
          <w:rFonts w:hint="default" w:ascii="宋体" w:hAnsi="宋体" w:eastAsia="宋体" w:cs="宋体"/>
          <w:b/>
          <w:bCs/>
          <w:i/>
          <w:iCs/>
          <w:color w:val="auto"/>
          <w:highlight w:val="none"/>
          <w:u w:val="single"/>
          <w:lang w:val="en-US" w:eastAsia="zh-CN"/>
        </w:rPr>
      </w:pPr>
      <w:r>
        <w:rPr>
          <w:rFonts w:hint="eastAsia" w:ascii="宋体" w:hAnsi="宋体" w:eastAsia="宋体" w:cs="宋体"/>
          <w:b/>
          <w:bCs/>
          <w:i/>
          <w:iCs/>
          <w:color w:val="auto"/>
          <w:highlight w:val="none"/>
          <w:u w:val="single"/>
          <w:lang w:val="en-US" w:eastAsia="zh-CN"/>
        </w:rPr>
        <w:t>5.</w:t>
      </w:r>
      <w:r>
        <w:rPr>
          <w:rFonts w:hint="eastAsia" w:ascii="宋体" w:hAnsi="宋体" w:eastAsia="宋体" w:cs="宋体"/>
          <w:b/>
          <w:bCs/>
          <w:i/>
          <w:iCs/>
          <w:color w:val="auto"/>
          <w:highlight w:val="none"/>
          <w:u w:val="single"/>
          <w:lang w:eastAsia="zh-CN"/>
        </w:rPr>
        <w:t>本</w:t>
      </w:r>
      <w:r>
        <w:rPr>
          <w:rFonts w:hint="eastAsia" w:ascii="宋体" w:hAnsi="宋体" w:cs="宋体"/>
          <w:b/>
          <w:bCs/>
          <w:i/>
          <w:iCs/>
          <w:color w:val="auto"/>
          <w:highlight w:val="none"/>
          <w:u w:val="single"/>
          <w:lang w:val="en-US" w:eastAsia="zh-CN"/>
        </w:rPr>
        <w:t>章节</w:t>
      </w:r>
      <w:r>
        <w:rPr>
          <w:rFonts w:hint="eastAsia" w:ascii="宋体" w:hAnsi="宋体" w:eastAsia="宋体" w:cs="宋体"/>
          <w:b/>
          <w:bCs/>
          <w:i/>
          <w:iCs/>
          <w:color w:val="auto"/>
          <w:highlight w:val="none"/>
          <w:u w:val="single"/>
          <w:lang w:eastAsia="zh-CN"/>
        </w:rPr>
        <w:t>中斜体下划线部分为实质性响应条件，为必须遵守的条件，如不满足将作无效响应文件处理。</w:t>
      </w:r>
    </w:p>
    <w:p w14:paraId="68A40517">
      <w:pPr>
        <w:rPr>
          <w:rFonts w:hint="eastAsia" w:ascii="宋体" w:cs="宋体"/>
          <w:color w:val="auto"/>
          <w:kern w:val="0"/>
          <w:szCs w:val="21"/>
          <w:highlight w:val="none"/>
        </w:rPr>
      </w:pPr>
      <w:r>
        <w:rPr>
          <w:rFonts w:hint="eastAsia" w:ascii="宋体" w:cs="宋体"/>
          <w:color w:val="auto"/>
          <w:kern w:val="0"/>
          <w:szCs w:val="21"/>
          <w:highlight w:val="none"/>
        </w:rPr>
        <w:br w:type="page"/>
      </w:r>
    </w:p>
    <w:p w14:paraId="56B85A98">
      <w:pPr>
        <w:pStyle w:val="2"/>
        <w:jc w:val="center"/>
        <w:rPr>
          <w:color w:val="auto"/>
          <w:sz w:val="36"/>
          <w:highlight w:val="none"/>
        </w:rPr>
      </w:pPr>
      <w:bookmarkStart w:id="113" w:name="_Toc10827"/>
      <w:r>
        <w:rPr>
          <w:color w:val="auto"/>
          <w:sz w:val="36"/>
          <w:highlight w:val="none"/>
        </w:rPr>
        <w:t>第五章 评标方法及评标标准</w:t>
      </w:r>
      <w:bookmarkEnd w:id="113"/>
    </w:p>
    <w:p w14:paraId="11CFEFF7">
      <w:pPr>
        <w:pStyle w:val="29"/>
        <w:ind w:firstLine="422" w:firstLineChars="200"/>
        <w:rPr>
          <w:rFonts w:ascii="Times New Roman" w:hAnsi="Times New Roman"/>
          <w:b/>
          <w:color w:val="auto"/>
          <w:kern w:val="2"/>
          <w:sz w:val="21"/>
          <w:szCs w:val="21"/>
          <w:highlight w:val="none"/>
        </w:rPr>
      </w:pPr>
      <w:r>
        <w:rPr>
          <w:rFonts w:ascii="Times New Roman" w:hAnsi="Times New Roman"/>
          <w:b/>
          <w:color w:val="auto"/>
          <w:kern w:val="2"/>
          <w:sz w:val="21"/>
          <w:szCs w:val="21"/>
          <w:highlight w:val="none"/>
        </w:rPr>
        <w:t>一、评标方法</w:t>
      </w:r>
    </w:p>
    <w:p w14:paraId="750D6ED1">
      <w:pPr>
        <w:pStyle w:val="29"/>
        <w:ind w:firstLine="420"/>
        <w:rPr>
          <w:rFonts w:hint="eastAsia" w:ascii="宋体" w:hAnsi="宋体"/>
          <w:color w:val="auto"/>
          <w:sz w:val="21"/>
          <w:szCs w:val="21"/>
          <w:highlight w:val="none"/>
        </w:rPr>
      </w:pPr>
      <w:r>
        <w:rPr>
          <w:rFonts w:ascii="Times New Roman" w:hAnsi="Times New Roman"/>
          <w:color w:val="auto"/>
          <w:kern w:val="2"/>
          <w:sz w:val="21"/>
          <w:szCs w:val="21"/>
          <w:highlight w:val="none"/>
        </w:rPr>
        <w:t>本项目采用综合评分法，评委会将对确定为实质性响应招标文件要求的投标文件进行评价和比较。评标结果按评审后得分由高到低顺序排列。得分相同的，按投标报价由低到高顺序排列</w:t>
      </w:r>
      <w:r>
        <w:rPr>
          <w:rFonts w:hint="eastAsia" w:ascii="Times New Roman" w:hAnsi="Times New Roman"/>
          <w:color w:val="auto"/>
          <w:kern w:val="2"/>
          <w:sz w:val="21"/>
          <w:szCs w:val="21"/>
          <w:highlight w:val="none"/>
        </w:rPr>
        <w:t>，</w:t>
      </w:r>
      <w:r>
        <w:rPr>
          <w:rFonts w:ascii="Times New Roman" w:hAnsi="Times New Roman"/>
          <w:color w:val="auto"/>
          <w:kern w:val="2"/>
          <w:sz w:val="21"/>
          <w:szCs w:val="21"/>
          <w:highlight w:val="none"/>
        </w:rPr>
        <w:t>得分且投标报价相同的并列</w:t>
      </w:r>
      <w:r>
        <w:rPr>
          <w:rFonts w:hint="eastAsia" w:ascii="Times New Roman" w:hAnsi="Times New Roman"/>
          <w:color w:val="auto"/>
          <w:kern w:val="2"/>
          <w:sz w:val="21"/>
          <w:szCs w:val="21"/>
          <w:highlight w:val="none"/>
        </w:rPr>
        <w:t>。</w:t>
      </w:r>
      <w:r>
        <w:rPr>
          <w:rFonts w:ascii="Times New Roman" w:hAnsi="Times New Roman"/>
          <w:color w:val="auto"/>
          <w:kern w:val="2"/>
          <w:sz w:val="21"/>
          <w:szCs w:val="21"/>
          <w:highlight w:val="none"/>
        </w:rPr>
        <w:t>投标文件满足招标文件全部实质性要求，且按照评审因素的量化指标评审得分最高的第一名投标人为中标候选人</w:t>
      </w:r>
      <w:r>
        <w:rPr>
          <w:rFonts w:hint="eastAsia" w:ascii="宋体" w:hAnsi="宋体"/>
          <w:color w:val="auto"/>
          <w:sz w:val="21"/>
          <w:szCs w:val="21"/>
          <w:highlight w:val="none"/>
        </w:rPr>
        <w:t>。</w:t>
      </w:r>
    </w:p>
    <w:p w14:paraId="4320062F">
      <w:pPr>
        <w:pStyle w:val="29"/>
        <w:ind w:firstLine="422" w:firstLineChars="200"/>
        <w:rPr>
          <w:rFonts w:hint="eastAsia" w:ascii="Times New Roman" w:hAnsi="Times New Roman"/>
          <w:b/>
          <w:color w:val="auto"/>
          <w:kern w:val="2"/>
          <w:sz w:val="21"/>
          <w:szCs w:val="21"/>
          <w:highlight w:val="none"/>
        </w:rPr>
      </w:pPr>
      <w:r>
        <w:rPr>
          <w:rFonts w:hint="eastAsia" w:ascii="Times New Roman" w:hAnsi="Times New Roman" w:eastAsia="宋体" w:cs="Times New Roman"/>
          <w:b/>
          <w:color w:val="auto"/>
          <w:kern w:val="2"/>
          <w:sz w:val="21"/>
          <w:szCs w:val="21"/>
          <w:highlight w:val="none"/>
        </w:rPr>
        <w:t>二、</w:t>
      </w:r>
      <w:r>
        <w:rPr>
          <w:rFonts w:hint="eastAsia" w:ascii="Times New Roman" w:hAnsi="Times New Roman"/>
          <w:b/>
          <w:color w:val="auto"/>
          <w:kern w:val="2"/>
          <w:sz w:val="21"/>
          <w:szCs w:val="21"/>
          <w:highlight w:val="none"/>
        </w:rPr>
        <w:t>评标标准</w:t>
      </w:r>
    </w:p>
    <w:tbl>
      <w:tblPr>
        <w:tblStyle w:val="17"/>
        <w:tblW w:w="52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14"/>
        <w:gridCol w:w="7894"/>
      </w:tblGrid>
      <w:tr w14:paraId="3FC5F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114" w:type="dxa"/>
            <w:noWrap w:val="0"/>
            <w:vAlign w:val="center"/>
          </w:tcPr>
          <w:p w14:paraId="10FCD109">
            <w:pPr>
              <w:widowControl/>
              <w:spacing w:line="24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项目</w:t>
            </w:r>
          </w:p>
        </w:tc>
        <w:tc>
          <w:tcPr>
            <w:tcW w:w="7894" w:type="dxa"/>
            <w:noWrap w:val="0"/>
            <w:vAlign w:val="center"/>
          </w:tcPr>
          <w:p w14:paraId="0D805E5A">
            <w:pPr>
              <w:widowControl/>
              <w:spacing w:line="240" w:lineRule="auto"/>
              <w:jc w:val="center"/>
              <w:rPr>
                <w:rFonts w:hint="eastAsia" w:ascii="宋体" w:hAnsi="宋体" w:cs="宋体"/>
                <w:b/>
                <w:bCs/>
                <w:kern w:val="0"/>
                <w:szCs w:val="21"/>
                <w:highlight w:val="none"/>
              </w:rPr>
            </w:pPr>
            <w:r>
              <w:rPr>
                <w:rFonts w:hint="eastAsia" w:ascii="宋体" w:hAnsi="宋体" w:cs="宋体"/>
                <w:b/>
                <w:bCs/>
                <w:kern w:val="0"/>
                <w:szCs w:val="21"/>
                <w:highlight w:val="none"/>
              </w:rPr>
              <w:t>评分标准</w:t>
            </w:r>
          </w:p>
        </w:tc>
      </w:tr>
      <w:tr w14:paraId="4644E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6" w:hRule="atLeast"/>
          <w:jc w:val="center"/>
        </w:trPr>
        <w:tc>
          <w:tcPr>
            <w:tcW w:w="1114" w:type="dxa"/>
            <w:noWrap w:val="0"/>
            <w:vAlign w:val="center"/>
          </w:tcPr>
          <w:p w14:paraId="34ADB13C">
            <w:pPr>
              <w:spacing w:line="240" w:lineRule="auto"/>
              <w:jc w:val="center"/>
              <w:rPr>
                <w:rFonts w:hint="eastAsia"/>
                <w:highlight w:val="none"/>
              </w:rPr>
            </w:pPr>
            <w:r>
              <w:rPr>
                <w:rFonts w:hint="eastAsia"/>
                <w:highlight w:val="none"/>
              </w:rPr>
              <w:t>价格</w:t>
            </w:r>
          </w:p>
          <w:p w14:paraId="2FEA2242">
            <w:pPr>
              <w:spacing w:line="240" w:lineRule="auto"/>
              <w:jc w:val="center"/>
              <w:rPr>
                <w:rFonts w:hint="eastAsia"/>
                <w:highlight w:val="none"/>
              </w:rPr>
            </w:pPr>
            <w:r>
              <w:rPr>
                <w:rFonts w:hint="eastAsia"/>
                <w:highlight w:val="none"/>
              </w:rPr>
              <w:t>（30分）</w:t>
            </w:r>
          </w:p>
        </w:tc>
        <w:tc>
          <w:tcPr>
            <w:tcW w:w="7894" w:type="dxa"/>
            <w:noWrap w:val="0"/>
            <w:vAlign w:val="center"/>
          </w:tcPr>
          <w:p w14:paraId="77808490">
            <w:pPr>
              <w:spacing w:line="240" w:lineRule="auto"/>
              <w:rPr>
                <w:rFonts w:hint="eastAsia"/>
                <w:highlight w:val="none"/>
              </w:rPr>
            </w:pPr>
            <w:r>
              <w:rPr>
                <w:rFonts w:hint="eastAsia"/>
                <w:highlight w:val="none"/>
              </w:rPr>
              <w:t>以满足招标文件要求的最低投标报价为评审基准价，得满分30分。其他投标报价得分＝（评标基准价/其他投标报价）×30×100%。</w:t>
            </w:r>
          </w:p>
        </w:tc>
      </w:tr>
      <w:tr w14:paraId="6CD04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1114" w:type="dxa"/>
            <w:vMerge w:val="restart"/>
            <w:noWrap w:val="0"/>
            <w:vAlign w:val="center"/>
          </w:tcPr>
          <w:p w14:paraId="3A58C54E">
            <w:pPr>
              <w:widowControl/>
              <w:spacing w:line="240" w:lineRule="auto"/>
              <w:ind w:right="48"/>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技术参数及要求（45分）</w:t>
            </w:r>
          </w:p>
        </w:tc>
        <w:tc>
          <w:tcPr>
            <w:tcW w:w="7894" w:type="dxa"/>
            <w:noWrap w:val="0"/>
            <w:tcMar>
              <w:top w:w="0" w:type="dxa"/>
              <w:left w:w="11" w:type="dxa"/>
              <w:bottom w:w="0" w:type="dxa"/>
              <w:right w:w="108" w:type="dxa"/>
            </w:tcMar>
            <w:vAlign w:val="center"/>
          </w:tcPr>
          <w:p w14:paraId="5925D8F2">
            <w:pPr>
              <w:pStyle w:val="5"/>
              <w:numPr>
                <w:ilvl w:val="0"/>
                <w:numId w:val="0"/>
              </w:numPr>
              <w:spacing w:line="240" w:lineRule="auto"/>
              <w:rPr>
                <w:rFonts w:hint="eastAsia" w:ascii="宋体" w:hAnsi="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1、根据投标人所投样品的外观、材质、工艺、舒适度等综合评定。（20分）</w:t>
            </w:r>
          </w:p>
          <w:p w14:paraId="5127FC17">
            <w:pPr>
              <w:pStyle w:val="5"/>
              <w:numPr>
                <w:ilvl w:val="0"/>
                <w:numId w:val="0"/>
              </w:numPr>
              <w:spacing w:line="240" w:lineRule="auto"/>
              <w:rPr>
                <w:rFonts w:hint="eastAsia" w:ascii="宋体" w:hAnsi="宋体" w:cs="宋体"/>
                <w:kern w:val="0"/>
                <w:szCs w:val="21"/>
                <w:highlight w:val="none"/>
              </w:rPr>
            </w:pPr>
            <w:r>
              <w:rPr>
                <w:rFonts w:hint="eastAsia" w:ascii="宋体" w:hAnsi="宋体" w:cs="Times New Roman"/>
                <w:color w:val="auto"/>
                <w:kern w:val="2"/>
                <w:sz w:val="21"/>
                <w:szCs w:val="21"/>
                <w:highlight w:val="none"/>
                <w:lang w:val="en-US" w:eastAsia="zh-CN" w:bidi="ar-SA"/>
              </w:rPr>
              <w:t>优20分，良15分，一般10分，差或未提供0分。</w:t>
            </w:r>
          </w:p>
        </w:tc>
      </w:tr>
      <w:tr w14:paraId="459CB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14" w:type="dxa"/>
            <w:vMerge w:val="continue"/>
            <w:noWrap w:val="0"/>
            <w:vAlign w:val="center"/>
          </w:tcPr>
          <w:p w14:paraId="66C68D7A">
            <w:pPr>
              <w:widowControl/>
              <w:spacing w:line="240" w:lineRule="auto"/>
              <w:ind w:right="48"/>
              <w:jc w:val="center"/>
              <w:rPr>
                <w:rFonts w:hint="default" w:ascii="宋体" w:hAnsi="宋体" w:cs="宋体"/>
                <w:kern w:val="0"/>
                <w:szCs w:val="21"/>
                <w:highlight w:val="none"/>
                <w:lang w:val="en-US"/>
              </w:rPr>
            </w:pPr>
          </w:p>
        </w:tc>
        <w:tc>
          <w:tcPr>
            <w:tcW w:w="7894" w:type="dxa"/>
            <w:noWrap w:val="0"/>
            <w:tcMar>
              <w:top w:w="0" w:type="dxa"/>
              <w:left w:w="11" w:type="dxa"/>
              <w:bottom w:w="0" w:type="dxa"/>
              <w:right w:w="108" w:type="dxa"/>
            </w:tcMar>
            <w:vAlign w:val="center"/>
          </w:tcPr>
          <w:p w14:paraId="3B578E3F">
            <w:pPr>
              <w:pStyle w:val="5"/>
              <w:numPr>
                <w:ilvl w:val="0"/>
                <w:numId w:val="0"/>
              </w:numPr>
              <w:spacing w:line="240" w:lineRule="auto"/>
              <w:ind w:left="0" w:leftChars="0" w:hanging="5" w:firstLineChars="0"/>
              <w:rPr>
                <w:rFonts w:hint="eastAsia" w:ascii="宋体" w:hAnsi="宋体"/>
                <w:color w:val="auto"/>
                <w:szCs w:val="21"/>
                <w:highlight w:val="none"/>
              </w:rPr>
            </w:pPr>
            <w:r>
              <w:rPr>
                <w:rFonts w:hint="eastAsia" w:ascii="宋体" w:hAnsi="宋体" w:cs="Times New Roman"/>
                <w:color w:val="auto"/>
                <w:kern w:val="2"/>
                <w:sz w:val="21"/>
                <w:szCs w:val="21"/>
                <w:highlight w:val="none"/>
                <w:lang w:val="en-US" w:eastAsia="zh-CN" w:bidi="ar-SA"/>
              </w:rPr>
              <w:t>2、技术参数（15分）：技术</w:t>
            </w:r>
            <w:r>
              <w:rPr>
                <w:rFonts w:hint="eastAsia" w:ascii="宋体" w:hAnsi="宋体"/>
                <w:color w:val="auto"/>
                <w:szCs w:val="21"/>
                <w:highlight w:val="none"/>
              </w:rPr>
              <w:t>参数完全满足招标文件要求的得</w:t>
            </w:r>
            <w:r>
              <w:rPr>
                <w:rFonts w:hint="eastAsia" w:ascii="宋体" w:hAnsi="宋体"/>
                <w:color w:val="auto"/>
                <w:szCs w:val="21"/>
                <w:highlight w:val="none"/>
                <w:lang w:val="en-US" w:eastAsia="zh-CN"/>
              </w:rPr>
              <w:t>15</w:t>
            </w:r>
            <w:r>
              <w:rPr>
                <w:rFonts w:hint="eastAsia" w:ascii="宋体" w:hAnsi="宋体"/>
                <w:color w:val="auto"/>
                <w:szCs w:val="21"/>
                <w:highlight w:val="none"/>
              </w:rPr>
              <w:t>分，打“★”号指标的，有一项不满足</w:t>
            </w:r>
            <w:r>
              <w:rPr>
                <w:rFonts w:hint="eastAsia" w:ascii="宋体" w:hAnsi="宋体"/>
                <w:color w:val="auto"/>
                <w:szCs w:val="21"/>
                <w:highlight w:val="none"/>
                <w:lang w:val="en-US" w:eastAsia="zh-CN"/>
              </w:rPr>
              <w:t>作无效响应文件处理</w:t>
            </w:r>
            <w:r>
              <w:rPr>
                <w:rFonts w:hint="eastAsia" w:ascii="宋体" w:hAnsi="宋体"/>
                <w:color w:val="auto"/>
                <w:szCs w:val="21"/>
                <w:highlight w:val="none"/>
              </w:rPr>
              <w:t>；其余有一项不满足扣</w:t>
            </w:r>
            <w:r>
              <w:rPr>
                <w:rFonts w:hint="eastAsia" w:ascii="宋体" w:hAnsi="宋体"/>
                <w:color w:val="auto"/>
                <w:szCs w:val="21"/>
                <w:highlight w:val="none"/>
                <w:lang w:val="en-US" w:eastAsia="zh-CN"/>
              </w:rPr>
              <w:t>1.5</w:t>
            </w:r>
            <w:r>
              <w:rPr>
                <w:rFonts w:hint="eastAsia" w:ascii="宋体" w:hAnsi="宋体"/>
                <w:color w:val="auto"/>
                <w:szCs w:val="21"/>
                <w:highlight w:val="none"/>
              </w:rPr>
              <w:t>分，扣完为止。</w:t>
            </w:r>
          </w:p>
          <w:p w14:paraId="7A27E23B">
            <w:pPr>
              <w:pStyle w:val="5"/>
              <w:numPr>
                <w:ilvl w:val="0"/>
                <w:numId w:val="0"/>
              </w:numPr>
              <w:spacing w:line="240" w:lineRule="auto"/>
              <w:ind w:left="105" w:firstLine="0"/>
              <w:rPr>
                <w:rFonts w:hint="eastAsia" w:ascii="宋体" w:hAnsi="宋体" w:eastAsia="宋体" w:cs="宋体"/>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注：严重负偏离且影响货物性能的，本项不得分。</w:t>
            </w:r>
          </w:p>
        </w:tc>
      </w:tr>
      <w:tr w14:paraId="3B77A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jc w:val="center"/>
        </w:trPr>
        <w:tc>
          <w:tcPr>
            <w:tcW w:w="1114" w:type="dxa"/>
            <w:vMerge w:val="continue"/>
            <w:noWrap w:val="0"/>
            <w:vAlign w:val="center"/>
          </w:tcPr>
          <w:p w14:paraId="09643545">
            <w:pPr>
              <w:widowControl/>
              <w:spacing w:line="240" w:lineRule="auto"/>
              <w:ind w:right="48"/>
              <w:jc w:val="center"/>
              <w:rPr>
                <w:rFonts w:hint="default" w:ascii="宋体" w:hAnsi="宋体" w:cs="宋体"/>
                <w:kern w:val="0"/>
                <w:szCs w:val="21"/>
                <w:highlight w:val="none"/>
                <w:lang w:val="en-US"/>
              </w:rPr>
            </w:pPr>
          </w:p>
        </w:tc>
        <w:tc>
          <w:tcPr>
            <w:tcW w:w="7894" w:type="dxa"/>
            <w:noWrap w:val="0"/>
            <w:tcMar>
              <w:top w:w="0" w:type="dxa"/>
              <w:left w:w="11" w:type="dxa"/>
              <w:bottom w:w="0" w:type="dxa"/>
              <w:right w:w="108" w:type="dxa"/>
            </w:tcMar>
            <w:vAlign w:val="center"/>
          </w:tcPr>
          <w:p w14:paraId="3E7CD0C7">
            <w:pPr>
              <w:pStyle w:val="5"/>
              <w:numPr>
                <w:ilvl w:val="0"/>
                <w:numId w:val="0"/>
              </w:numPr>
              <w:spacing w:line="240" w:lineRule="auto"/>
              <w:rPr>
                <w:rFonts w:ascii="宋体" w:hAnsi="宋体" w:cs="宋体"/>
                <w:szCs w:val="21"/>
              </w:rPr>
            </w:pPr>
            <w:r>
              <w:rPr>
                <w:rFonts w:ascii="宋体" w:hAnsi="宋体" w:eastAsia="宋体" w:cs="宋体"/>
                <w:kern w:val="2"/>
                <w:sz w:val="21"/>
                <w:szCs w:val="21"/>
                <w:lang w:val="en-US" w:eastAsia="zh-CN" w:bidi="ar-SA"/>
              </w:rPr>
              <w:t>3、</w:t>
            </w:r>
            <w:r>
              <w:rPr>
                <w:rFonts w:ascii="宋体" w:hAnsi="宋体" w:cs="宋体"/>
                <w:szCs w:val="21"/>
              </w:rPr>
              <w:t>检测报告</w:t>
            </w:r>
            <w:r>
              <w:rPr>
                <w:rFonts w:hint="eastAsia" w:ascii="宋体" w:hAnsi="宋体" w:cs="宋体"/>
                <w:szCs w:val="21"/>
              </w:rPr>
              <w:t>（10分）：</w:t>
            </w:r>
            <w:r>
              <w:rPr>
                <w:rFonts w:ascii="宋体" w:hAnsi="宋体" w:cs="宋体"/>
                <w:szCs w:val="21"/>
              </w:rPr>
              <w:t>①</w:t>
            </w:r>
            <w:r>
              <w:rPr>
                <w:rFonts w:hint="eastAsia" w:ascii="宋体" w:hAnsi="宋体" w:cs="宋体"/>
                <w:szCs w:val="21"/>
                <w:lang w:val="en-US" w:eastAsia="zh-CN"/>
              </w:rPr>
              <w:t>提供样品关于</w:t>
            </w:r>
            <w:r>
              <w:rPr>
                <w:rFonts w:ascii="宋体" w:hAnsi="宋体" w:cs="宋体"/>
                <w:szCs w:val="21"/>
              </w:rPr>
              <w:t>甲醛、剥离强度、耐折、耐磨、硬度</w:t>
            </w:r>
            <w:r>
              <w:rPr>
                <w:rFonts w:hint="eastAsia" w:ascii="宋体" w:hAnsi="宋体" w:cs="宋体"/>
                <w:szCs w:val="21"/>
                <w:lang w:val="en-US" w:eastAsia="zh-CN"/>
              </w:rPr>
              <w:t>等核心指标的检测报告</w:t>
            </w:r>
            <w:r>
              <w:rPr>
                <w:rFonts w:ascii="宋体" w:hAnsi="宋体" w:cs="宋体"/>
                <w:szCs w:val="21"/>
              </w:rPr>
              <w:t>：完整得5分，</w:t>
            </w:r>
            <w:r>
              <w:rPr>
                <w:rFonts w:hint="eastAsia" w:ascii="宋体" w:hAnsi="宋体" w:cs="宋体"/>
                <w:szCs w:val="21"/>
                <w:lang w:val="en-US" w:eastAsia="zh-CN"/>
              </w:rPr>
              <w:t>核心指标有一项不提供的扣1分，扣完为止</w:t>
            </w:r>
            <w:r>
              <w:rPr>
                <w:rFonts w:ascii="宋体" w:hAnsi="宋体" w:cs="宋体"/>
                <w:szCs w:val="21"/>
              </w:rPr>
              <w:t>；</w:t>
            </w:r>
          </w:p>
          <w:p w14:paraId="1B47DC2A">
            <w:pPr>
              <w:pStyle w:val="5"/>
              <w:numPr>
                <w:ilvl w:val="0"/>
                <w:numId w:val="0"/>
              </w:numPr>
              <w:spacing w:line="240" w:lineRule="auto"/>
              <w:rPr>
                <w:rFonts w:ascii="宋体" w:hAnsi="宋体" w:cs="宋体"/>
                <w:szCs w:val="21"/>
              </w:rPr>
            </w:pPr>
            <w:r>
              <w:rPr>
                <w:rFonts w:ascii="宋体" w:hAnsi="宋体" w:cs="宋体"/>
                <w:szCs w:val="21"/>
              </w:rPr>
              <w:t>②检测</w:t>
            </w:r>
            <w:r>
              <w:rPr>
                <w:rFonts w:hint="eastAsia" w:ascii="宋体" w:hAnsi="宋体" w:cs="宋体"/>
                <w:szCs w:val="21"/>
                <w:lang w:val="en-US" w:eastAsia="zh-CN"/>
              </w:rPr>
              <w:t>报告</w:t>
            </w:r>
            <w:r>
              <w:rPr>
                <w:rFonts w:ascii="宋体" w:hAnsi="宋体" w:cs="宋体"/>
                <w:szCs w:val="21"/>
              </w:rPr>
              <w:t>结果优于</w:t>
            </w:r>
            <w:r>
              <w:rPr>
                <w:rFonts w:hint="eastAsia" w:ascii="宋体" w:hAnsi="宋体" w:cs="宋体"/>
                <w:szCs w:val="21"/>
                <w:lang w:val="en-US" w:eastAsia="zh-CN"/>
              </w:rPr>
              <w:t>技术参数</w:t>
            </w:r>
            <w:r>
              <w:rPr>
                <w:rFonts w:ascii="宋体" w:hAnsi="宋体" w:cs="宋体"/>
                <w:szCs w:val="21"/>
              </w:rPr>
              <w:t>标准要求的，每</w:t>
            </w:r>
            <w:r>
              <w:rPr>
                <w:rFonts w:hint="eastAsia" w:ascii="宋体" w:hAnsi="宋体" w:cs="宋体"/>
                <w:szCs w:val="21"/>
                <w:lang w:val="en-US" w:eastAsia="zh-CN"/>
              </w:rPr>
              <w:t>有一</w:t>
            </w:r>
            <w:r>
              <w:rPr>
                <w:rFonts w:ascii="宋体" w:hAnsi="宋体" w:cs="宋体"/>
                <w:szCs w:val="21"/>
              </w:rPr>
              <w:t>项</w:t>
            </w:r>
            <w:r>
              <w:rPr>
                <w:rFonts w:hint="eastAsia" w:ascii="宋体" w:hAnsi="宋体" w:cs="宋体"/>
                <w:szCs w:val="21"/>
                <w:lang w:val="en-US" w:eastAsia="zh-CN"/>
              </w:rPr>
              <w:t>得</w:t>
            </w:r>
            <w:r>
              <w:rPr>
                <w:rFonts w:ascii="宋体" w:hAnsi="宋体" w:cs="宋体"/>
                <w:szCs w:val="21"/>
              </w:rPr>
              <w:t>1分，最高</w:t>
            </w:r>
            <w:r>
              <w:rPr>
                <w:rFonts w:hint="eastAsia" w:ascii="宋体" w:hAnsi="宋体" w:cs="宋体"/>
                <w:szCs w:val="21"/>
                <w:lang w:val="en-US" w:eastAsia="zh-CN"/>
              </w:rPr>
              <w:t>得</w:t>
            </w:r>
            <w:r>
              <w:rPr>
                <w:rFonts w:ascii="宋体" w:hAnsi="宋体" w:cs="宋体"/>
                <w:szCs w:val="21"/>
              </w:rPr>
              <w:t>5分。</w:t>
            </w:r>
          </w:p>
          <w:p w14:paraId="18FDCC5D">
            <w:pPr>
              <w:pStyle w:val="5"/>
              <w:numPr>
                <w:ilvl w:val="0"/>
                <w:numId w:val="0"/>
              </w:numPr>
              <w:spacing w:line="240" w:lineRule="auto"/>
              <w:rPr>
                <w:rFonts w:hint="eastAsia" w:ascii="宋体" w:hAnsi="宋体" w:eastAsia="宋体" w:cs="宋体"/>
                <w:kern w:val="0"/>
                <w:szCs w:val="21"/>
                <w:highlight w:val="none"/>
                <w:lang w:val="en-US" w:eastAsia="zh-CN"/>
              </w:rPr>
            </w:pPr>
            <w:r>
              <w:rPr>
                <w:rFonts w:hint="eastAsia" w:ascii="宋体" w:hAnsi="宋体" w:cs="宋体"/>
                <w:b/>
                <w:bCs/>
                <w:kern w:val="0"/>
                <w:sz w:val="21"/>
                <w:szCs w:val="21"/>
                <w:highlight w:val="none"/>
                <w:lang w:val="en-US" w:eastAsia="zh-CN" w:bidi="ar-SA"/>
              </w:rPr>
              <w:t>注：</w:t>
            </w:r>
            <w:r>
              <w:rPr>
                <w:rFonts w:hint="eastAsia" w:ascii="Times New Roman" w:hAnsi="Times New Roman" w:eastAsia="宋体" w:cs="Times New Roman"/>
                <w:b/>
                <w:bCs/>
                <w:highlight w:val="none"/>
              </w:rPr>
              <w:t>提供国家认可</w:t>
            </w:r>
            <w:r>
              <w:rPr>
                <w:rFonts w:hint="eastAsia" w:ascii="宋体" w:hAnsi="宋体" w:cs="宋体"/>
                <w:b/>
                <w:bCs/>
                <w:szCs w:val="21"/>
                <w:highlight w:val="none"/>
              </w:rPr>
              <w:t>的检测机构（CNAS/CMA）</w:t>
            </w:r>
            <w:r>
              <w:rPr>
                <w:rFonts w:ascii="宋体" w:hAnsi="宋体" w:cs="宋体"/>
                <w:b/>
                <w:bCs/>
                <w:szCs w:val="21"/>
                <w:highlight w:val="none"/>
              </w:rPr>
              <w:t>报告且平台可查</w:t>
            </w:r>
            <w:r>
              <w:rPr>
                <w:rFonts w:hint="eastAsia" w:ascii="宋体" w:hAnsi="宋体" w:cs="宋体"/>
                <w:b/>
                <w:bCs/>
                <w:szCs w:val="21"/>
                <w:highlight w:val="none"/>
                <w:lang w:eastAsia="zh-CN"/>
              </w:rPr>
              <w:t>，</w:t>
            </w:r>
            <w:r>
              <w:rPr>
                <w:rFonts w:hint="eastAsia" w:ascii="宋体" w:hAnsi="宋体" w:eastAsia="宋体" w:cs="宋体"/>
                <w:b/>
                <w:bCs/>
                <w:color w:val="auto"/>
                <w:sz w:val="21"/>
                <w:szCs w:val="21"/>
                <w:highlight w:val="none"/>
                <w:lang w:val="en-US" w:eastAsia="zh-CN" w:bidi="ar-SA"/>
              </w:rPr>
              <w:t>复印件并加盖公章</w:t>
            </w:r>
            <w:r>
              <w:rPr>
                <w:rFonts w:ascii="宋体" w:hAnsi="宋体" w:cs="宋体"/>
                <w:b/>
                <w:bCs/>
                <w:szCs w:val="21"/>
                <w:highlight w:val="none"/>
              </w:rPr>
              <w:t>。</w:t>
            </w:r>
          </w:p>
        </w:tc>
      </w:tr>
      <w:tr w14:paraId="2F93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14" w:type="dxa"/>
            <w:noWrap w:val="0"/>
            <w:vAlign w:val="center"/>
          </w:tcPr>
          <w:p w14:paraId="221EF7FD">
            <w:pPr>
              <w:widowControl/>
              <w:spacing w:line="240" w:lineRule="auto"/>
              <w:ind w:right="48"/>
              <w:jc w:val="center"/>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企业实力（3分）</w:t>
            </w:r>
          </w:p>
        </w:tc>
        <w:tc>
          <w:tcPr>
            <w:tcW w:w="7894" w:type="dxa"/>
            <w:noWrap w:val="0"/>
            <w:tcMar>
              <w:top w:w="0" w:type="dxa"/>
              <w:left w:w="11" w:type="dxa"/>
              <w:bottom w:w="0" w:type="dxa"/>
              <w:right w:w="108" w:type="dxa"/>
            </w:tcMar>
            <w:vAlign w:val="center"/>
          </w:tcPr>
          <w:p w14:paraId="5DFA09CA">
            <w:pPr>
              <w:pStyle w:val="5"/>
              <w:numPr>
                <w:ilvl w:val="0"/>
                <w:numId w:val="0"/>
              </w:numPr>
              <w:spacing w:line="240" w:lineRule="auto"/>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投标人具有有效的质量管理体系认证证书、环境管理体系认证证书、职业健康安全管理体系认证证书，有一项得1分，满分3分。</w:t>
            </w:r>
          </w:p>
          <w:p w14:paraId="26F7D51A">
            <w:pPr>
              <w:pStyle w:val="5"/>
              <w:numPr>
                <w:ilvl w:val="0"/>
                <w:numId w:val="0"/>
              </w:numPr>
              <w:spacing w:line="240" w:lineRule="auto"/>
              <w:ind w:left="0" w:leftChars="0" w:firstLine="0" w:firstLineChars="0"/>
              <w:rPr>
                <w:rFonts w:hint="eastAsia"/>
                <w:highlight w:val="none"/>
              </w:rPr>
            </w:pPr>
            <w:r>
              <w:rPr>
                <w:rFonts w:hint="eastAsia" w:ascii="宋体" w:hAnsi="宋体" w:eastAsia="宋体" w:cs="宋体"/>
                <w:b/>
                <w:bCs/>
                <w:color w:val="auto"/>
                <w:sz w:val="21"/>
                <w:szCs w:val="21"/>
                <w:highlight w:val="none"/>
                <w:lang w:val="en-US" w:eastAsia="zh-CN" w:bidi="ar-SA"/>
              </w:rPr>
              <w:t>注：提供证书复印件并加盖公章，未提供不得分。</w:t>
            </w:r>
          </w:p>
        </w:tc>
      </w:tr>
      <w:tr w14:paraId="451F1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1114" w:type="dxa"/>
            <w:shd w:val="clear" w:color="auto" w:fill="auto"/>
            <w:noWrap w:val="0"/>
            <w:vAlign w:val="center"/>
          </w:tcPr>
          <w:p w14:paraId="1C2AA429">
            <w:pPr>
              <w:widowControl/>
              <w:spacing w:line="240" w:lineRule="auto"/>
              <w:ind w:right="48"/>
              <w:jc w:val="center"/>
              <w:rPr>
                <w:rFonts w:hint="eastAsia" w:ascii="宋体" w:hAnsi="宋体" w:cs="宋体"/>
                <w:kern w:val="0"/>
                <w:szCs w:val="21"/>
                <w:highlight w:val="none"/>
              </w:rPr>
            </w:pPr>
            <w:r>
              <w:rPr>
                <w:rFonts w:hint="eastAsia" w:ascii="宋体" w:hAnsi="宋体" w:cs="宋体"/>
                <w:kern w:val="0"/>
                <w:szCs w:val="21"/>
                <w:highlight w:val="none"/>
              </w:rPr>
              <w:t>企业业绩</w:t>
            </w:r>
          </w:p>
          <w:p w14:paraId="2855C405">
            <w:pPr>
              <w:widowControl/>
              <w:spacing w:line="240" w:lineRule="auto"/>
              <w:ind w:right="48" w:rightChars="0"/>
              <w:jc w:val="center"/>
              <w:rPr>
                <w:rFonts w:hint="eastAsia" w:ascii="宋体" w:hAnsi="宋体" w:eastAsia="宋体" w:cs="宋体"/>
                <w:kern w:val="0"/>
                <w:sz w:val="21"/>
                <w:szCs w:val="21"/>
                <w:highlight w:val="none"/>
                <w:lang w:val="en-US" w:eastAsia="zh-CN" w:bidi="ar-SA"/>
              </w:rPr>
            </w:pPr>
            <w:r>
              <w:rPr>
                <w:rFonts w:hint="eastAsia" w:ascii="宋体" w:hAnsi="宋体" w:cs="宋体"/>
                <w:kern w:val="0"/>
                <w:szCs w:val="21"/>
                <w:highlight w:val="none"/>
              </w:rPr>
              <w:t>（</w:t>
            </w:r>
            <w:r>
              <w:rPr>
                <w:rFonts w:hint="eastAsia" w:ascii="宋体" w:hAnsi="宋体" w:cs="宋体"/>
                <w:kern w:val="0"/>
                <w:szCs w:val="21"/>
                <w:highlight w:val="none"/>
                <w:lang w:val="en-US" w:eastAsia="zh-CN"/>
              </w:rPr>
              <w:t>9</w:t>
            </w:r>
            <w:r>
              <w:rPr>
                <w:rFonts w:hint="eastAsia" w:ascii="宋体" w:hAnsi="宋体" w:cs="宋体"/>
                <w:kern w:val="0"/>
                <w:szCs w:val="21"/>
                <w:highlight w:val="none"/>
              </w:rPr>
              <w:t>分）</w:t>
            </w:r>
          </w:p>
        </w:tc>
        <w:tc>
          <w:tcPr>
            <w:tcW w:w="7894" w:type="dxa"/>
            <w:shd w:val="clear" w:color="auto" w:fill="auto"/>
            <w:noWrap w:val="0"/>
            <w:tcMar>
              <w:top w:w="0" w:type="dxa"/>
              <w:left w:w="11" w:type="dxa"/>
              <w:bottom w:w="0" w:type="dxa"/>
              <w:right w:w="108" w:type="dxa"/>
            </w:tcMar>
            <w:vAlign w:val="center"/>
          </w:tcPr>
          <w:p w14:paraId="69967735">
            <w:pPr>
              <w:pStyle w:val="5"/>
              <w:numPr>
                <w:ilvl w:val="0"/>
                <w:numId w:val="0"/>
              </w:numPr>
              <w:spacing w:line="240" w:lineRule="auto"/>
              <w:ind w:left="105" w:firstLine="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供应商2023年1月1日至今（合同签订时间为准）完成过类似项目业绩的，有1个的</w:t>
            </w:r>
            <w:r>
              <w:rPr>
                <w:rFonts w:hint="eastAsia" w:ascii="宋体" w:hAnsi="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分，满分9分。</w:t>
            </w:r>
          </w:p>
          <w:p w14:paraId="6CDFE653">
            <w:pPr>
              <w:pStyle w:val="5"/>
              <w:numPr>
                <w:ilvl w:val="0"/>
                <w:numId w:val="0"/>
              </w:numPr>
              <w:spacing w:line="240" w:lineRule="auto"/>
              <w:ind w:left="105" w:leftChars="0" w:firstLine="0" w:firstLineChars="0"/>
              <w:rPr>
                <w:rFonts w:hint="eastAsia" w:ascii="宋体" w:hAnsi="宋体" w:eastAsia="宋体" w:cs="宋体"/>
                <w:kern w:val="0"/>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注：提供合同复印件并加盖投标人公章，同一业主单位合同不重复计分，未提供不得分。</w:t>
            </w:r>
          </w:p>
        </w:tc>
      </w:tr>
      <w:tr w14:paraId="08DE1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0" w:hRule="atLeast"/>
          <w:jc w:val="center"/>
        </w:trPr>
        <w:tc>
          <w:tcPr>
            <w:tcW w:w="1114" w:type="dxa"/>
            <w:shd w:val="clear" w:color="auto" w:fill="auto"/>
            <w:noWrap w:val="0"/>
            <w:vAlign w:val="center"/>
          </w:tcPr>
          <w:p w14:paraId="38EEE0B4">
            <w:pPr>
              <w:adjustRightInd w:val="0"/>
              <w:spacing w:line="320" w:lineRule="exact"/>
              <w:contextualSpacing/>
              <w:jc w:val="center"/>
              <w:rPr>
                <w:rFonts w:hint="eastAsia" w:ascii="宋体" w:hAnsi="宋体" w:eastAsia="宋体" w:cs="宋体"/>
                <w:kern w:val="0"/>
                <w:szCs w:val="21"/>
                <w:highlight w:val="none"/>
                <w:lang w:val="en-US" w:eastAsia="zh-CN"/>
              </w:rPr>
            </w:pPr>
            <w:r>
              <w:rPr>
                <w:rFonts w:hint="eastAsia" w:cs="宋体"/>
                <w:sz w:val="21"/>
                <w:szCs w:val="21"/>
              </w:rPr>
              <w:t>增值服务</w:t>
            </w:r>
            <w:r>
              <w:rPr>
                <w:rFonts w:hint="eastAsia" w:cs="宋体"/>
                <w:sz w:val="21"/>
                <w:szCs w:val="21"/>
                <w:lang w:val="en-US" w:eastAsia="zh-CN"/>
              </w:rPr>
              <w:t>方案（13分）</w:t>
            </w:r>
          </w:p>
        </w:tc>
        <w:tc>
          <w:tcPr>
            <w:tcW w:w="7894" w:type="dxa"/>
            <w:shd w:val="clear" w:color="auto" w:fill="auto"/>
            <w:noWrap w:val="0"/>
            <w:tcMar>
              <w:top w:w="0" w:type="dxa"/>
              <w:left w:w="11" w:type="dxa"/>
              <w:bottom w:w="0" w:type="dxa"/>
              <w:right w:w="108" w:type="dxa"/>
            </w:tcMar>
            <w:vAlign w:val="center"/>
          </w:tcPr>
          <w:p w14:paraId="609F81B7">
            <w:pPr>
              <w:pStyle w:val="5"/>
              <w:numPr>
                <w:ilvl w:val="0"/>
                <w:numId w:val="0"/>
              </w:numPr>
              <w:spacing w:line="240" w:lineRule="auto"/>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cs="宋体"/>
                <w:b/>
                <w:bCs/>
                <w:color w:val="auto"/>
                <w:sz w:val="21"/>
                <w:szCs w:val="21"/>
                <w:highlight w:val="none"/>
                <w:lang w:val="en-US" w:eastAsia="zh-CN" w:bidi="ar-SA"/>
              </w:rPr>
              <w:t>1、</w:t>
            </w:r>
            <w:r>
              <w:rPr>
                <w:rFonts w:hint="eastAsia" w:ascii="宋体" w:hAnsi="宋体" w:eastAsia="宋体" w:cs="宋体"/>
                <w:b/>
                <w:bCs/>
                <w:color w:val="auto"/>
                <w:sz w:val="21"/>
                <w:szCs w:val="21"/>
                <w:highlight w:val="none"/>
                <w:lang w:val="en-US" w:eastAsia="zh-CN" w:bidi="ar-SA"/>
              </w:rPr>
              <w:t>质量保证措施（</w:t>
            </w:r>
            <w:r>
              <w:rPr>
                <w:rFonts w:hint="eastAsia" w:ascii="宋体" w:hAnsi="宋体" w:cs="宋体"/>
                <w:b/>
                <w:bCs/>
                <w:color w:val="auto"/>
                <w:sz w:val="21"/>
                <w:szCs w:val="21"/>
                <w:highlight w:val="none"/>
                <w:lang w:val="en-US" w:eastAsia="zh-CN" w:bidi="ar-SA"/>
              </w:rPr>
              <w:t>8</w:t>
            </w:r>
            <w:r>
              <w:rPr>
                <w:rFonts w:hint="eastAsia" w:ascii="宋体" w:hAnsi="宋体" w:eastAsia="宋体" w:cs="宋体"/>
                <w:b/>
                <w:bCs/>
                <w:color w:val="auto"/>
                <w:sz w:val="21"/>
                <w:szCs w:val="21"/>
                <w:highlight w:val="none"/>
                <w:lang w:val="en-US" w:eastAsia="zh-CN" w:bidi="ar-SA"/>
              </w:rPr>
              <w:t>分）</w:t>
            </w:r>
            <w:r>
              <w:rPr>
                <w:rFonts w:hint="eastAsia" w:ascii="宋体" w:hAnsi="宋体" w:eastAsia="宋体" w:cs="宋体"/>
                <w:color w:val="auto"/>
                <w:sz w:val="21"/>
                <w:szCs w:val="21"/>
                <w:highlight w:val="none"/>
                <w:lang w:val="en-US" w:eastAsia="zh-CN" w:bidi="ar-SA"/>
              </w:rPr>
              <w:t>：根据投标人提供的针对本项目质量保证措施进行打分。</w:t>
            </w:r>
          </w:p>
          <w:p w14:paraId="05D592C9">
            <w:pPr>
              <w:pStyle w:val="5"/>
              <w:numPr>
                <w:ilvl w:val="0"/>
                <w:numId w:val="0"/>
              </w:numPr>
              <w:spacing w:line="240" w:lineRule="auto"/>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方案详细、全面，完善，完全满足要求的得</w:t>
            </w:r>
            <w:r>
              <w:rPr>
                <w:rFonts w:hint="eastAsia" w:ascii="宋体" w:hAnsi="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en-US" w:eastAsia="zh-CN" w:bidi="ar-SA"/>
              </w:rPr>
              <w:t xml:space="preserve">分； </w:t>
            </w:r>
          </w:p>
          <w:p w14:paraId="3467EC4A">
            <w:pPr>
              <w:pStyle w:val="5"/>
              <w:numPr>
                <w:ilvl w:val="0"/>
                <w:numId w:val="0"/>
              </w:numPr>
              <w:spacing w:line="240" w:lineRule="auto"/>
              <w:ind w:left="0" w:leftChars="0" w:firstLine="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方案详细程度及全面性、可操作性，基本满足要求的得</w:t>
            </w:r>
            <w:r>
              <w:rPr>
                <w:rFonts w:hint="eastAsia" w:ascii="宋体" w:hAnsi="宋体" w:cs="宋体"/>
                <w:color w:val="auto"/>
                <w:sz w:val="21"/>
                <w:szCs w:val="21"/>
                <w:highlight w:val="none"/>
                <w:lang w:val="en-US" w:eastAsia="zh-CN" w:bidi="ar-SA"/>
              </w:rPr>
              <w:t>5</w:t>
            </w:r>
            <w:r>
              <w:rPr>
                <w:rFonts w:hint="eastAsia" w:ascii="宋体" w:hAnsi="宋体" w:eastAsia="宋体" w:cs="宋体"/>
                <w:color w:val="auto"/>
                <w:sz w:val="21"/>
                <w:szCs w:val="21"/>
                <w:highlight w:val="none"/>
                <w:lang w:val="en-US" w:eastAsia="zh-CN" w:bidi="ar-SA"/>
              </w:rPr>
              <w:t xml:space="preserve">分； </w:t>
            </w:r>
          </w:p>
          <w:p w14:paraId="2B5EE503">
            <w:pPr>
              <w:pStyle w:val="5"/>
              <w:numPr>
                <w:ilvl w:val="0"/>
                <w:numId w:val="0"/>
              </w:numPr>
              <w:spacing w:line="240" w:lineRule="auto"/>
              <w:ind w:left="105" w:leftChars="0" w:firstLine="0" w:firstLineChars="0"/>
              <w:rPr>
                <w:rFonts w:hint="default" w:ascii="宋体" w:hAnsi="宋体" w:cs="宋体"/>
                <w:b/>
                <w:bCs/>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方案全面性、详细程度及内容完整性有瑕疵的，得</w:t>
            </w:r>
            <w:r>
              <w:rPr>
                <w:rFonts w:hint="eastAsia" w:ascii="宋体" w:hAnsi="宋体" w:cs="宋体"/>
                <w:color w:val="auto"/>
                <w:sz w:val="21"/>
                <w:szCs w:val="21"/>
                <w:highlight w:val="none"/>
                <w:lang w:val="en-US" w:eastAsia="zh-CN" w:bidi="ar-SA"/>
              </w:rPr>
              <w:t>3</w:t>
            </w:r>
            <w:r>
              <w:rPr>
                <w:rFonts w:hint="eastAsia" w:ascii="宋体" w:hAnsi="宋体" w:eastAsia="宋体" w:cs="宋体"/>
                <w:color w:val="auto"/>
                <w:sz w:val="21"/>
                <w:szCs w:val="21"/>
                <w:highlight w:val="none"/>
                <w:lang w:val="en-US" w:eastAsia="zh-CN" w:bidi="ar-SA"/>
              </w:rPr>
              <w:t>分； 其余不得分。</w:t>
            </w:r>
          </w:p>
          <w:p w14:paraId="7515DFF3">
            <w:pPr>
              <w:pStyle w:val="5"/>
              <w:numPr>
                <w:ilvl w:val="0"/>
                <w:numId w:val="0"/>
              </w:numPr>
              <w:spacing w:line="240" w:lineRule="auto"/>
              <w:ind w:left="105" w:leftChars="0" w:firstLine="0" w:firstLineChars="0"/>
              <w:rPr>
                <w:rFonts w:ascii="宋体" w:hAnsi="宋体" w:cs="宋体"/>
                <w:b/>
                <w:bCs/>
                <w:szCs w:val="21"/>
              </w:rPr>
            </w:pPr>
            <w:r>
              <w:rPr>
                <w:rFonts w:hint="eastAsia" w:ascii="宋体" w:hAnsi="宋体" w:cs="宋体"/>
                <w:b/>
                <w:bCs/>
                <w:color w:val="auto"/>
                <w:sz w:val="21"/>
                <w:szCs w:val="21"/>
                <w:highlight w:val="none"/>
                <w:lang w:val="en-US" w:eastAsia="zh-CN" w:bidi="ar-SA"/>
              </w:rPr>
              <w:t>2、根据</w:t>
            </w:r>
            <w:r>
              <w:rPr>
                <w:rFonts w:hint="eastAsia" w:ascii="宋体" w:hAnsi="宋体" w:eastAsia="宋体" w:cs="宋体"/>
                <w:b/>
                <w:bCs/>
                <w:color w:val="auto"/>
                <w:sz w:val="21"/>
                <w:szCs w:val="21"/>
                <w:highlight w:val="none"/>
                <w:lang w:val="en-US" w:eastAsia="zh-CN" w:bidi="ar-SA"/>
              </w:rPr>
              <w:t>投标人提供的增值服务方案，包含但不限于</w:t>
            </w:r>
            <w:r>
              <w:rPr>
                <w:rFonts w:ascii="宋体" w:hAnsi="宋体" w:cs="宋体"/>
                <w:b/>
                <w:bCs/>
                <w:szCs w:val="21"/>
              </w:rPr>
              <w:t>质保期、响应时间、退换货机制等</w:t>
            </w:r>
            <w:r>
              <w:rPr>
                <w:rFonts w:hint="eastAsia" w:ascii="宋体" w:hAnsi="宋体" w:cs="宋体"/>
                <w:b/>
                <w:bCs/>
                <w:szCs w:val="21"/>
                <w:lang w:val="en-US" w:eastAsia="zh-CN"/>
              </w:rPr>
              <w:t>进行打分（5分）</w:t>
            </w:r>
            <w:r>
              <w:rPr>
                <w:rFonts w:ascii="宋体" w:hAnsi="宋体" w:cs="宋体"/>
                <w:b/>
                <w:bCs/>
                <w:szCs w:val="21"/>
              </w:rPr>
              <w:t>：</w:t>
            </w:r>
          </w:p>
          <w:p w14:paraId="1F2154CD">
            <w:pPr>
              <w:pStyle w:val="5"/>
              <w:numPr>
                <w:ilvl w:val="0"/>
                <w:numId w:val="0"/>
              </w:numPr>
              <w:spacing w:line="240" w:lineRule="auto"/>
              <w:ind w:left="105" w:leftChars="0" w:firstLine="0" w:firstLineChars="0"/>
              <w:rPr>
                <w:rFonts w:hint="default" w:ascii="宋体" w:hAnsi="宋体" w:eastAsia="宋体" w:cs="宋体"/>
                <w:szCs w:val="21"/>
                <w:lang w:val="en-US" w:eastAsia="zh-CN"/>
              </w:rPr>
            </w:pPr>
            <w:r>
              <w:rPr>
                <w:rFonts w:ascii="宋体" w:hAnsi="宋体" w:cs="宋体"/>
                <w:szCs w:val="21"/>
              </w:rPr>
              <w:t>优（≥2年质保，24h响应等）得</w:t>
            </w:r>
            <w:r>
              <w:rPr>
                <w:rFonts w:hint="eastAsia" w:ascii="宋体" w:hAnsi="宋体" w:cs="宋体"/>
                <w:szCs w:val="21"/>
                <w:lang w:val="en-US" w:eastAsia="zh-CN"/>
              </w:rPr>
              <w:t>5</w:t>
            </w:r>
            <w:r>
              <w:rPr>
                <w:rFonts w:ascii="宋体" w:hAnsi="宋体" w:cs="宋体"/>
                <w:szCs w:val="21"/>
              </w:rPr>
              <w:t>分；良得</w:t>
            </w:r>
            <w:r>
              <w:rPr>
                <w:rFonts w:hint="eastAsia" w:ascii="宋体" w:hAnsi="宋体" w:cs="宋体"/>
                <w:szCs w:val="21"/>
                <w:lang w:val="en-US" w:eastAsia="zh-CN"/>
              </w:rPr>
              <w:t>3</w:t>
            </w:r>
            <w:r>
              <w:rPr>
                <w:rFonts w:ascii="宋体" w:hAnsi="宋体" w:cs="宋体"/>
                <w:szCs w:val="21"/>
              </w:rPr>
              <w:t>分；一般得</w:t>
            </w:r>
            <w:r>
              <w:rPr>
                <w:rFonts w:hint="eastAsia" w:ascii="宋体" w:hAnsi="宋体" w:cs="宋体"/>
                <w:szCs w:val="21"/>
                <w:lang w:val="en-US" w:eastAsia="zh-CN"/>
              </w:rPr>
              <w:t>1</w:t>
            </w:r>
            <w:r>
              <w:rPr>
                <w:rFonts w:ascii="宋体" w:hAnsi="宋体" w:cs="宋体"/>
                <w:szCs w:val="21"/>
              </w:rPr>
              <w:t>分；未提供0分。</w:t>
            </w:r>
          </w:p>
        </w:tc>
      </w:tr>
    </w:tbl>
    <w:p w14:paraId="72F0FF2C">
      <w:pPr>
        <w:spacing w:before="120" w:after="120"/>
        <w:ind w:firstLine="480"/>
        <w:rPr>
          <w:rFonts w:hint="eastAsia" w:ascii="宋体" w:cs="宋体"/>
          <w:color w:val="auto"/>
          <w:kern w:val="0"/>
          <w:szCs w:val="21"/>
          <w:highlight w:val="none"/>
        </w:rPr>
      </w:pPr>
      <w:r>
        <w:rPr>
          <w:rFonts w:hint="eastAsia" w:ascii="宋体" w:cs="宋体"/>
          <w:color w:val="auto"/>
          <w:kern w:val="0"/>
          <w:szCs w:val="21"/>
          <w:highlight w:val="none"/>
        </w:rPr>
        <w:br w:type="page"/>
      </w:r>
    </w:p>
    <w:p w14:paraId="6E6CBCA5">
      <w:pPr>
        <w:pStyle w:val="2"/>
        <w:jc w:val="center"/>
        <w:rPr>
          <w:color w:val="auto"/>
          <w:sz w:val="36"/>
          <w:highlight w:val="none"/>
        </w:rPr>
      </w:pPr>
      <w:bookmarkStart w:id="114" w:name="_Toc17539"/>
      <w:bookmarkStart w:id="115" w:name="_Toc498003958"/>
      <w:r>
        <w:rPr>
          <w:color w:val="auto"/>
          <w:sz w:val="36"/>
          <w:highlight w:val="none"/>
        </w:rPr>
        <w:t>第六章 投标文件格式</w:t>
      </w:r>
      <w:bookmarkEnd w:id="114"/>
    </w:p>
    <w:p w14:paraId="0BFBCBC2">
      <w:pPr>
        <w:jc w:val="center"/>
        <w:outlineLvl w:val="9"/>
        <w:rPr>
          <w:color w:val="auto"/>
          <w:sz w:val="36"/>
          <w:highlight w:val="none"/>
        </w:rPr>
      </w:pPr>
    </w:p>
    <w:p w14:paraId="3B923F38">
      <w:pPr>
        <w:jc w:val="center"/>
        <w:outlineLvl w:val="9"/>
        <w:rPr>
          <w:color w:val="auto"/>
          <w:sz w:val="36"/>
          <w:highlight w:val="none"/>
        </w:rPr>
      </w:pPr>
    </w:p>
    <w:bookmarkEnd w:id="115"/>
    <w:p w14:paraId="2FBEA1F4">
      <w:pPr>
        <w:jc w:val="center"/>
        <w:rPr>
          <w:b/>
          <w:color w:val="auto"/>
          <w:sz w:val="72"/>
          <w:highlight w:val="none"/>
        </w:rPr>
      </w:pPr>
      <w:r>
        <w:rPr>
          <w:b/>
          <w:color w:val="auto"/>
          <w:sz w:val="72"/>
          <w:highlight w:val="none"/>
        </w:rPr>
        <w:t>投  标  文  件</w:t>
      </w:r>
    </w:p>
    <w:p w14:paraId="12E39A83">
      <w:pPr>
        <w:jc w:val="center"/>
        <w:rPr>
          <w:b/>
          <w:color w:val="auto"/>
          <w:sz w:val="72"/>
          <w:highlight w:val="none"/>
        </w:rPr>
      </w:pPr>
    </w:p>
    <w:p w14:paraId="021D0E03">
      <w:pPr>
        <w:jc w:val="center"/>
        <w:rPr>
          <w:b/>
          <w:color w:val="auto"/>
          <w:sz w:val="72"/>
          <w:highlight w:val="none"/>
        </w:rPr>
      </w:pPr>
    </w:p>
    <w:p w14:paraId="1EA7D061">
      <w:pPr>
        <w:jc w:val="center"/>
        <w:rPr>
          <w:b/>
          <w:color w:val="auto"/>
          <w:sz w:val="36"/>
          <w:highlight w:val="none"/>
        </w:rPr>
      </w:pPr>
    </w:p>
    <w:p w14:paraId="16A0DEFD">
      <w:pPr>
        <w:jc w:val="center"/>
        <w:rPr>
          <w:b/>
          <w:color w:val="auto"/>
          <w:sz w:val="36"/>
          <w:highlight w:val="none"/>
        </w:rPr>
      </w:pPr>
    </w:p>
    <w:p w14:paraId="0E295271">
      <w:pPr>
        <w:jc w:val="center"/>
        <w:rPr>
          <w:b/>
          <w:color w:val="auto"/>
          <w:sz w:val="36"/>
          <w:highlight w:val="none"/>
        </w:rPr>
      </w:pPr>
    </w:p>
    <w:p w14:paraId="4ED42632">
      <w:pPr>
        <w:ind w:firstLine="1084" w:firstLineChars="300"/>
        <w:rPr>
          <w:color w:val="auto"/>
          <w:sz w:val="36"/>
          <w:szCs w:val="36"/>
          <w:highlight w:val="none"/>
        </w:rPr>
      </w:pPr>
      <w:r>
        <w:rPr>
          <w:b/>
          <w:color w:val="auto"/>
          <w:sz w:val="36"/>
          <w:highlight w:val="none"/>
        </w:rPr>
        <w:t>项 目 名 称：</w:t>
      </w:r>
      <w:r>
        <w:rPr>
          <w:b/>
          <w:color w:val="auto"/>
          <w:sz w:val="36"/>
          <w:highlight w:val="none"/>
          <w:u w:val="single"/>
        </w:rPr>
        <w:t xml:space="preserve">                       </w:t>
      </w:r>
    </w:p>
    <w:p w14:paraId="58DE32A1">
      <w:pPr>
        <w:ind w:firstLine="1084" w:firstLineChars="300"/>
        <w:rPr>
          <w:b/>
          <w:color w:val="auto"/>
          <w:sz w:val="36"/>
          <w:highlight w:val="none"/>
          <w:u w:val="single"/>
        </w:rPr>
      </w:pPr>
      <w:r>
        <w:rPr>
          <w:b/>
          <w:color w:val="auto"/>
          <w:sz w:val="36"/>
          <w:highlight w:val="none"/>
        </w:rPr>
        <w:t>编       号：</w:t>
      </w:r>
      <w:r>
        <w:rPr>
          <w:b/>
          <w:color w:val="auto"/>
          <w:sz w:val="36"/>
          <w:highlight w:val="none"/>
          <w:u w:val="single"/>
        </w:rPr>
        <w:t xml:space="preserve">                       </w:t>
      </w:r>
    </w:p>
    <w:p w14:paraId="040F6F0F">
      <w:pPr>
        <w:rPr>
          <w:b/>
          <w:color w:val="auto"/>
          <w:sz w:val="36"/>
          <w:highlight w:val="none"/>
          <w:u w:val="single"/>
        </w:rPr>
      </w:pPr>
      <w:r>
        <w:rPr>
          <w:b/>
          <w:color w:val="auto"/>
          <w:sz w:val="36"/>
          <w:highlight w:val="none"/>
        </w:rPr>
        <w:t xml:space="preserve">      投标人名称 ：</w:t>
      </w:r>
      <w:r>
        <w:rPr>
          <w:b/>
          <w:color w:val="auto"/>
          <w:sz w:val="36"/>
          <w:highlight w:val="none"/>
          <w:u w:val="single"/>
        </w:rPr>
        <w:t xml:space="preserve">                       </w:t>
      </w:r>
    </w:p>
    <w:p w14:paraId="2B466FEF">
      <w:pPr>
        <w:rPr>
          <w:b/>
          <w:color w:val="auto"/>
          <w:sz w:val="36"/>
          <w:highlight w:val="none"/>
        </w:rPr>
      </w:pPr>
      <w:r>
        <w:rPr>
          <w:b/>
          <w:color w:val="auto"/>
          <w:sz w:val="36"/>
          <w:highlight w:val="none"/>
        </w:rPr>
        <w:t xml:space="preserve">      日      期 ：</w:t>
      </w:r>
      <w:r>
        <w:rPr>
          <w:b/>
          <w:color w:val="auto"/>
          <w:sz w:val="36"/>
          <w:highlight w:val="none"/>
          <w:u w:val="single"/>
        </w:rPr>
        <w:t xml:space="preserve">                       </w:t>
      </w:r>
    </w:p>
    <w:p w14:paraId="00B35959">
      <w:pPr>
        <w:spacing w:line="440" w:lineRule="exact"/>
        <w:rPr>
          <w:color w:val="auto"/>
          <w:sz w:val="24"/>
          <w:highlight w:val="none"/>
        </w:rPr>
      </w:pPr>
    </w:p>
    <w:p w14:paraId="2E3BF17E">
      <w:pPr>
        <w:spacing w:line="440" w:lineRule="exact"/>
        <w:ind w:firstLine="480" w:firstLineChars="200"/>
        <w:rPr>
          <w:color w:val="auto"/>
          <w:sz w:val="24"/>
          <w:highlight w:val="none"/>
        </w:rPr>
      </w:pPr>
    </w:p>
    <w:p w14:paraId="3F7D7410">
      <w:pPr>
        <w:autoSpaceDE w:val="0"/>
        <w:autoSpaceDN w:val="0"/>
        <w:adjustRightInd w:val="0"/>
        <w:spacing w:line="360" w:lineRule="auto"/>
        <w:rPr>
          <w:b/>
          <w:bCs/>
          <w:color w:val="auto"/>
          <w:sz w:val="28"/>
          <w:szCs w:val="28"/>
          <w:highlight w:val="none"/>
        </w:rPr>
      </w:pPr>
      <w:r>
        <w:rPr>
          <w:b/>
          <w:bCs/>
          <w:color w:val="auto"/>
          <w:sz w:val="28"/>
          <w:szCs w:val="28"/>
          <w:highlight w:val="none"/>
          <w:lang w:val="zh-CN"/>
        </w:rPr>
        <w:t>说明：</w:t>
      </w:r>
    </w:p>
    <w:p w14:paraId="44577BC4">
      <w:pPr>
        <w:autoSpaceDE w:val="0"/>
        <w:autoSpaceDN w:val="0"/>
        <w:adjustRightInd w:val="0"/>
        <w:spacing w:line="360" w:lineRule="auto"/>
        <w:ind w:firstLine="618" w:firstLineChars="220"/>
        <w:rPr>
          <w:b/>
          <w:bCs/>
          <w:color w:val="auto"/>
          <w:sz w:val="28"/>
          <w:szCs w:val="28"/>
          <w:highlight w:val="none"/>
        </w:rPr>
      </w:pPr>
      <w:r>
        <w:rPr>
          <w:b/>
          <w:bCs/>
          <w:color w:val="auto"/>
          <w:sz w:val="28"/>
          <w:szCs w:val="28"/>
          <w:highlight w:val="none"/>
          <w:lang w:val="zh-CN"/>
        </w:rPr>
        <w:t>对本章所有的投标文件格式 ，投标人可根据自身情况进行补充和修改，但补充和修改不得造成与本格式内容有实质性的违背。</w:t>
      </w:r>
    </w:p>
    <w:p w14:paraId="282BC4F2">
      <w:pPr>
        <w:spacing w:before="312" w:beforeLines="100" w:after="312" w:afterLines="100"/>
        <w:jc w:val="center"/>
        <w:rPr>
          <w:b/>
          <w:color w:val="auto"/>
          <w:szCs w:val="21"/>
          <w:highlight w:val="none"/>
        </w:rPr>
      </w:pPr>
      <w:r>
        <w:rPr>
          <w:color w:val="auto"/>
          <w:sz w:val="24"/>
          <w:highlight w:val="none"/>
        </w:rPr>
        <w:br w:type="page"/>
      </w:r>
      <w:r>
        <w:rPr>
          <w:b/>
          <w:color w:val="auto"/>
          <w:szCs w:val="21"/>
          <w:highlight w:val="none"/>
        </w:rPr>
        <w:t>评分索引表</w:t>
      </w:r>
    </w:p>
    <w:tbl>
      <w:tblPr>
        <w:tblStyle w:val="17"/>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0"/>
        <w:gridCol w:w="3402"/>
      </w:tblGrid>
      <w:tr w14:paraId="161B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70" w:type="dxa"/>
            <w:tcBorders>
              <w:top w:val="single" w:color="auto" w:sz="4" w:space="0"/>
              <w:left w:val="single" w:color="auto" w:sz="4" w:space="0"/>
              <w:bottom w:val="single" w:color="auto" w:sz="4" w:space="0"/>
              <w:right w:val="single" w:color="auto" w:sz="4" w:space="0"/>
            </w:tcBorders>
            <w:noWrap w:val="0"/>
            <w:vAlign w:val="center"/>
          </w:tcPr>
          <w:p w14:paraId="7BEB57C5">
            <w:pPr>
              <w:pStyle w:val="35"/>
              <w:shd w:val="clear" w:color="auto" w:fill="FFFFFF"/>
              <w:spacing w:line="265" w:lineRule="atLeast"/>
              <w:ind w:left="420" w:firstLine="422"/>
              <w:jc w:val="center"/>
              <w:rPr>
                <w:b/>
                <w:bCs/>
                <w:color w:val="auto"/>
                <w:kern w:val="2"/>
                <w:sz w:val="21"/>
                <w:szCs w:val="21"/>
                <w:highlight w:val="none"/>
              </w:rPr>
            </w:pPr>
            <w:r>
              <w:rPr>
                <w:b/>
                <w:color w:val="auto"/>
                <w:kern w:val="2"/>
                <w:sz w:val="21"/>
                <w:szCs w:val="21"/>
                <w:highlight w:val="none"/>
              </w:rPr>
              <w:t>评分项目</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4F3E910A">
            <w:pPr>
              <w:adjustRightInd w:val="0"/>
              <w:snapToGrid w:val="0"/>
              <w:spacing w:line="220" w:lineRule="atLeast"/>
              <w:jc w:val="center"/>
              <w:rPr>
                <w:b/>
                <w:color w:val="auto"/>
                <w:szCs w:val="21"/>
                <w:highlight w:val="none"/>
              </w:rPr>
            </w:pPr>
            <w:r>
              <w:rPr>
                <w:b/>
                <w:color w:val="auto"/>
                <w:szCs w:val="21"/>
                <w:highlight w:val="none"/>
                <w:lang w:bidi="en-US"/>
              </w:rPr>
              <w:t>在投标文件中的页码位置</w:t>
            </w:r>
          </w:p>
        </w:tc>
      </w:tr>
      <w:tr w14:paraId="3B0A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0F12A926">
            <w:pPr>
              <w:pStyle w:val="35"/>
              <w:shd w:val="clear" w:color="auto" w:fill="FFFFFF"/>
              <w:spacing w:line="265" w:lineRule="atLeast"/>
              <w:ind w:left="420" w:firstLine="422"/>
              <w:rPr>
                <w:b/>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3BD4C9E2">
            <w:pPr>
              <w:adjustRightInd w:val="0"/>
              <w:snapToGrid w:val="0"/>
              <w:spacing w:after="200" w:line="220" w:lineRule="atLeast"/>
              <w:rPr>
                <w:b/>
                <w:color w:val="auto"/>
                <w:sz w:val="24"/>
                <w:highlight w:val="none"/>
                <w:lang w:bidi="en-US"/>
              </w:rPr>
            </w:pPr>
          </w:p>
        </w:tc>
      </w:tr>
      <w:tr w14:paraId="469E6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472" w:type="dxa"/>
            <w:gridSpan w:val="2"/>
            <w:tcBorders>
              <w:top w:val="single" w:color="auto" w:sz="4" w:space="0"/>
              <w:left w:val="single" w:color="auto" w:sz="4" w:space="0"/>
              <w:bottom w:val="single" w:color="auto" w:sz="4" w:space="0"/>
              <w:right w:val="single" w:color="auto" w:sz="4" w:space="0"/>
            </w:tcBorders>
            <w:noWrap w:val="0"/>
            <w:vAlign w:val="top"/>
          </w:tcPr>
          <w:p w14:paraId="2A9A74A5">
            <w:pPr>
              <w:pStyle w:val="35"/>
              <w:shd w:val="clear" w:color="auto" w:fill="FFFFFF"/>
              <w:spacing w:line="265" w:lineRule="atLeast"/>
              <w:ind w:left="420"/>
              <w:rPr>
                <w:color w:val="auto"/>
                <w:kern w:val="2"/>
                <w:sz w:val="21"/>
                <w:highlight w:val="none"/>
              </w:rPr>
            </w:pPr>
          </w:p>
        </w:tc>
      </w:tr>
      <w:tr w14:paraId="763B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6A24DB43">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6BEB064E">
            <w:pPr>
              <w:adjustRightInd w:val="0"/>
              <w:snapToGrid w:val="0"/>
              <w:spacing w:after="200" w:line="220" w:lineRule="atLeast"/>
              <w:rPr>
                <w:color w:val="auto"/>
                <w:highlight w:val="none"/>
              </w:rPr>
            </w:pPr>
          </w:p>
        </w:tc>
      </w:tr>
      <w:tr w14:paraId="1837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70B3E957">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62A5143C">
            <w:pPr>
              <w:adjustRightInd w:val="0"/>
              <w:snapToGrid w:val="0"/>
              <w:spacing w:after="200" w:line="220" w:lineRule="atLeast"/>
              <w:rPr>
                <w:color w:val="auto"/>
                <w:highlight w:val="none"/>
              </w:rPr>
            </w:pPr>
          </w:p>
        </w:tc>
      </w:tr>
      <w:tr w14:paraId="4A5A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31F65B6C">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21E76461">
            <w:pPr>
              <w:adjustRightInd w:val="0"/>
              <w:snapToGrid w:val="0"/>
              <w:spacing w:after="200" w:line="220" w:lineRule="atLeast"/>
              <w:rPr>
                <w:color w:val="auto"/>
                <w:highlight w:val="none"/>
              </w:rPr>
            </w:pPr>
          </w:p>
        </w:tc>
      </w:tr>
      <w:tr w14:paraId="7719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631CD180">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06AC07B9">
            <w:pPr>
              <w:adjustRightInd w:val="0"/>
              <w:snapToGrid w:val="0"/>
              <w:spacing w:after="200" w:line="220" w:lineRule="atLeast"/>
              <w:rPr>
                <w:color w:val="auto"/>
                <w:highlight w:val="none"/>
              </w:rPr>
            </w:pPr>
          </w:p>
        </w:tc>
      </w:tr>
      <w:tr w14:paraId="7D8C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36F79F2C">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5632B9E2">
            <w:pPr>
              <w:adjustRightInd w:val="0"/>
              <w:snapToGrid w:val="0"/>
              <w:spacing w:after="200" w:line="220" w:lineRule="atLeast"/>
              <w:rPr>
                <w:color w:val="auto"/>
                <w:highlight w:val="none"/>
              </w:rPr>
            </w:pPr>
          </w:p>
        </w:tc>
      </w:tr>
      <w:tr w14:paraId="3C3C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472" w:type="dxa"/>
            <w:gridSpan w:val="2"/>
            <w:tcBorders>
              <w:top w:val="single" w:color="auto" w:sz="4" w:space="0"/>
              <w:left w:val="single" w:color="auto" w:sz="4" w:space="0"/>
              <w:bottom w:val="single" w:color="auto" w:sz="4" w:space="0"/>
              <w:right w:val="single" w:color="auto" w:sz="4" w:space="0"/>
            </w:tcBorders>
            <w:noWrap w:val="0"/>
            <w:vAlign w:val="top"/>
          </w:tcPr>
          <w:p w14:paraId="4A70A9E5">
            <w:pPr>
              <w:pStyle w:val="35"/>
              <w:shd w:val="clear" w:color="auto" w:fill="FFFFFF"/>
              <w:spacing w:line="265" w:lineRule="atLeast"/>
              <w:ind w:left="420"/>
              <w:rPr>
                <w:color w:val="auto"/>
                <w:kern w:val="2"/>
                <w:sz w:val="21"/>
                <w:highlight w:val="none"/>
              </w:rPr>
            </w:pPr>
          </w:p>
        </w:tc>
      </w:tr>
      <w:tr w14:paraId="15B5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299F95F4">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5530FB96">
            <w:pPr>
              <w:adjustRightInd w:val="0"/>
              <w:snapToGrid w:val="0"/>
              <w:spacing w:after="200" w:line="220" w:lineRule="atLeast"/>
              <w:rPr>
                <w:color w:val="auto"/>
                <w:highlight w:val="none"/>
              </w:rPr>
            </w:pPr>
          </w:p>
        </w:tc>
      </w:tr>
      <w:tr w14:paraId="382F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64E35628">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02D87C40">
            <w:pPr>
              <w:adjustRightInd w:val="0"/>
              <w:snapToGrid w:val="0"/>
              <w:spacing w:after="200" w:line="220" w:lineRule="atLeast"/>
              <w:rPr>
                <w:color w:val="auto"/>
                <w:highlight w:val="none"/>
              </w:rPr>
            </w:pPr>
          </w:p>
        </w:tc>
      </w:tr>
      <w:tr w14:paraId="7597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6F416F29">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30B42564">
            <w:pPr>
              <w:adjustRightInd w:val="0"/>
              <w:snapToGrid w:val="0"/>
              <w:spacing w:after="200" w:line="220" w:lineRule="atLeast"/>
              <w:rPr>
                <w:color w:val="auto"/>
                <w:highlight w:val="none"/>
              </w:rPr>
            </w:pPr>
          </w:p>
        </w:tc>
      </w:tr>
      <w:tr w14:paraId="4CA4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6FF60D5E">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6AB599E1">
            <w:pPr>
              <w:adjustRightInd w:val="0"/>
              <w:snapToGrid w:val="0"/>
              <w:spacing w:after="200" w:line="220" w:lineRule="atLeast"/>
              <w:rPr>
                <w:color w:val="auto"/>
                <w:highlight w:val="none"/>
              </w:rPr>
            </w:pPr>
          </w:p>
        </w:tc>
      </w:tr>
      <w:tr w14:paraId="623D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02E2274D">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037371B1">
            <w:pPr>
              <w:adjustRightInd w:val="0"/>
              <w:snapToGrid w:val="0"/>
              <w:spacing w:after="200" w:line="220" w:lineRule="atLeast"/>
              <w:rPr>
                <w:color w:val="auto"/>
                <w:highlight w:val="none"/>
              </w:rPr>
            </w:pPr>
          </w:p>
        </w:tc>
      </w:tr>
      <w:tr w14:paraId="26F5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72" w:type="dxa"/>
            <w:gridSpan w:val="2"/>
            <w:tcBorders>
              <w:top w:val="single" w:color="auto" w:sz="4" w:space="0"/>
              <w:left w:val="single" w:color="auto" w:sz="4" w:space="0"/>
              <w:bottom w:val="single" w:color="auto" w:sz="4" w:space="0"/>
              <w:right w:val="single" w:color="auto" w:sz="4" w:space="0"/>
            </w:tcBorders>
            <w:noWrap w:val="0"/>
            <w:vAlign w:val="top"/>
          </w:tcPr>
          <w:p w14:paraId="51ABDC94">
            <w:pPr>
              <w:pStyle w:val="35"/>
              <w:shd w:val="clear" w:color="auto" w:fill="FFFFFF"/>
              <w:spacing w:line="265" w:lineRule="atLeast"/>
              <w:ind w:left="420" w:firstLine="422"/>
              <w:rPr>
                <w:b/>
                <w:color w:val="auto"/>
                <w:kern w:val="2"/>
                <w:sz w:val="21"/>
                <w:highlight w:val="none"/>
              </w:rPr>
            </w:pPr>
          </w:p>
        </w:tc>
      </w:tr>
      <w:tr w14:paraId="39F0E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3951C365">
            <w:pPr>
              <w:pStyle w:val="35"/>
              <w:shd w:val="clear" w:color="auto" w:fill="FFFFFF"/>
              <w:spacing w:line="265" w:lineRule="atLeast"/>
              <w:ind w:left="420" w:firstLine="422"/>
              <w:rPr>
                <w:b/>
                <w:bCs/>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56179127">
            <w:pPr>
              <w:adjustRightInd w:val="0"/>
              <w:snapToGrid w:val="0"/>
              <w:spacing w:after="200" w:line="220" w:lineRule="atLeast"/>
              <w:rPr>
                <w:color w:val="auto"/>
                <w:highlight w:val="none"/>
              </w:rPr>
            </w:pPr>
          </w:p>
        </w:tc>
      </w:tr>
      <w:tr w14:paraId="52E4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3D1901BF">
            <w:pPr>
              <w:pStyle w:val="35"/>
              <w:shd w:val="clear" w:color="auto" w:fill="FFFFFF"/>
              <w:spacing w:line="265" w:lineRule="atLeast"/>
              <w:ind w:left="420"/>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7A74EBE5">
            <w:pPr>
              <w:adjustRightInd w:val="0"/>
              <w:snapToGrid w:val="0"/>
              <w:spacing w:after="200" w:line="220" w:lineRule="atLeast"/>
              <w:rPr>
                <w:color w:val="auto"/>
                <w:highlight w:val="none"/>
              </w:rPr>
            </w:pPr>
          </w:p>
        </w:tc>
      </w:tr>
      <w:tr w14:paraId="156A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456C96D6">
            <w:pPr>
              <w:pStyle w:val="35"/>
              <w:shd w:val="clear" w:color="auto" w:fill="FFFFFF"/>
              <w:spacing w:line="265" w:lineRule="atLeast"/>
              <w:ind w:left="420" w:firstLine="422"/>
              <w:rPr>
                <w:b/>
                <w:bCs/>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41F15BF5">
            <w:pPr>
              <w:adjustRightInd w:val="0"/>
              <w:snapToGrid w:val="0"/>
              <w:spacing w:after="200" w:line="220" w:lineRule="atLeast"/>
              <w:rPr>
                <w:color w:val="auto"/>
                <w:highlight w:val="none"/>
              </w:rPr>
            </w:pPr>
          </w:p>
        </w:tc>
      </w:tr>
      <w:tr w14:paraId="01D6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472" w:type="dxa"/>
            <w:gridSpan w:val="2"/>
            <w:tcBorders>
              <w:top w:val="single" w:color="auto" w:sz="4" w:space="0"/>
              <w:left w:val="single" w:color="auto" w:sz="4" w:space="0"/>
              <w:bottom w:val="single" w:color="auto" w:sz="4" w:space="0"/>
              <w:right w:val="single" w:color="auto" w:sz="4" w:space="0"/>
            </w:tcBorders>
            <w:noWrap w:val="0"/>
            <w:vAlign w:val="top"/>
          </w:tcPr>
          <w:p w14:paraId="5586A5F5">
            <w:pPr>
              <w:pStyle w:val="35"/>
              <w:shd w:val="clear" w:color="auto" w:fill="FFFFFF"/>
              <w:spacing w:line="265" w:lineRule="atLeast"/>
              <w:ind w:left="420" w:firstLine="422"/>
              <w:rPr>
                <w:b/>
                <w:color w:val="auto"/>
                <w:kern w:val="2"/>
                <w:sz w:val="21"/>
                <w:highlight w:val="none"/>
              </w:rPr>
            </w:pPr>
          </w:p>
        </w:tc>
      </w:tr>
      <w:tr w14:paraId="27A3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7BB7868C">
            <w:pPr>
              <w:pStyle w:val="35"/>
              <w:shd w:val="clear" w:color="auto" w:fill="FFFFFF"/>
              <w:spacing w:line="265" w:lineRule="atLeast"/>
              <w:rPr>
                <w:color w:val="auto"/>
                <w:kern w:val="2"/>
                <w:sz w:val="21"/>
                <w:szCs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02AED447">
            <w:pPr>
              <w:adjustRightInd w:val="0"/>
              <w:snapToGrid w:val="0"/>
              <w:spacing w:after="200" w:line="220" w:lineRule="atLeast"/>
              <w:rPr>
                <w:color w:val="auto"/>
                <w:highlight w:val="none"/>
              </w:rPr>
            </w:pPr>
          </w:p>
        </w:tc>
      </w:tr>
      <w:tr w14:paraId="423BB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070" w:type="dxa"/>
            <w:tcBorders>
              <w:top w:val="single" w:color="auto" w:sz="4" w:space="0"/>
              <w:left w:val="single" w:color="auto" w:sz="4" w:space="0"/>
              <w:bottom w:val="single" w:color="auto" w:sz="4" w:space="0"/>
              <w:right w:val="single" w:color="auto" w:sz="4" w:space="0"/>
            </w:tcBorders>
            <w:noWrap w:val="0"/>
            <w:vAlign w:val="top"/>
          </w:tcPr>
          <w:p w14:paraId="7367CC36">
            <w:pPr>
              <w:pStyle w:val="35"/>
              <w:shd w:val="clear" w:color="auto" w:fill="FFFFFF"/>
              <w:spacing w:line="265" w:lineRule="atLeast"/>
              <w:rPr>
                <w:color w:val="auto"/>
                <w:kern w:val="2"/>
                <w:sz w:val="21"/>
                <w:highlight w:val="none"/>
              </w:rPr>
            </w:pPr>
          </w:p>
        </w:tc>
        <w:tc>
          <w:tcPr>
            <w:tcW w:w="3402" w:type="dxa"/>
            <w:tcBorders>
              <w:top w:val="single" w:color="auto" w:sz="4" w:space="0"/>
              <w:left w:val="single" w:color="auto" w:sz="4" w:space="0"/>
              <w:bottom w:val="single" w:color="auto" w:sz="4" w:space="0"/>
              <w:right w:val="single" w:color="auto" w:sz="4" w:space="0"/>
            </w:tcBorders>
            <w:noWrap w:val="0"/>
            <w:vAlign w:val="top"/>
          </w:tcPr>
          <w:p w14:paraId="06025F1C">
            <w:pPr>
              <w:adjustRightInd w:val="0"/>
              <w:snapToGrid w:val="0"/>
              <w:spacing w:after="200" w:line="220" w:lineRule="atLeast"/>
              <w:rPr>
                <w:color w:val="auto"/>
                <w:highlight w:val="none"/>
              </w:rPr>
            </w:pPr>
          </w:p>
        </w:tc>
      </w:tr>
    </w:tbl>
    <w:p w14:paraId="54602ECF">
      <w:pPr>
        <w:rPr>
          <w:rFonts w:eastAsia="微软雅黑"/>
          <w:color w:val="auto"/>
          <w:highlight w:val="none"/>
        </w:rPr>
      </w:pPr>
    </w:p>
    <w:p w14:paraId="73B6EA2C">
      <w:pPr>
        <w:spacing w:after="312" w:afterLines="100" w:line="360" w:lineRule="auto"/>
        <w:jc w:val="center"/>
        <w:rPr>
          <w:b/>
          <w:bCs/>
          <w:color w:val="auto"/>
          <w:kern w:val="0"/>
          <w:szCs w:val="21"/>
          <w:highlight w:val="none"/>
        </w:rPr>
      </w:pPr>
      <w:r>
        <w:rPr>
          <w:b/>
          <w:color w:val="auto"/>
          <w:sz w:val="36"/>
          <w:highlight w:val="none"/>
          <w:u w:val="single"/>
        </w:rPr>
        <w:br w:type="page"/>
      </w:r>
      <w:r>
        <w:rPr>
          <w:b/>
          <w:bCs/>
          <w:color w:val="auto"/>
          <w:szCs w:val="21"/>
          <w:highlight w:val="none"/>
        </w:rPr>
        <w:t>投标主要文件目录</w:t>
      </w:r>
    </w:p>
    <w:p w14:paraId="34DCBE0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一、资格性和符合性检查响应对照表</w:t>
      </w:r>
    </w:p>
    <w:p w14:paraId="3BF8CA1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二、资信证明文件</w:t>
      </w:r>
    </w:p>
    <w:p w14:paraId="1F3883E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w:t>
      </w:r>
      <w:r>
        <w:rPr>
          <w:rFonts w:hint="eastAsia" w:ascii="宋体" w:hAnsi="宋体" w:cs="宋体"/>
          <w:szCs w:val="21"/>
          <w:highlight w:val="none"/>
          <w:lang w:val="en-US" w:eastAsia="zh-CN"/>
        </w:rPr>
        <w:t>投标</w:t>
      </w:r>
      <w:r>
        <w:rPr>
          <w:rFonts w:hint="eastAsia" w:ascii="宋体" w:hAnsi="宋体" w:cs="宋体"/>
          <w:szCs w:val="21"/>
          <w:highlight w:val="none"/>
        </w:rPr>
        <w:t>函</w:t>
      </w:r>
    </w:p>
    <w:p w14:paraId="230F21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w:t>
      </w:r>
      <w:r>
        <w:rPr>
          <w:rFonts w:hint="eastAsia" w:ascii="宋体" w:hAnsi="宋体" w:cs="宋体"/>
          <w:szCs w:val="21"/>
          <w:highlight w:val="none"/>
          <w:lang w:val="en-US" w:eastAsia="zh-CN"/>
        </w:rPr>
        <w:t>开标一览表</w:t>
      </w:r>
    </w:p>
    <w:p w14:paraId="51B1066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五、分项报价表</w:t>
      </w:r>
    </w:p>
    <w:p w14:paraId="6E71418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六、技术参数响应及偏离表</w:t>
      </w:r>
    </w:p>
    <w:p w14:paraId="162B2199">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七、商务条款响应及偏离表</w:t>
      </w:r>
      <w:r>
        <w:rPr>
          <w:rFonts w:hint="eastAsia" w:ascii="宋体" w:hAnsi="宋体" w:cs="宋体"/>
          <w:szCs w:val="21"/>
          <w:highlight w:val="none"/>
          <w:lang w:val="en-US" w:eastAsia="zh-CN"/>
        </w:rPr>
        <w:t>......</w:t>
      </w:r>
    </w:p>
    <w:p w14:paraId="595F537A">
      <w:pPr>
        <w:spacing w:line="360" w:lineRule="auto"/>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八、......</w:t>
      </w:r>
    </w:p>
    <w:p w14:paraId="5F12397B">
      <w:pPr>
        <w:rPr>
          <w:rFonts w:hint="eastAsia" w:ascii="宋体" w:hAnsi="宋体"/>
          <w:color w:val="auto"/>
          <w:highlight w:val="none"/>
        </w:rPr>
      </w:pPr>
    </w:p>
    <w:p w14:paraId="3EECFD47">
      <w:pPr>
        <w:rPr>
          <w:rFonts w:hint="eastAsia" w:ascii="宋体" w:hAnsi="宋体"/>
          <w:color w:val="auto"/>
          <w:highlight w:val="none"/>
        </w:rPr>
      </w:pPr>
    </w:p>
    <w:p w14:paraId="178C0418">
      <w:pPr>
        <w:rPr>
          <w:rFonts w:hint="eastAsia" w:ascii="宋体" w:hAnsi="宋体"/>
          <w:color w:val="auto"/>
          <w:highlight w:val="none"/>
        </w:rPr>
      </w:pPr>
    </w:p>
    <w:p w14:paraId="371545C4">
      <w:pPr>
        <w:spacing w:line="360" w:lineRule="auto"/>
        <w:ind w:firstLine="480"/>
        <w:rPr>
          <w:color w:val="auto"/>
          <w:sz w:val="36"/>
          <w:szCs w:val="36"/>
          <w:highlight w:val="none"/>
        </w:rPr>
      </w:pPr>
    </w:p>
    <w:p w14:paraId="2A5A2B47">
      <w:pPr>
        <w:spacing w:line="360" w:lineRule="auto"/>
        <w:ind w:firstLine="420" w:firstLineChars="200"/>
        <w:rPr>
          <w:color w:val="auto"/>
          <w:szCs w:val="21"/>
          <w:highlight w:val="none"/>
        </w:rPr>
      </w:pPr>
    </w:p>
    <w:p w14:paraId="76E5BD5F">
      <w:pPr>
        <w:ind w:firstLine="420" w:firstLineChars="200"/>
        <w:rPr>
          <w:color w:val="auto"/>
          <w:szCs w:val="21"/>
          <w:highlight w:val="none"/>
        </w:rPr>
      </w:pPr>
    </w:p>
    <w:p w14:paraId="5DA627F6">
      <w:pPr>
        <w:jc w:val="left"/>
        <w:rPr>
          <w:b/>
          <w:color w:val="auto"/>
          <w:sz w:val="22"/>
          <w:szCs w:val="21"/>
          <w:highlight w:val="none"/>
        </w:rPr>
      </w:pPr>
    </w:p>
    <w:p w14:paraId="6F6FF753">
      <w:pPr>
        <w:jc w:val="left"/>
        <w:rPr>
          <w:b/>
          <w:color w:val="auto"/>
          <w:szCs w:val="21"/>
          <w:highlight w:val="none"/>
        </w:rPr>
      </w:pPr>
    </w:p>
    <w:p w14:paraId="76813845">
      <w:pPr>
        <w:jc w:val="left"/>
        <w:rPr>
          <w:b/>
          <w:color w:val="auto"/>
          <w:szCs w:val="21"/>
          <w:highlight w:val="none"/>
        </w:rPr>
      </w:pPr>
    </w:p>
    <w:p w14:paraId="31D0A01A">
      <w:pPr>
        <w:jc w:val="left"/>
        <w:rPr>
          <w:b/>
          <w:color w:val="auto"/>
          <w:szCs w:val="21"/>
          <w:highlight w:val="none"/>
        </w:rPr>
      </w:pPr>
    </w:p>
    <w:p w14:paraId="7AF6423B">
      <w:pPr>
        <w:jc w:val="left"/>
        <w:rPr>
          <w:b/>
          <w:color w:val="auto"/>
          <w:szCs w:val="21"/>
          <w:highlight w:val="none"/>
        </w:rPr>
      </w:pPr>
    </w:p>
    <w:p w14:paraId="21C50A68">
      <w:pPr>
        <w:jc w:val="left"/>
        <w:rPr>
          <w:b/>
          <w:color w:val="auto"/>
          <w:szCs w:val="21"/>
          <w:highlight w:val="none"/>
        </w:rPr>
      </w:pPr>
    </w:p>
    <w:p w14:paraId="509D00D0">
      <w:pPr>
        <w:jc w:val="left"/>
        <w:rPr>
          <w:b/>
          <w:color w:val="auto"/>
          <w:szCs w:val="21"/>
          <w:highlight w:val="none"/>
        </w:rPr>
      </w:pPr>
    </w:p>
    <w:p w14:paraId="6ED31316">
      <w:pPr>
        <w:jc w:val="left"/>
        <w:rPr>
          <w:b/>
          <w:color w:val="auto"/>
          <w:szCs w:val="21"/>
          <w:highlight w:val="none"/>
        </w:rPr>
      </w:pPr>
    </w:p>
    <w:p w14:paraId="15000ACD">
      <w:pPr>
        <w:jc w:val="left"/>
        <w:rPr>
          <w:b/>
          <w:color w:val="auto"/>
          <w:szCs w:val="21"/>
          <w:highlight w:val="none"/>
        </w:rPr>
      </w:pPr>
    </w:p>
    <w:p w14:paraId="21FCCEC3">
      <w:pPr>
        <w:jc w:val="left"/>
        <w:rPr>
          <w:b/>
          <w:color w:val="auto"/>
          <w:szCs w:val="21"/>
          <w:highlight w:val="none"/>
        </w:rPr>
      </w:pPr>
    </w:p>
    <w:p w14:paraId="41F5CE55">
      <w:pPr>
        <w:jc w:val="left"/>
        <w:rPr>
          <w:b/>
          <w:color w:val="auto"/>
          <w:szCs w:val="21"/>
          <w:highlight w:val="none"/>
        </w:rPr>
      </w:pPr>
    </w:p>
    <w:p w14:paraId="41DB2049">
      <w:pPr>
        <w:jc w:val="left"/>
        <w:rPr>
          <w:b/>
          <w:color w:val="auto"/>
          <w:szCs w:val="21"/>
          <w:highlight w:val="none"/>
        </w:rPr>
      </w:pPr>
    </w:p>
    <w:p w14:paraId="2E7BEAE1">
      <w:pPr>
        <w:jc w:val="left"/>
        <w:rPr>
          <w:b/>
          <w:color w:val="auto"/>
          <w:szCs w:val="21"/>
          <w:highlight w:val="none"/>
        </w:rPr>
      </w:pPr>
    </w:p>
    <w:p w14:paraId="0C3D08AE">
      <w:pPr>
        <w:jc w:val="left"/>
        <w:rPr>
          <w:b/>
          <w:color w:val="auto"/>
          <w:szCs w:val="21"/>
          <w:highlight w:val="none"/>
        </w:rPr>
      </w:pPr>
    </w:p>
    <w:p w14:paraId="590CE089">
      <w:pPr>
        <w:jc w:val="left"/>
        <w:rPr>
          <w:b/>
          <w:color w:val="auto"/>
          <w:szCs w:val="21"/>
          <w:highlight w:val="none"/>
        </w:rPr>
      </w:pPr>
    </w:p>
    <w:p w14:paraId="30B029FF">
      <w:pPr>
        <w:jc w:val="left"/>
        <w:rPr>
          <w:b/>
          <w:color w:val="auto"/>
          <w:szCs w:val="21"/>
          <w:highlight w:val="none"/>
        </w:rPr>
      </w:pPr>
    </w:p>
    <w:p w14:paraId="4CA543DD">
      <w:pPr>
        <w:jc w:val="left"/>
        <w:rPr>
          <w:b/>
          <w:color w:val="auto"/>
          <w:szCs w:val="21"/>
          <w:highlight w:val="none"/>
        </w:rPr>
      </w:pPr>
    </w:p>
    <w:p w14:paraId="3801A406">
      <w:pPr>
        <w:jc w:val="left"/>
        <w:rPr>
          <w:b/>
          <w:color w:val="auto"/>
          <w:szCs w:val="21"/>
          <w:highlight w:val="none"/>
        </w:rPr>
      </w:pPr>
    </w:p>
    <w:p w14:paraId="781A1165">
      <w:pPr>
        <w:jc w:val="left"/>
        <w:rPr>
          <w:b/>
          <w:color w:val="auto"/>
          <w:szCs w:val="21"/>
          <w:highlight w:val="none"/>
        </w:rPr>
      </w:pPr>
    </w:p>
    <w:p w14:paraId="61C7F555">
      <w:pPr>
        <w:jc w:val="left"/>
        <w:rPr>
          <w:b/>
          <w:color w:val="auto"/>
          <w:szCs w:val="21"/>
          <w:highlight w:val="none"/>
        </w:rPr>
      </w:pPr>
    </w:p>
    <w:p w14:paraId="02558367">
      <w:pPr>
        <w:jc w:val="left"/>
        <w:rPr>
          <w:b/>
          <w:color w:val="auto"/>
          <w:szCs w:val="21"/>
          <w:highlight w:val="none"/>
        </w:rPr>
      </w:pPr>
    </w:p>
    <w:p w14:paraId="70164A66">
      <w:pPr>
        <w:jc w:val="left"/>
        <w:rPr>
          <w:b/>
          <w:color w:val="auto"/>
          <w:szCs w:val="21"/>
          <w:highlight w:val="none"/>
        </w:rPr>
        <w:sectPr>
          <w:footerReference r:id="rId3" w:type="default"/>
          <w:pgSz w:w="11906" w:h="16838"/>
          <w:pgMar w:top="1440" w:right="1800" w:bottom="1440" w:left="1800" w:header="851" w:footer="992" w:gutter="0"/>
          <w:cols w:space="720" w:num="1"/>
          <w:docGrid w:type="lines" w:linePitch="312" w:charSpace="0"/>
        </w:sectPr>
      </w:pPr>
    </w:p>
    <w:p w14:paraId="1591A8F8">
      <w:pPr>
        <w:spacing w:after="312" w:afterLines="100" w:line="360" w:lineRule="auto"/>
        <w:jc w:val="center"/>
        <w:rPr>
          <w:rFonts w:hint="eastAsia" w:ascii="宋体" w:hAnsi="宋体"/>
          <w:b/>
          <w:color w:val="auto"/>
          <w:highlight w:val="none"/>
        </w:rPr>
      </w:pPr>
      <w:r>
        <w:rPr>
          <w:rFonts w:hint="eastAsia" w:ascii="宋体" w:hAnsi="宋体"/>
          <w:b/>
          <w:color w:val="auto"/>
          <w:highlight w:val="none"/>
          <w:lang w:val="en-US" w:eastAsia="zh-CN"/>
        </w:rPr>
        <w:t>一、</w:t>
      </w:r>
      <w:r>
        <w:rPr>
          <w:rFonts w:hint="eastAsia" w:ascii="宋体" w:hAnsi="宋体"/>
          <w:b/>
          <w:color w:val="auto"/>
          <w:highlight w:val="none"/>
        </w:rPr>
        <w:t>资格性和符合性检查响应对照表</w:t>
      </w:r>
    </w:p>
    <w:p w14:paraId="1774AF00">
      <w:pPr>
        <w:spacing w:after="312" w:afterLines="100" w:line="360" w:lineRule="auto"/>
        <w:ind w:right="210" w:rightChars="100" w:firstLine="306"/>
        <w:rPr>
          <w:rFonts w:hint="eastAsia" w:ascii="宋体" w:hAnsi="宋体"/>
          <w:color w:val="auto"/>
          <w:highlight w:val="none"/>
        </w:rPr>
      </w:pPr>
      <w:r>
        <w:rPr>
          <w:rFonts w:hint="eastAsia" w:ascii="宋体" w:hAnsi="宋体"/>
          <w:color w:val="auto"/>
          <w:highlight w:val="none"/>
        </w:rPr>
        <w:t>投标人全称（加盖公章）：</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658"/>
        <w:gridCol w:w="1587"/>
        <w:gridCol w:w="1550"/>
      </w:tblGrid>
      <w:tr w14:paraId="47A3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603" w:type="dxa"/>
            <w:tcBorders>
              <w:top w:val="single" w:color="auto" w:sz="4" w:space="0"/>
              <w:left w:val="single" w:color="auto" w:sz="4" w:space="0"/>
              <w:bottom w:val="single" w:color="auto" w:sz="4" w:space="0"/>
              <w:right w:val="single" w:color="auto" w:sz="4" w:space="0"/>
            </w:tcBorders>
            <w:noWrap w:val="0"/>
            <w:vAlign w:val="center"/>
          </w:tcPr>
          <w:p w14:paraId="0A9DF51A">
            <w:pPr>
              <w:adjustRightInd w:val="0"/>
              <w:snapToGrid w:val="0"/>
              <w:spacing w:after="200" w:line="240" w:lineRule="atLeast"/>
              <w:jc w:val="center"/>
              <w:rPr>
                <w:rFonts w:ascii="宋体" w:hAnsi="宋体"/>
                <w:b/>
                <w:color w:val="auto"/>
                <w:highlight w:val="none"/>
              </w:rPr>
            </w:pPr>
            <w:r>
              <w:rPr>
                <w:rFonts w:hint="eastAsia" w:ascii="宋体" w:hAnsi="宋体"/>
                <w:b/>
                <w:color w:val="auto"/>
                <w:highlight w:val="none"/>
              </w:rPr>
              <w:t>序号</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1D53B16F">
            <w:pPr>
              <w:adjustRightInd w:val="0"/>
              <w:snapToGrid w:val="0"/>
              <w:spacing w:after="200" w:line="240" w:lineRule="atLeast"/>
              <w:jc w:val="center"/>
              <w:rPr>
                <w:rFonts w:ascii="宋体" w:hAnsi="宋体"/>
                <w:b/>
                <w:color w:val="auto"/>
                <w:highlight w:val="none"/>
              </w:rPr>
            </w:pPr>
            <w:r>
              <w:rPr>
                <w:rFonts w:hint="eastAsia" w:ascii="宋体" w:hAnsi="宋体"/>
                <w:b/>
                <w:color w:val="auto"/>
                <w:highlight w:val="none"/>
              </w:rPr>
              <w:t>资格性和符合性检查响应内容</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423A41D">
            <w:pPr>
              <w:spacing w:line="240" w:lineRule="atLeast"/>
              <w:jc w:val="center"/>
              <w:rPr>
                <w:rFonts w:ascii="宋体" w:hAnsi="宋体"/>
                <w:b/>
                <w:color w:val="auto"/>
                <w:highlight w:val="none"/>
              </w:rPr>
            </w:pPr>
            <w:r>
              <w:rPr>
                <w:rFonts w:hint="eastAsia" w:ascii="宋体" w:hAnsi="宋体"/>
                <w:b/>
                <w:color w:val="auto"/>
                <w:highlight w:val="none"/>
              </w:rPr>
              <w:t>是否响应</w:t>
            </w:r>
          </w:p>
          <w:p w14:paraId="1A458F8C">
            <w:pPr>
              <w:adjustRightInd w:val="0"/>
              <w:snapToGrid w:val="0"/>
              <w:spacing w:after="200" w:line="240" w:lineRule="atLeast"/>
              <w:jc w:val="center"/>
              <w:rPr>
                <w:rFonts w:ascii="宋体" w:hAnsi="宋体"/>
                <w:b/>
                <w:color w:val="auto"/>
                <w:highlight w:val="none"/>
              </w:rPr>
            </w:pPr>
            <w:r>
              <w:rPr>
                <w:rFonts w:hint="eastAsia" w:ascii="宋体" w:hAnsi="宋体"/>
                <w:b/>
                <w:color w:val="auto"/>
                <w:highlight w:val="none"/>
              </w:rPr>
              <w:t>（填是或者否）</w:t>
            </w:r>
          </w:p>
        </w:tc>
        <w:tc>
          <w:tcPr>
            <w:tcW w:w="1550" w:type="dxa"/>
            <w:tcBorders>
              <w:top w:val="single" w:color="auto" w:sz="4" w:space="0"/>
              <w:left w:val="single" w:color="auto" w:sz="4" w:space="0"/>
              <w:bottom w:val="single" w:color="auto" w:sz="4" w:space="0"/>
              <w:right w:val="single" w:color="auto" w:sz="4" w:space="0"/>
            </w:tcBorders>
            <w:noWrap w:val="0"/>
            <w:vAlign w:val="center"/>
          </w:tcPr>
          <w:p w14:paraId="1AD34DB9">
            <w:pPr>
              <w:spacing w:line="240" w:lineRule="atLeast"/>
              <w:jc w:val="center"/>
              <w:rPr>
                <w:rFonts w:ascii="宋体" w:hAnsi="宋体"/>
                <w:b/>
                <w:color w:val="auto"/>
                <w:highlight w:val="none"/>
              </w:rPr>
            </w:pPr>
            <w:r>
              <w:rPr>
                <w:rFonts w:hint="eastAsia" w:ascii="宋体" w:hAnsi="宋体"/>
                <w:b/>
                <w:color w:val="auto"/>
                <w:highlight w:val="none"/>
              </w:rPr>
              <w:t>投标文件中的</w:t>
            </w:r>
          </w:p>
          <w:p w14:paraId="1137C38C">
            <w:pPr>
              <w:adjustRightInd w:val="0"/>
              <w:snapToGrid w:val="0"/>
              <w:spacing w:after="200" w:line="240" w:lineRule="atLeast"/>
              <w:jc w:val="center"/>
              <w:rPr>
                <w:rFonts w:ascii="宋体" w:hAnsi="宋体"/>
                <w:b/>
                <w:color w:val="auto"/>
                <w:highlight w:val="none"/>
              </w:rPr>
            </w:pPr>
            <w:r>
              <w:rPr>
                <w:rFonts w:hint="eastAsia" w:ascii="宋体" w:hAnsi="宋体"/>
                <w:b/>
                <w:color w:val="auto"/>
                <w:highlight w:val="none"/>
              </w:rPr>
              <w:t>页码位置</w:t>
            </w:r>
          </w:p>
        </w:tc>
      </w:tr>
      <w:tr w14:paraId="29FD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03" w:type="dxa"/>
            <w:tcBorders>
              <w:top w:val="single" w:color="auto" w:sz="4" w:space="0"/>
              <w:left w:val="single" w:color="auto" w:sz="4" w:space="0"/>
              <w:bottom w:val="single" w:color="auto" w:sz="4" w:space="0"/>
              <w:right w:val="single" w:color="auto" w:sz="4" w:space="0"/>
            </w:tcBorders>
            <w:noWrap w:val="0"/>
            <w:vAlign w:val="center"/>
          </w:tcPr>
          <w:p w14:paraId="1EE85CBD">
            <w:pPr>
              <w:adjustRightInd w:val="0"/>
              <w:snapToGrid w:val="0"/>
              <w:spacing w:after="200" w:line="220" w:lineRule="atLeast"/>
              <w:rPr>
                <w:rFonts w:ascii="宋体" w:hAnsi="宋体"/>
                <w:b/>
                <w:i/>
                <w:color w:val="auto"/>
                <w:highlight w:val="none"/>
                <w:u w:val="single"/>
              </w:rPr>
            </w:pPr>
            <w:r>
              <w:rPr>
                <w:rFonts w:hint="eastAsia" w:ascii="宋体" w:hAnsi="宋体"/>
                <w:b/>
                <w:i/>
                <w:color w:val="auto"/>
                <w:highlight w:val="none"/>
                <w:u w:val="single"/>
              </w:rPr>
              <w:t>1</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2AA89C5B">
            <w:pPr>
              <w:adjustRightInd w:val="0"/>
              <w:snapToGrid w:val="0"/>
              <w:spacing w:after="200" w:line="480" w:lineRule="exact"/>
              <w:rPr>
                <w:rFonts w:ascii="宋体" w:hAnsi="宋体"/>
                <w:i/>
                <w:iCs/>
                <w:color w:val="auto"/>
                <w:highlight w:val="none"/>
                <w:u w:val="singl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43EA0C4">
            <w:pPr>
              <w:adjustRightInd w:val="0"/>
              <w:snapToGrid w:val="0"/>
              <w:spacing w:after="200" w:line="220" w:lineRule="atLeast"/>
              <w:rPr>
                <w:rFonts w:ascii="宋体" w:hAnsi="宋体"/>
                <w:b/>
                <w:color w:val="auto"/>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19BC3B0">
            <w:pPr>
              <w:adjustRightInd w:val="0"/>
              <w:snapToGrid w:val="0"/>
              <w:spacing w:after="200" w:line="220" w:lineRule="atLeast"/>
              <w:rPr>
                <w:rFonts w:ascii="宋体" w:hAnsi="宋体"/>
                <w:b/>
                <w:color w:val="auto"/>
                <w:highlight w:val="none"/>
              </w:rPr>
            </w:pPr>
          </w:p>
        </w:tc>
      </w:tr>
      <w:tr w14:paraId="1A0B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03" w:type="dxa"/>
            <w:tcBorders>
              <w:top w:val="single" w:color="auto" w:sz="4" w:space="0"/>
              <w:left w:val="single" w:color="auto" w:sz="4" w:space="0"/>
              <w:bottom w:val="single" w:color="auto" w:sz="4" w:space="0"/>
              <w:right w:val="single" w:color="auto" w:sz="4" w:space="0"/>
            </w:tcBorders>
            <w:noWrap w:val="0"/>
            <w:vAlign w:val="center"/>
          </w:tcPr>
          <w:p w14:paraId="1B8C58B7">
            <w:pPr>
              <w:adjustRightInd w:val="0"/>
              <w:snapToGrid w:val="0"/>
              <w:spacing w:after="200" w:line="220" w:lineRule="atLeast"/>
              <w:rPr>
                <w:rFonts w:ascii="宋体" w:hAnsi="宋体"/>
                <w:i/>
                <w:color w:val="auto"/>
                <w:highlight w:val="none"/>
                <w:u w:val="single"/>
              </w:rPr>
            </w:pPr>
            <w:r>
              <w:rPr>
                <w:rFonts w:hint="eastAsia" w:ascii="宋体" w:hAnsi="宋体"/>
                <w:i/>
                <w:color w:val="auto"/>
                <w:highlight w:val="none"/>
                <w:u w:val="single"/>
              </w:rPr>
              <w:t>2</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733A647E">
            <w:pPr>
              <w:adjustRightInd w:val="0"/>
              <w:snapToGrid w:val="0"/>
              <w:spacing w:after="200" w:line="480" w:lineRule="exact"/>
              <w:rPr>
                <w:rFonts w:ascii="宋体" w:hAnsi="宋体"/>
                <w:i/>
                <w:iCs/>
                <w:color w:val="auto"/>
                <w:highlight w:val="none"/>
                <w:u w:val="singl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592C2D8">
            <w:pPr>
              <w:adjustRightInd w:val="0"/>
              <w:snapToGrid w:val="0"/>
              <w:spacing w:after="200" w:line="220" w:lineRule="atLeast"/>
              <w:rPr>
                <w:rFonts w:ascii="宋体" w:hAnsi="宋体"/>
                <w:color w:val="auto"/>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3FA7719">
            <w:pPr>
              <w:adjustRightInd w:val="0"/>
              <w:snapToGrid w:val="0"/>
              <w:spacing w:after="200" w:line="220" w:lineRule="atLeast"/>
              <w:rPr>
                <w:rFonts w:ascii="宋体" w:hAnsi="宋体"/>
                <w:color w:val="auto"/>
                <w:highlight w:val="none"/>
              </w:rPr>
            </w:pPr>
          </w:p>
        </w:tc>
      </w:tr>
      <w:tr w14:paraId="4D82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03" w:type="dxa"/>
            <w:tcBorders>
              <w:top w:val="single" w:color="auto" w:sz="4" w:space="0"/>
              <w:left w:val="single" w:color="auto" w:sz="4" w:space="0"/>
              <w:bottom w:val="single" w:color="auto" w:sz="4" w:space="0"/>
              <w:right w:val="single" w:color="auto" w:sz="4" w:space="0"/>
            </w:tcBorders>
            <w:noWrap w:val="0"/>
            <w:vAlign w:val="center"/>
          </w:tcPr>
          <w:p w14:paraId="078AEE11">
            <w:pPr>
              <w:adjustRightInd w:val="0"/>
              <w:snapToGrid w:val="0"/>
              <w:spacing w:after="200" w:line="220" w:lineRule="atLeast"/>
              <w:rPr>
                <w:rFonts w:ascii="宋体" w:hAnsi="宋体"/>
                <w:i/>
                <w:color w:val="auto"/>
                <w:highlight w:val="none"/>
                <w:u w:val="single"/>
              </w:rPr>
            </w:pPr>
            <w:r>
              <w:rPr>
                <w:rFonts w:hint="eastAsia" w:ascii="宋体" w:hAnsi="宋体"/>
                <w:i/>
                <w:color w:val="auto"/>
                <w:highlight w:val="none"/>
                <w:u w:val="single"/>
              </w:rPr>
              <w:t>3</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38946638">
            <w:pPr>
              <w:adjustRightInd w:val="0"/>
              <w:snapToGrid w:val="0"/>
              <w:spacing w:after="200" w:line="480" w:lineRule="exact"/>
              <w:rPr>
                <w:rFonts w:ascii="宋体" w:hAnsi="宋体"/>
                <w:i/>
                <w:iCs/>
                <w:color w:val="auto"/>
                <w:highlight w:val="none"/>
                <w:u w:val="singl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2955FB5F">
            <w:pPr>
              <w:adjustRightInd w:val="0"/>
              <w:snapToGrid w:val="0"/>
              <w:spacing w:after="200" w:line="220" w:lineRule="atLeast"/>
              <w:rPr>
                <w:rFonts w:ascii="宋体" w:hAnsi="宋体"/>
                <w:color w:val="auto"/>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5F70611">
            <w:pPr>
              <w:adjustRightInd w:val="0"/>
              <w:snapToGrid w:val="0"/>
              <w:spacing w:after="200" w:line="220" w:lineRule="atLeast"/>
              <w:rPr>
                <w:rFonts w:ascii="宋体" w:hAnsi="宋体"/>
                <w:color w:val="auto"/>
                <w:highlight w:val="none"/>
              </w:rPr>
            </w:pPr>
          </w:p>
        </w:tc>
      </w:tr>
      <w:tr w14:paraId="38485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1" w:hRule="atLeast"/>
        </w:trPr>
        <w:tc>
          <w:tcPr>
            <w:tcW w:w="603" w:type="dxa"/>
            <w:tcBorders>
              <w:top w:val="single" w:color="auto" w:sz="4" w:space="0"/>
              <w:left w:val="single" w:color="auto" w:sz="4" w:space="0"/>
              <w:bottom w:val="single" w:color="auto" w:sz="4" w:space="0"/>
              <w:right w:val="single" w:color="auto" w:sz="4" w:space="0"/>
            </w:tcBorders>
            <w:noWrap w:val="0"/>
            <w:vAlign w:val="center"/>
          </w:tcPr>
          <w:p w14:paraId="20651D0B">
            <w:pPr>
              <w:adjustRightInd w:val="0"/>
              <w:snapToGrid w:val="0"/>
              <w:spacing w:after="200" w:line="220" w:lineRule="atLeast"/>
              <w:rPr>
                <w:rFonts w:ascii="宋体" w:hAnsi="宋体"/>
                <w:i/>
                <w:color w:val="auto"/>
                <w:highlight w:val="none"/>
                <w:u w:val="single"/>
              </w:rPr>
            </w:pPr>
            <w:r>
              <w:rPr>
                <w:rFonts w:hint="eastAsia" w:ascii="宋体" w:hAnsi="宋体"/>
                <w:i/>
                <w:color w:val="auto"/>
                <w:highlight w:val="none"/>
                <w:u w:val="single"/>
              </w:rPr>
              <w:t>4</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2B119B9A">
            <w:pPr>
              <w:adjustRightInd w:val="0"/>
              <w:snapToGrid w:val="0"/>
              <w:spacing w:after="200" w:line="360" w:lineRule="auto"/>
              <w:rPr>
                <w:rFonts w:ascii="宋体" w:hAnsi="宋体"/>
                <w:i/>
                <w:iCs/>
                <w:color w:val="auto"/>
                <w:highlight w:val="none"/>
                <w:u w:val="singl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923AFEC">
            <w:pPr>
              <w:adjustRightInd w:val="0"/>
              <w:snapToGrid w:val="0"/>
              <w:spacing w:after="200" w:line="220" w:lineRule="atLeast"/>
              <w:rPr>
                <w:rFonts w:ascii="宋体" w:hAnsi="宋体"/>
                <w:color w:val="auto"/>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47E11C36">
            <w:pPr>
              <w:adjustRightInd w:val="0"/>
              <w:snapToGrid w:val="0"/>
              <w:spacing w:after="200" w:line="220" w:lineRule="atLeast"/>
              <w:rPr>
                <w:rFonts w:ascii="宋体" w:hAnsi="宋体"/>
                <w:color w:val="auto"/>
                <w:highlight w:val="none"/>
              </w:rPr>
            </w:pPr>
          </w:p>
        </w:tc>
      </w:tr>
      <w:tr w14:paraId="1DE40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603" w:type="dxa"/>
            <w:tcBorders>
              <w:top w:val="single" w:color="auto" w:sz="4" w:space="0"/>
              <w:left w:val="single" w:color="auto" w:sz="4" w:space="0"/>
              <w:bottom w:val="single" w:color="auto" w:sz="4" w:space="0"/>
              <w:right w:val="single" w:color="auto" w:sz="4" w:space="0"/>
            </w:tcBorders>
            <w:noWrap w:val="0"/>
            <w:vAlign w:val="center"/>
          </w:tcPr>
          <w:p w14:paraId="0C1DAF68">
            <w:pPr>
              <w:adjustRightInd w:val="0"/>
              <w:snapToGrid w:val="0"/>
              <w:spacing w:after="200" w:line="220" w:lineRule="atLeast"/>
              <w:rPr>
                <w:rFonts w:ascii="宋体" w:hAnsi="宋体"/>
                <w:i/>
                <w:color w:val="auto"/>
                <w:highlight w:val="none"/>
                <w:u w:val="single"/>
              </w:rPr>
            </w:pPr>
            <w:r>
              <w:rPr>
                <w:rFonts w:hint="eastAsia" w:ascii="宋体" w:hAnsi="宋体"/>
                <w:i/>
                <w:color w:val="auto"/>
                <w:highlight w:val="none"/>
                <w:u w:val="single"/>
              </w:rPr>
              <w:t>5</w:t>
            </w:r>
          </w:p>
        </w:tc>
        <w:tc>
          <w:tcPr>
            <w:tcW w:w="4658" w:type="dxa"/>
            <w:tcBorders>
              <w:top w:val="single" w:color="auto" w:sz="4" w:space="0"/>
              <w:left w:val="single" w:color="auto" w:sz="4" w:space="0"/>
              <w:bottom w:val="single" w:color="auto" w:sz="4" w:space="0"/>
              <w:right w:val="single" w:color="auto" w:sz="4" w:space="0"/>
            </w:tcBorders>
            <w:noWrap w:val="0"/>
            <w:vAlign w:val="center"/>
          </w:tcPr>
          <w:p w14:paraId="15A12C23">
            <w:pPr>
              <w:adjustRightInd w:val="0"/>
              <w:snapToGrid w:val="0"/>
              <w:spacing w:after="200" w:line="590" w:lineRule="atLeast"/>
              <w:rPr>
                <w:rFonts w:ascii="宋体" w:hAnsi="宋体"/>
                <w:i/>
                <w:iCs/>
                <w:color w:val="auto"/>
                <w:highlight w:val="none"/>
                <w:u w:val="single"/>
              </w:rPr>
            </w:pPr>
          </w:p>
        </w:tc>
        <w:tc>
          <w:tcPr>
            <w:tcW w:w="1587" w:type="dxa"/>
            <w:tcBorders>
              <w:top w:val="single" w:color="auto" w:sz="4" w:space="0"/>
              <w:left w:val="single" w:color="auto" w:sz="4" w:space="0"/>
              <w:bottom w:val="single" w:color="auto" w:sz="4" w:space="0"/>
              <w:right w:val="single" w:color="auto" w:sz="4" w:space="0"/>
            </w:tcBorders>
            <w:noWrap w:val="0"/>
            <w:vAlign w:val="center"/>
          </w:tcPr>
          <w:p w14:paraId="0F05EDC3">
            <w:pPr>
              <w:adjustRightInd w:val="0"/>
              <w:snapToGrid w:val="0"/>
              <w:spacing w:after="200" w:line="220" w:lineRule="atLeast"/>
              <w:rPr>
                <w:rFonts w:ascii="宋体" w:hAnsi="宋体"/>
                <w:color w:val="auto"/>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6461F1D7">
            <w:pPr>
              <w:adjustRightInd w:val="0"/>
              <w:snapToGrid w:val="0"/>
              <w:spacing w:after="200" w:line="220" w:lineRule="atLeast"/>
              <w:rPr>
                <w:rFonts w:ascii="宋体" w:hAnsi="宋体"/>
                <w:color w:val="auto"/>
                <w:highlight w:val="none"/>
              </w:rPr>
            </w:pPr>
          </w:p>
        </w:tc>
      </w:tr>
      <w:tr w14:paraId="22FA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603" w:type="dxa"/>
            <w:tcBorders>
              <w:top w:val="single" w:color="auto" w:sz="4" w:space="0"/>
              <w:left w:val="single" w:color="auto" w:sz="4" w:space="0"/>
              <w:bottom w:val="single" w:color="auto" w:sz="4" w:space="0"/>
              <w:right w:val="single" w:color="auto" w:sz="4" w:space="0"/>
            </w:tcBorders>
            <w:noWrap w:val="0"/>
            <w:vAlign w:val="center"/>
          </w:tcPr>
          <w:p w14:paraId="0CEB5375">
            <w:pPr>
              <w:adjustRightInd w:val="0"/>
              <w:snapToGrid w:val="0"/>
              <w:spacing w:after="200" w:line="220" w:lineRule="atLeast"/>
              <w:rPr>
                <w:rFonts w:ascii="宋体" w:hAnsi="宋体"/>
                <w:i/>
                <w:color w:val="auto"/>
                <w:highlight w:val="none"/>
                <w:u w:val="single"/>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11A74889">
            <w:pPr>
              <w:adjustRightInd w:val="0"/>
              <w:snapToGrid w:val="0"/>
              <w:spacing w:after="200" w:line="590" w:lineRule="atLeast"/>
              <w:jc w:val="center"/>
              <w:rPr>
                <w:rFonts w:hint="eastAsia" w:ascii="宋体" w:hAnsi="宋体"/>
                <w:i/>
                <w:iCs/>
                <w:color w:val="auto"/>
                <w:highlight w:val="none"/>
                <w:u w:val="single"/>
              </w:rPr>
            </w:pPr>
            <w:r>
              <w:rPr>
                <w:rFonts w:hint="eastAsia" w:ascii="宋体" w:hAnsi="宋体"/>
                <w:i/>
                <w:iCs/>
                <w:color w:val="auto"/>
                <w:highlight w:val="none"/>
              </w:rPr>
              <w:t>...</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7FF2CFB1">
            <w:pPr>
              <w:adjustRightInd w:val="0"/>
              <w:snapToGrid w:val="0"/>
              <w:spacing w:after="200" w:line="220" w:lineRule="atLeast"/>
              <w:rPr>
                <w:rFonts w:ascii="宋体" w:hAnsi="宋体"/>
                <w:color w:val="auto"/>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0AFF3651">
            <w:pPr>
              <w:adjustRightInd w:val="0"/>
              <w:snapToGrid w:val="0"/>
              <w:spacing w:after="200" w:line="220" w:lineRule="atLeast"/>
              <w:rPr>
                <w:rFonts w:ascii="宋体" w:hAnsi="宋体"/>
                <w:color w:val="auto"/>
                <w:highlight w:val="none"/>
              </w:rPr>
            </w:pPr>
          </w:p>
        </w:tc>
      </w:tr>
      <w:tr w14:paraId="1CFE2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603" w:type="dxa"/>
            <w:tcBorders>
              <w:top w:val="single" w:color="auto" w:sz="4" w:space="0"/>
              <w:left w:val="single" w:color="auto" w:sz="4" w:space="0"/>
              <w:bottom w:val="single" w:color="auto" w:sz="4" w:space="0"/>
              <w:right w:val="single" w:color="auto" w:sz="4" w:space="0"/>
            </w:tcBorders>
            <w:noWrap w:val="0"/>
            <w:vAlign w:val="center"/>
          </w:tcPr>
          <w:p w14:paraId="0C2375F6">
            <w:pPr>
              <w:adjustRightInd w:val="0"/>
              <w:snapToGrid w:val="0"/>
              <w:spacing w:after="200" w:line="220" w:lineRule="atLeast"/>
              <w:rPr>
                <w:rFonts w:ascii="宋体" w:hAnsi="宋体"/>
                <w:i/>
                <w:color w:val="auto"/>
                <w:highlight w:val="none"/>
                <w:u w:val="single"/>
              </w:rPr>
            </w:pPr>
          </w:p>
        </w:tc>
        <w:tc>
          <w:tcPr>
            <w:tcW w:w="4658" w:type="dxa"/>
            <w:tcBorders>
              <w:top w:val="single" w:color="auto" w:sz="4" w:space="0"/>
              <w:left w:val="single" w:color="auto" w:sz="4" w:space="0"/>
              <w:bottom w:val="single" w:color="auto" w:sz="4" w:space="0"/>
              <w:right w:val="single" w:color="auto" w:sz="4" w:space="0"/>
            </w:tcBorders>
            <w:noWrap w:val="0"/>
            <w:vAlign w:val="center"/>
          </w:tcPr>
          <w:p w14:paraId="1607499A">
            <w:pPr>
              <w:adjustRightInd w:val="0"/>
              <w:snapToGrid w:val="0"/>
              <w:spacing w:after="200" w:line="590" w:lineRule="atLeast"/>
              <w:rPr>
                <w:rFonts w:ascii="宋体" w:hAnsi="宋体"/>
                <w:i/>
                <w:iCs/>
                <w:color w:val="auto"/>
                <w:highlight w:val="none"/>
                <w:u w:val="single"/>
              </w:rPr>
            </w:pPr>
            <w:r>
              <w:rPr>
                <w:rFonts w:hint="eastAsia" w:ascii="宋体" w:hAnsi="宋体"/>
                <w:i/>
                <w:iCs/>
                <w:color w:val="auto"/>
                <w:highlight w:val="none"/>
                <w:u w:val="single"/>
              </w:rPr>
              <w:t>招标文件中的其他实质性要求</w:t>
            </w:r>
          </w:p>
        </w:tc>
        <w:tc>
          <w:tcPr>
            <w:tcW w:w="1587" w:type="dxa"/>
            <w:tcBorders>
              <w:top w:val="single" w:color="auto" w:sz="4" w:space="0"/>
              <w:left w:val="single" w:color="auto" w:sz="4" w:space="0"/>
              <w:bottom w:val="single" w:color="auto" w:sz="4" w:space="0"/>
              <w:right w:val="single" w:color="auto" w:sz="4" w:space="0"/>
            </w:tcBorders>
            <w:noWrap w:val="0"/>
            <w:vAlign w:val="center"/>
          </w:tcPr>
          <w:p w14:paraId="662ABE4D">
            <w:pPr>
              <w:adjustRightInd w:val="0"/>
              <w:snapToGrid w:val="0"/>
              <w:spacing w:after="200" w:line="220" w:lineRule="atLeast"/>
              <w:rPr>
                <w:rFonts w:ascii="宋体" w:hAnsi="宋体"/>
                <w:color w:val="auto"/>
                <w:highlight w:val="none"/>
              </w:rPr>
            </w:pPr>
          </w:p>
        </w:tc>
        <w:tc>
          <w:tcPr>
            <w:tcW w:w="1550" w:type="dxa"/>
            <w:tcBorders>
              <w:top w:val="single" w:color="auto" w:sz="4" w:space="0"/>
              <w:left w:val="single" w:color="auto" w:sz="4" w:space="0"/>
              <w:bottom w:val="single" w:color="auto" w:sz="4" w:space="0"/>
              <w:right w:val="single" w:color="auto" w:sz="4" w:space="0"/>
            </w:tcBorders>
            <w:noWrap w:val="0"/>
            <w:vAlign w:val="center"/>
          </w:tcPr>
          <w:p w14:paraId="356A640E">
            <w:pPr>
              <w:adjustRightInd w:val="0"/>
              <w:snapToGrid w:val="0"/>
              <w:spacing w:after="200" w:line="220" w:lineRule="atLeast"/>
              <w:rPr>
                <w:rFonts w:ascii="宋体" w:hAnsi="宋体"/>
                <w:color w:val="auto"/>
                <w:highlight w:val="none"/>
              </w:rPr>
            </w:pPr>
          </w:p>
        </w:tc>
      </w:tr>
    </w:tbl>
    <w:p w14:paraId="3441AFAC">
      <w:pPr>
        <w:spacing w:before="50" w:after="50"/>
        <w:rPr>
          <w:rFonts w:eastAsia="黑体"/>
          <w:color w:val="auto"/>
          <w:szCs w:val="21"/>
          <w:highlight w:val="none"/>
        </w:rPr>
      </w:pPr>
      <w:r>
        <w:rPr>
          <w:rFonts w:eastAsia="黑体"/>
          <w:color w:val="auto"/>
          <w:sz w:val="32"/>
          <w:szCs w:val="32"/>
          <w:highlight w:val="none"/>
        </w:rPr>
        <w:t xml:space="preserve">             </w:t>
      </w:r>
      <w:r>
        <w:rPr>
          <w:rFonts w:eastAsia="黑体"/>
          <w:color w:val="auto"/>
          <w:szCs w:val="21"/>
          <w:highlight w:val="none"/>
        </w:rPr>
        <w:t xml:space="preserve"> </w:t>
      </w:r>
    </w:p>
    <w:p w14:paraId="7CE66DC1">
      <w:pPr>
        <w:spacing w:before="50" w:after="50"/>
        <w:rPr>
          <w:rFonts w:eastAsia="黑体"/>
          <w:color w:val="auto"/>
          <w:kern w:val="0"/>
          <w:sz w:val="22"/>
          <w:szCs w:val="21"/>
          <w:highlight w:val="none"/>
        </w:rPr>
      </w:pPr>
    </w:p>
    <w:p w14:paraId="05AA425F">
      <w:pPr>
        <w:spacing w:before="50" w:after="50"/>
        <w:rPr>
          <w:rFonts w:eastAsia="黑体"/>
          <w:color w:val="auto"/>
          <w:szCs w:val="21"/>
          <w:highlight w:val="none"/>
        </w:rPr>
      </w:pPr>
    </w:p>
    <w:p w14:paraId="09EE24F3">
      <w:pPr>
        <w:spacing w:before="50" w:after="50"/>
        <w:rPr>
          <w:rFonts w:eastAsia="黑体"/>
          <w:color w:val="auto"/>
          <w:szCs w:val="21"/>
          <w:highlight w:val="none"/>
        </w:rPr>
      </w:pPr>
    </w:p>
    <w:p w14:paraId="0341A280">
      <w:pPr>
        <w:spacing w:before="50" w:after="50"/>
        <w:rPr>
          <w:rFonts w:eastAsia="黑体"/>
          <w:color w:val="auto"/>
          <w:szCs w:val="21"/>
          <w:highlight w:val="none"/>
        </w:rPr>
      </w:pPr>
    </w:p>
    <w:p w14:paraId="05DCE669">
      <w:pPr>
        <w:spacing w:before="50" w:after="50"/>
        <w:rPr>
          <w:rFonts w:eastAsia="黑体"/>
          <w:color w:val="auto"/>
          <w:szCs w:val="21"/>
          <w:highlight w:val="none"/>
        </w:rPr>
      </w:pPr>
    </w:p>
    <w:p w14:paraId="224C1E99">
      <w:pPr>
        <w:spacing w:before="50" w:after="50"/>
        <w:rPr>
          <w:rFonts w:eastAsia="黑体"/>
          <w:color w:val="auto"/>
          <w:szCs w:val="21"/>
          <w:highlight w:val="none"/>
        </w:rPr>
      </w:pPr>
    </w:p>
    <w:p w14:paraId="0E76D162">
      <w:pPr>
        <w:spacing w:before="50" w:after="50"/>
        <w:rPr>
          <w:rFonts w:eastAsia="黑体"/>
          <w:color w:val="auto"/>
          <w:szCs w:val="21"/>
          <w:highlight w:val="none"/>
        </w:rPr>
      </w:pPr>
    </w:p>
    <w:p w14:paraId="54B02079">
      <w:pPr>
        <w:spacing w:before="50" w:after="50"/>
        <w:rPr>
          <w:rFonts w:eastAsia="黑体"/>
          <w:color w:val="auto"/>
          <w:szCs w:val="21"/>
          <w:highlight w:val="none"/>
        </w:rPr>
      </w:pPr>
    </w:p>
    <w:p w14:paraId="4EECA171">
      <w:pPr>
        <w:spacing w:after="240" w:line="360" w:lineRule="auto"/>
        <w:ind w:left="2943"/>
        <w:rPr>
          <w:rFonts w:hint="eastAsia" w:ascii="宋体" w:hAnsi="宋体"/>
          <w:b/>
          <w:bCs/>
          <w:color w:val="auto"/>
          <w:highlight w:val="none"/>
        </w:rPr>
      </w:pPr>
      <w:r>
        <w:rPr>
          <w:b/>
          <w:bCs/>
          <w:i/>
          <w:color w:val="auto"/>
          <w:szCs w:val="21"/>
          <w:highlight w:val="none"/>
          <w:u w:val="single"/>
        </w:rPr>
        <w:br w:type="page"/>
      </w:r>
      <w:r>
        <w:rPr>
          <w:rFonts w:hint="eastAsia" w:ascii="宋体" w:hAnsi="宋体"/>
          <w:b/>
          <w:bCs/>
          <w:color w:val="auto"/>
          <w:highlight w:val="none"/>
          <w:lang w:val="en-US" w:eastAsia="zh-CN"/>
        </w:rPr>
        <w:t>二、</w:t>
      </w:r>
      <w:r>
        <w:rPr>
          <w:rFonts w:hint="eastAsia" w:ascii="宋体" w:hAnsi="宋体"/>
          <w:b/>
          <w:bCs/>
          <w:color w:val="auto"/>
          <w:highlight w:val="none"/>
        </w:rPr>
        <w:t>资信证明文件要求</w:t>
      </w:r>
    </w:p>
    <w:p w14:paraId="5B29E6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w:t>
      </w:r>
      <w:r>
        <w:rPr>
          <w:rFonts w:hint="eastAsia" w:ascii="宋体" w:hAnsi="宋体" w:cs="宋体"/>
          <w:color w:val="auto"/>
          <w:szCs w:val="21"/>
          <w:highlight w:val="none"/>
          <w:lang w:val="en-US" w:eastAsia="zh-CN"/>
        </w:rPr>
        <w:t>按照</w:t>
      </w:r>
      <w:r>
        <w:rPr>
          <w:rFonts w:hint="eastAsia" w:ascii="宋体" w:hAnsi="宋体" w:cs="宋体"/>
          <w:color w:val="auto"/>
          <w:szCs w:val="21"/>
          <w:highlight w:val="none"/>
        </w:rPr>
        <w:t>《中华人民共和国政府采购法》第二十二条规定；</w:t>
      </w:r>
    </w:p>
    <w:p w14:paraId="13E92B72">
      <w:pPr>
        <w:spacing w:line="360" w:lineRule="auto"/>
        <w:ind w:firstLine="42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1、</w:t>
      </w:r>
      <w:r>
        <w:rPr>
          <w:rFonts w:hint="eastAsia" w:ascii="宋体" w:hAnsi="宋体" w:cs="宋体"/>
          <w:i/>
          <w:iCs/>
          <w:color w:val="auto"/>
          <w:szCs w:val="21"/>
          <w:highlight w:val="none"/>
          <w:u w:val="single"/>
        </w:rPr>
        <w:t>法人或者其他组织的营业执照等证明文件，自然人的身份证明</w:t>
      </w:r>
    </w:p>
    <w:p w14:paraId="26E1C40F">
      <w:pPr>
        <w:spacing w:line="360" w:lineRule="auto"/>
        <w:ind w:firstLine="42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2、2025年度财务状况报告</w:t>
      </w:r>
      <w:r>
        <w:rPr>
          <w:rFonts w:hint="eastAsia" w:ascii="宋体" w:hAnsi="宋体" w:cs="宋体"/>
          <w:i/>
          <w:iCs/>
          <w:color w:val="auto"/>
          <w:szCs w:val="21"/>
          <w:highlight w:val="none"/>
          <w:u w:val="single"/>
        </w:rPr>
        <w:t>(成立不满一年无需提供)</w:t>
      </w:r>
    </w:p>
    <w:p w14:paraId="7DD05E22">
      <w:pPr>
        <w:spacing w:line="360" w:lineRule="auto"/>
        <w:ind w:firstLine="420"/>
        <w:rPr>
          <w:rFonts w:hint="eastAsia" w:ascii="宋体" w:hAnsi="宋体" w:cs="宋体"/>
          <w:b/>
          <w:bCs/>
          <w:i/>
          <w:iCs/>
          <w:color w:val="auto"/>
          <w:highlight w:val="none"/>
          <w:u w:val="single"/>
        </w:rPr>
      </w:pPr>
      <w:r>
        <w:rPr>
          <w:rFonts w:hint="eastAsia" w:ascii="宋体" w:hAnsi="宋体" w:cs="宋体"/>
          <w:i/>
          <w:iCs/>
          <w:color w:val="auto"/>
          <w:szCs w:val="21"/>
          <w:highlight w:val="none"/>
          <w:u w:val="single"/>
          <w:lang w:val="en-US" w:eastAsia="zh-CN"/>
        </w:rPr>
        <w:t>3、</w:t>
      </w:r>
      <w:r>
        <w:rPr>
          <w:rFonts w:hint="eastAsia" w:ascii="宋体" w:hAnsi="宋体" w:cs="宋体"/>
          <w:i/>
          <w:iCs/>
          <w:color w:val="auto"/>
          <w:szCs w:val="21"/>
          <w:highlight w:val="none"/>
          <w:u w:val="single"/>
        </w:rPr>
        <w:t>依法缴纳税收和社会保障资金的相关材料</w:t>
      </w:r>
      <w:r>
        <w:rPr>
          <w:rFonts w:hint="eastAsia" w:ascii="宋体" w:hAnsi="宋体" w:cs="宋体"/>
          <w:b/>
          <w:bCs/>
          <w:i/>
          <w:iCs/>
          <w:color w:val="auto"/>
          <w:szCs w:val="21"/>
          <w:highlight w:val="none"/>
          <w:u w:val="single"/>
        </w:rPr>
        <w:t>(提供</w:t>
      </w:r>
      <w:r>
        <w:rPr>
          <w:rFonts w:hint="eastAsia" w:ascii="宋体" w:hAnsi="宋体" w:cs="宋体"/>
          <w:b/>
          <w:bCs/>
          <w:i/>
          <w:iCs/>
          <w:color w:val="auto"/>
          <w:szCs w:val="21"/>
          <w:highlight w:val="none"/>
          <w:u w:val="single"/>
          <w:lang w:eastAsia="zh-CN"/>
        </w:rPr>
        <w:t>投标截止时间前</w:t>
      </w:r>
      <w:r>
        <w:rPr>
          <w:rFonts w:hint="eastAsia" w:ascii="宋体" w:hAnsi="宋体" w:cs="宋体"/>
          <w:b/>
          <w:bCs/>
          <w:i/>
          <w:iCs/>
          <w:color w:val="auto"/>
          <w:szCs w:val="21"/>
          <w:highlight w:val="none"/>
          <w:u w:val="single"/>
        </w:rPr>
        <w:t>一年内至少一个月依法缴纳税收及缴纳社会保障资金的证明材料。投标人依法享受缓缴、免缴税收、社会保障资金的提供证明材料。)</w:t>
      </w:r>
    </w:p>
    <w:p w14:paraId="4D046429">
      <w:pPr>
        <w:spacing w:line="360" w:lineRule="auto"/>
        <w:ind w:firstLine="420"/>
        <w:rPr>
          <w:rFonts w:hint="eastAsia" w:ascii="宋体" w:hAnsi="宋体" w:cs="宋体"/>
          <w:b/>
          <w:bCs/>
          <w:i/>
          <w:iCs/>
          <w:color w:val="auto"/>
          <w:szCs w:val="21"/>
          <w:highlight w:val="none"/>
          <w:u w:val="single"/>
        </w:rPr>
      </w:pPr>
      <w:r>
        <w:rPr>
          <w:rFonts w:hint="eastAsia" w:ascii="宋体" w:hAnsi="宋体" w:cs="宋体"/>
          <w:i/>
          <w:iCs/>
          <w:color w:val="auto"/>
          <w:szCs w:val="21"/>
          <w:highlight w:val="none"/>
          <w:u w:val="single"/>
          <w:lang w:val="en-US" w:eastAsia="zh-CN"/>
        </w:rPr>
        <w:t>4、</w:t>
      </w:r>
      <w:r>
        <w:rPr>
          <w:rFonts w:hint="eastAsia" w:ascii="宋体" w:hAnsi="宋体" w:cs="宋体"/>
          <w:i/>
          <w:iCs/>
          <w:color w:val="auto"/>
          <w:szCs w:val="21"/>
          <w:highlight w:val="none"/>
          <w:u w:val="single"/>
        </w:rPr>
        <w:t>具备履行合同所必需的设备和专业技术能力的书面声明</w:t>
      </w:r>
    </w:p>
    <w:p w14:paraId="78F3B977">
      <w:pPr>
        <w:spacing w:line="360" w:lineRule="auto"/>
        <w:ind w:firstLine="42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5、</w:t>
      </w:r>
      <w:r>
        <w:rPr>
          <w:rFonts w:hint="eastAsia" w:ascii="宋体" w:hAnsi="宋体" w:cs="宋体"/>
          <w:i/>
          <w:iCs/>
          <w:color w:val="auto"/>
          <w:szCs w:val="21"/>
          <w:highlight w:val="none"/>
          <w:u w:val="single"/>
        </w:rPr>
        <w:t>参加采购活动前3年内在经营活动中没有重大违法记录的书面声明</w:t>
      </w:r>
    </w:p>
    <w:p w14:paraId="730D9EFA">
      <w:pPr>
        <w:spacing w:line="360" w:lineRule="auto"/>
        <w:ind w:firstLine="42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6、</w:t>
      </w:r>
      <w:r>
        <w:rPr>
          <w:rFonts w:hint="eastAsia" w:ascii="宋体" w:hAnsi="宋体" w:cs="宋体"/>
          <w:i/>
          <w:iCs/>
          <w:color w:val="auto"/>
          <w:szCs w:val="21"/>
          <w:highlight w:val="none"/>
          <w:u w:val="single"/>
        </w:rPr>
        <w:t>供应商信用承诺书</w:t>
      </w:r>
    </w:p>
    <w:p w14:paraId="6FB4C0BB">
      <w:pPr>
        <w:spacing w:line="360" w:lineRule="auto"/>
        <w:ind w:firstLine="420"/>
        <w:rPr>
          <w:rFonts w:hint="eastAsia" w:ascii="宋体" w:hAnsi="宋体" w:cs="宋体"/>
          <w:i/>
          <w:iCs/>
          <w:color w:val="auto"/>
          <w:szCs w:val="21"/>
          <w:highlight w:val="none"/>
          <w:u w:val="single"/>
        </w:rPr>
      </w:pPr>
      <w:r>
        <w:rPr>
          <w:rFonts w:hint="eastAsia" w:ascii="宋体" w:hAnsi="宋体" w:cs="宋体"/>
          <w:i/>
          <w:iCs/>
          <w:color w:val="auto"/>
          <w:szCs w:val="21"/>
          <w:highlight w:val="none"/>
          <w:u w:val="single"/>
          <w:lang w:val="en-US" w:eastAsia="zh-CN"/>
        </w:rPr>
        <w:t>7、</w:t>
      </w:r>
      <w:r>
        <w:rPr>
          <w:rFonts w:hint="eastAsia" w:ascii="宋体" w:hAnsi="宋体" w:cs="宋体"/>
          <w:i/>
          <w:iCs/>
          <w:color w:val="auto"/>
          <w:szCs w:val="21"/>
          <w:highlight w:val="none"/>
          <w:u w:val="single"/>
        </w:rPr>
        <w:t>未被“信用中国”网站（www.creditchina.gov.cn）、“中国政府采购网"(www.ccgp.gov.cn)列入失信被执行人、重大税收违法案件当事人名单、政府采购严重违法失信行为记录名单</w:t>
      </w:r>
    </w:p>
    <w:p w14:paraId="247E2C89">
      <w:pPr>
        <w:spacing w:line="360" w:lineRule="auto"/>
        <w:ind w:firstLine="420"/>
        <w:rPr>
          <w:rFonts w:hint="eastAsia" w:ascii="宋体" w:hAnsi="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8、法人授权委托书</w:t>
      </w:r>
    </w:p>
    <w:p w14:paraId="7D76BBFE">
      <w:pPr>
        <w:spacing w:line="360" w:lineRule="auto"/>
        <w:ind w:firstLine="420"/>
        <w:rPr>
          <w:rFonts w:hint="default" w:ascii="宋体" w:hAnsi="宋体" w:cs="宋体"/>
          <w:i/>
          <w:iCs/>
          <w:color w:val="auto"/>
          <w:szCs w:val="21"/>
          <w:highlight w:val="none"/>
          <w:u w:val="single"/>
          <w:lang w:val="en-US" w:eastAsia="zh-CN"/>
        </w:rPr>
      </w:pPr>
      <w:r>
        <w:rPr>
          <w:rFonts w:hint="eastAsia" w:ascii="宋体" w:hAnsi="宋体" w:cs="宋体"/>
          <w:i/>
          <w:iCs/>
          <w:color w:val="auto"/>
          <w:szCs w:val="21"/>
          <w:highlight w:val="none"/>
          <w:u w:val="single"/>
          <w:lang w:val="en-US" w:eastAsia="zh-CN"/>
        </w:rPr>
        <w:t>9、投标函</w:t>
      </w:r>
    </w:p>
    <w:p w14:paraId="2AFB095C">
      <w:pPr>
        <w:numPr>
          <w:ilvl w:val="0"/>
          <w:numId w:val="0"/>
        </w:numPr>
        <w:spacing w:line="360" w:lineRule="auto"/>
        <w:ind w:firstLine="420" w:firstLineChars="200"/>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lang w:eastAsia="zh-CN"/>
        </w:rPr>
        <w:t>）</w:t>
      </w:r>
      <w:r>
        <w:rPr>
          <w:rFonts w:hint="eastAsia" w:ascii="宋体" w:hAnsi="宋体" w:cs="宋体"/>
          <w:iCs/>
          <w:color w:val="auto"/>
          <w:highlight w:val="none"/>
        </w:rPr>
        <w:t>本项目的特定资格要求：</w:t>
      </w:r>
      <w:r>
        <w:rPr>
          <w:rFonts w:hint="eastAsia" w:ascii="宋体" w:hAnsi="宋体" w:cs="宋体"/>
          <w:i/>
          <w:iCs w:val="0"/>
          <w:color w:val="auto"/>
          <w:highlight w:val="none"/>
          <w:u w:val="single"/>
          <w:lang w:val="en-US" w:eastAsia="zh-CN"/>
        </w:rPr>
        <w:t>无</w:t>
      </w:r>
    </w:p>
    <w:p w14:paraId="22C3CE00">
      <w:pPr>
        <w:spacing w:line="360" w:lineRule="auto"/>
        <w:ind w:firstLine="420" w:firstLineChars="200"/>
        <w:rPr>
          <w:rFonts w:ascii="宋体" w:hAnsi="宋体" w:cs="宋体"/>
          <w:color w:val="auto"/>
          <w:szCs w:val="21"/>
          <w:highlight w:val="none"/>
        </w:rPr>
      </w:pPr>
      <w:r>
        <w:rPr>
          <w:rFonts w:hint="eastAsia" w:ascii="宋体" w:hAnsi="宋体" w:cs="宋体"/>
          <w:iCs/>
          <w:color w:val="auto"/>
          <w:highlight w:val="none"/>
          <w:lang w:eastAsia="zh-CN"/>
        </w:rPr>
        <w:t>（</w:t>
      </w:r>
      <w:r>
        <w:rPr>
          <w:rFonts w:hint="eastAsia" w:ascii="宋体" w:hAnsi="宋体" w:cs="宋体"/>
          <w:iCs/>
          <w:color w:val="auto"/>
          <w:highlight w:val="none"/>
          <w:lang w:val="en-US" w:eastAsia="zh-CN"/>
        </w:rPr>
        <w:t>三</w:t>
      </w:r>
      <w:r>
        <w:rPr>
          <w:rFonts w:hint="eastAsia" w:ascii="宋体" w:hAnsi="宋体" w:cs="宋体"/>
          <w:iCs/>
          <w:color w:val="auto"/>
          <w:highlight w:val="none"/>
          <w:lang w:eastAsia="zh-CN"/>
        </w:rPr>
        <w:t>）</w:t>
      </w:r>
      <w:r>
        <w:rPr>
          <w:rFonts w:hint="eastAsia" w:ascii="宋体" w:hAnsi="宋体"/>
          <w:color w:val="auto"/>
          <w:szCs w:val="21"/>
          <w:highlight w:val="none"/>
        </w:rPr>
        <w:t>拒绝下述供应商参加本次采购活动</w:t>
      </w:r>
      <w:r>
        <w:rPr>
          <w:rFonts w:hint="eastAsia" w:ascii="宋体" w:hAnsi="宋体" w:cs="宋体"/>
          <w:color w:val="auto"/>
          <w:szCs w:val="21"/>
          <w:highlight w:val="none"/>
        </w:rPr>
        <w:t>：</w:t>
      </w:r>
    </w:p>
    <w:p w14:paraId="07AB5D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（1）供应商单位负责人为同一人或者存在直接控股、管理关系的不同供应商，不得参加同一合同项下的采购活动。</w:t>
      </w:r>
    </w:p>
    <w:p w14:paraId="06484F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（2）凡为采购项目提供整体设计、规范编制或者项目管理、监理、检测等服务的供应商，不得再参加该项目的其他采购活动。</w:t>
      </w:r>
    </w:p>
    <w:p w14:paraId="2308D06A">
      <w:pPr>
        <w:numPr>
          <w:ilvl w:val="0"/>
          <w:numId w:val="0"/>
        </w:numPr>
        <w:spacing w:line="360" w:lineRule="auto"/>
        <w:ind w:firstLine="420" w:firstLineChars="200"/>
        <w:rPr>
          <w:rFonts w:hint="eastAsia" w:ascii="宋体" w:hAnsi="宋体" w:eastAsia="宋体" w:cs="宋体"/>
          <w:iCs/>
          <w:color w:val="auto"/>
          <w:highlight w:val="none"/>
          <w:lang w:val="en-US" w:eastAsia="zh-CN"/>
        </w:rPr>
      </w:pPr>
      <w:r>
        <w:rPr>
          <w:rFonts w:hint="eastAsia" w:ascii="宋体" w:hAnsi="宋体"/>
          <w:color w:val="auto"/>
          <w:szCs w:val="21"/>
          <w:highlight w:val="none"/>
        </w:rPr>
        <w:t>（3）供应商被“信用中国”网站（www.creditchina.gov.cn）、“中国政府采购网"(www.ccgp.gov.cn)列入失信被执行人、重大税收违法案件当事人名单、政府采购严重违法失信行为记录名单。</w:t>
      </w:r>
    </w:p>
    <w:p w14:paraId="43A16344">
      <w:pPr>
        <w:numPr>
          <w:ilvl w:val="0"/>
          <w:numId w:val="0"/>
        </w:numPr>
        <w:spacing w:line="360" w:lineRule="auto"/>
        <w:ind w:firstLine="420" w:firstLineChars="200"/>
        <w:rPr>
          <w:rFonts w:hint="eastAsia" w:eastAsia="宋体"/>
          <w:color w:val="auto"/>
          <w:highlight w:val="none"/>
          <w:lang w:val="en-US" w:eastAsia="zh-CN"/>
        </w:rPr>
      </w:pPr>
    </w:p>
    <w:p w14:paraId="095F2101">
      <w:pPr>
        <w:spacing w:line="360" w:lineRule="auto"/>
        <w:jc w:val="center"/>
        <w:rPr>
          <w:bCs/>
          <w:color w:val="auto"/>
          <w:sz w:val="24"/>
          <w:highlight w:val="none"/>
        </w:rPr>
        <w:sectPr>
          <w:pgSz w:w="11906" w:h="16838"/>
          <w:pgMar w:top="1440" w:right="1800" w:bottom="1440" w:left="1800" w:header="851" w:footer="992" w:gutter="0"/>
          <w:cols w:space="425" w:num="1"/>
          <w:docGrid w:type="lines" w:linePitch="312" w:charSpace="0"/>
        </w:sectPr>
      </w:pPr>
      <w:r>
        <w:rPr>
          <w:bCs/>
          <w:color w:val="auto"/>
          <w:sz w:val="24"/>
          <w:highlight w:val="none"/>
        </w:rPr>
        <w:br w:type="page"/>
      </w:r>
    </w:p>
    <w:p w14:paraId="09609EAB">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具备履行合同所必需的设备和专业技术能力的书面声明</w:t>
      </w:r>
    </w:p>
    <w:p w14:paraId="2A1DFFEF">
      <w:pPr>
        <w:spacing w:line="360" w:lineRule="auto"/>
        <w:ind w:firstLine="492"/>
        <w:rPr>
          <w:rFonts w:hint="eastAsia" w:ascii="宋体" w:hAnsi="宋体" w:cs="宋体"/>
          <w:bCs/>
          <w:color w:val="auto"/>
          <w:szCs w:val="21"/>
          <w:highlight w:val="none"/>
        </w:rPr>
      </w:pPr>
      <w:r>
        <w:rPr>
          <w:rFonts w:hint="eastAsia" w:ascii="宋体" w:hAnsi="宋体" w:cs="宋体"/>
          <w:bCs/>
          <w:color w:val="auto"/>
          <w:szCs w:val="21"/>
          <w:highlight w:val="none"/>
        </w:rPr>
        <w:t>我单位郑重声明：我单位具备履行本项采购合同所必需的设备和专业技术能力，为履行本项采购合同我公司具备如下主要设备和主要专业技术能力：</w:t>
      </w:r>
    </w:p>
    <w:p w14:paraId="6B08FBE0">
      <w:pPr>
        <w:spacing w:line="360" w:lineRule="auto"/>
        <w:ind w:firstLine="492"/>
        <w:rPr>
          <w:rFonts w:hint="eastAsia" w:ascii="宋体" w:hAnsi="宋体" w:cs="宋体"/>
          <w:bCs/>
          <w:color w:val="auto"/>
          <w:szCs w:val="21"/>
          <w:highlight w:val="none"/>
        </w:rPr>
      </w:pPr>
      <w:r>
        <w:rPr>
          <w:rFonts w:hint="eastAsia" w:ascii="宋体" w:hAnsi="宋体" w:cs="宋体"/>
          <w:bCs/>
          <w:color w:val="auto"/>
          <w:szCs w:val="21"/>
          <w:highlight w:val="none"/>
        </w:rPr>
        <w:t>主要设备有：</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p>
    <w:p w14:paraId="53D73288">
      <w:pPr>
        <w:spacing w:line="360" w:lineRule="auto"/>
        <w:ind w:firstLine="420" w:firstLineChars="200"/>
        <w:jc w:val="both"/>
        <w:rPr>
          <w:rFonts w:hint="eastAsia" w:ascii="宋体" w:hAnsi="宋体" w:cs="宋体"/>
          <w:bCs/>
          <w:color w:val="auto"/>
          <w:szCs w:val="21"/>
          <w:highlight w:val="none"/>
          <w:u w:val="single"/>
        </w:rPr>
      </w:pPr>
      <w:r>
        <w:rPr>
          <w:rFonts w:hint="eastAsia" w:ascii="宋体" w:hAnsi="宋体" w:cs="宋体"/>
          <w:bCs/>
          <w:color w:val="auto"/>
          <w:szCs w:val="21"/>
          <w:highlight w:val="none"/>
        </w:rPr>
        <w:t>主要专业技术能力有：</w:t>
      </w:r>
      <w:r>
        <w:rPr>
          <w:rFonts w:hint="eastAsia" w:ascii="宋体" w:hAnsi="宋体" w:cs="宋体"/>
          <w:bCs/>
          <w:color w:val="auto"/>
          <w:szCs w:val="21"/>
          <w:highlight w:val="none"/>
          <w:u w:val="single"/>
        </w:rPr>
        <w:t xml:space="preserve"> </w:t>
      </w:r>
      <w:r>
        <w:rPr>
          <w:rFonts w:ascii="宋体" w:hAnsi="宋体" w:cs="宋体"/>
          <w:bCs/>
          <w:color w:val="auto"/>
          <w:szCs w:val="21"/>
          <w:highlight w:val="none"/>
          <w:u w:val="single"/>
        </w:rPr>
        <w:t xml:space="preserve">  </w:t>
      </w:r>
      <w:r>
        <w:rPr>
          <w:rFonts w:hint="eastAsia" w:ascii="宋体" w:hAnsi="宋体" w:cs="宋体"/>
          <w:bCs/>
          <w:color w:val="auto"/>
          <w:szCs w:val="21"/>
          <w:highlight w:val="none"/>
          <w:u w:val="single"/>
        </w:rPr>
        <w:t xml:space="preserve">  </w:t>
      </w:r>
    </w:p>
    <w:p w14:paraId="600DF0F4">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br w:type="page"/>
      </w:r>
    </w:p>
    <w:p w14:paraId="1B2E1B3C">
      <w:pPr>
        <w:spacing w:line="360" w:lineRule="auto"/>
        <w:jc w:val="center"/>
        <w:rPr>
          <w:rFonts w:hint="eastAsia" w:ascii="宋体" w:hAnsi="宋体" w:cs="宋体"/>
          <w:b/>
          <w:bCs/>
          <w:color w:val="auto"/>
          <w:highlight w:val="none"/>
        </w:rPr>
      </w:pPr>
      <w:r>
        <w:rPr>
          <w:rFonts w:hint="eastAsia" w:ascii="宋体" w:hAnsi="宋体" w:cs="宋体"/>
          <w:b/>
          <w:bCs/>
          <w:color w:val="auto"/>
          <w:highlight w:val="none"/>
        </w:rPr>
        <w:t>参加本次采购活动前 3 年内在经营活动中没有重大违法记录的书面声明</w:t>
      </w:r>
    </w:p>
    <w:p w14:paraId="61BCE3E4">
      <w:pPr>
        <w:spacing w:line="360" w:lineRule="auto"/>
        <w:rPr>
          <w:rFonts w:hint="eastAsia" w:ascii="宋体" w:hAnsi="宋体" w:cs="宋体"/>
          <w:color w:val="auto"/>
          <w:highlight w:val="none"/>
        </w:rPr>
      </w:pPr>
    </w:p>
    <w:p w14:paraId="1F446095">
      <w:pPr>
        <w:spacing w:after="312" w:line="360" w:lineRule="auto"/>
        <w:jc w:val="center"/>
        <w:rPr>
          <w:rFonts w:hint="eastAsia" w:ascii="宋体" w:hAnsi="宋体" w:cs="宋体"/>
          <w:b/>
          <w:bCs/>
          <w:color w:val="auto"/>
          <w:highlight w:val="none"/>
        </w:rPr>
      </w:pPr>
      <w:r>
        <w:rPr>
          <w:rFonts w:hint="eastAsia" w:ascii="宋体" w:hAnsi="宋体" w:cs="宋体"/>
          <w:b/>
          <w:bCs/>
          <w:color w:val="auto"/>
          <w:highlight w:val="none"/>
        </w:rPr>
        <w:t>声  明</w:t>
      </w:r>
    </w:p>
    <w:p w14:paraId="4C0812FB">
      <w:pPr>
        <w:spacing w:line="360" w:lineRule="auto"/>
        <w:rPr>
          <w:rFonts w:hint="eastAsia" w:ascii="宋体" w:hAnsi="宋体" w:cs="宋体"/>
          <w:bCs/>
          <w:color w:val="auto"/>
          <w:highlight w:val="none"/>
        </w:rPr>
      </w:pPr>
      <w:r>
        <w:rPr>
          <w:rFonts w:hint="eastAsia" w:ascii="宋体" w:hAnsi="宋体" w:cs="宋体"/>
          <w:b/>
          <w:bCs/>
          <w:color w:val="auto"/>
          <w:highlight w:val="none"/>
        </w:rPr>
        <w:t xml:space="preserve">    </w:t>
      </w:r>
      <w:r>
        <w:rPr>
          <w:rFonts w:hint="eastAsia" w:ascii="宋体" w:hAnsi="宋体" w:cs="宋体"/>
          <w:bCs/>
          <w:color w:val="auto"/>
          <w:highlight w:val="none"/>
        </w:rPr>
        <w:t>我公司郑重声明：参加本次采购活动前 3 年内，我公司在经营活动中没有因违法经营受到刑事处罚或者责令停产停业、吊销许可证或者执照、较大数额罚款等行政处罚。</w:t>
      </w:r>
    </w:p>
    <w:p w14:paraId="69AECE78">
      <w:pPr>
        <w:spacing w:line="360" w:lineRule="auto"/>
        <w:rPr>
          <w:rFonts w:hint="eastAsia" w:ascii="宋体" w:hAnsi="宋体" w:cs="宋体"/>
          <w:bCs/>
          <w:color w:val="auto"/>
          <w:highlight w:val="none"/>
        </w:rPr>
      </w:pPr>
      <w:r>
        <w:rPr>
          <w:rFonts w:hint="eastAsia" w:ascii="宋体" w:hAnsi="宋体" w:cs="宋体"/>
          <w:bCs/>
          <w:color w:val="auto"/>
          <w:highlight w:val="none"/>
        </w:rPr>
        <w:t xml:space="preserve">                               供应商名称（公章）：</w:t>
      </w:r>
    </w:p>
    <w:p w14:paraId="4DD8FEB9">
      <w:pPr>
        <w:spacing w:line="360" w:lineRule="auto"/>
        <w:rPr>
          <w:rFonts w:hint="eastAsia" w:ascii="宋体" w:hAnsi="宋体" w:cs="宋体"/>
          <w:bCs/>
          <w:color w:val="auto"/>
          <w:highlight w:val="none"/>
        </w:rPr>
      </w:pPr>
      <w:r>
        <w:rPr>
          <w:rFonts w:hint="eastAsia" w:ascii="宋体" w:hAnsi="宋体" w:cs="宋体"/>
          <w:bCs/>
          <w:color w:val="auto"/>
          <w:highlight w:val="none"/>
        </w:rPr>
        <w:t xml:space="preserve">                               法定代表人签章：</w:t>
      </w:r>
      <w:r>
        <w:rPr>
          <w:rFonts w:hint="eastAsia" w:ascii="宋体" w:hAnsi="宋体" w:cs="宋体"/>
          <w:bCs/>
          <w:color w:val="auto"/>
          <w:highlight w:val="none"/>
          <w:u w:val="single"/>
        </w:rPr>
        <w:t>_______________________</w:t>
      </w:r>
    </w:p>
    <w:p w14:paraId="50097124">
      <w:pPr>
        <w:spacing w:line="360" w:lineRule="auto"/>
        <w:rPr>
          <w:rFonts w:hint="eastAsia" w:ascii="宋体" w:hAnsi="宋体" w:cs="宋体"/>
          <w:bCs/>
          <w:color w:val="auto"/>
          <w:highlight w:val="none"/>
        </w:rPr>
      </w:pPr>
      <w:r>
        <w:rPr>
          <w:rFonts w:hint="eastAsia" w:ascii="宋体" w:hAnsi="宋体" w:cs="宋体"/>
          <w:bCs/>
          <w:color w:val="auto"/>
          <w:highlight w:val="none"/>
        </w:rPr>
        <w:t xml:space="preserve">                               日期：</w:t>
      </w:r>
      <w:r>
        <w:rPr>
          <w:rFonts w:hint="eastAsia" w:ascii="宋体" w:hAnsi="宋体" w:cs="宋体"/>
          <w:bCs/>
          <w:color w:val="auto"/>
          <w:highlight w:val="none"/>
          <w:u w:val="single"/>
        </w:rPr>
        <w:t xml:space="preserve">       </w:t>
      </w:r>
      <w:r>
        <w:rPr>
          <w:rFonts w:hint="eastAsia" w:ascii="宋体" w:hAnsi="宋体" w:cs="宋体"/>
          <w:bCs/>
          <w:color w:val="auto"/>
          <w:highlight w:val="none"/>
        </w:rPr>
        <w:t>年</w:t>
      </w:r>
      <w:r>
        <w:rPr>
          <w:rFonts w:hint="eastAsia" w:ascii="宋体" w:hAnsi="宋体" w:cs="宋体"/>
          <w:bCs/>
          <w:color w:val="auto"/>
          <w:highlight w:val="none"/>
          <w:u w:val="single"/>
        </w:rPr>
        <w:t xml:space="preserve">    </w:t>
      </w:r>
      <w:r>
        <w:rPr>
          <w:rFonts w:hint="eastAsia" w:ascii="宋体" w:hAnsi="宋体" w:cs="宋体"/>
          <w:bCs/>
          <w:color w:val="auto"/>
          <w:highlight w:val="none"/>
        </w:rPr>
        <w:t>月</w:t>
      </w:r>
      <w:r>
        <w:rPr>
          <w:rFonts w:hint="eastAsia" w:ascii="宋体" w:hAnsi="宋体" w:cs="宋体"/>
          <w:bCs/>
          <w:color w:val="auto"/>
          <w:highlight w:val="none"/>
          <w:u w:val="single"/>
        </w:rPr>
        <w:t xml:space="preserve">    </w:t>
      </w:r>
      <w:r>
        <w:rPr>
          <w:rFonts w:hint="eastAsia" w:ascii="宋体" w:hAnsi="宋体" w:cs="宋体"/>
          <w:bCs/>
          <w:color w:val="auto"/>
          <w:highlight w:val="none"/>
        </w:rPr>
        <w:t>日</w:t>
      </w:r>
    </w:p>
    <w:p w14:paraId="08B62278">
      <w:pPr>
        <w:spacing w:line="360" w:lineRule="auto"/>
        <w:rPr>
          <w:rFonts w:hint="eastAsia" w:ascii="宋体" w:hAnsi="宋体" w:cs="宋体"/>
          <w:b/>
          <w:bCs/>
          <w:color w:val="auto"/>
          <w:highlight w:val="none"/>
        </w:rPr>
        <w:sectPr>
          <w:headerReference r:id="rId4" w:type="default"/>
          <w:footerReference r:id="rId5" w:type="default"/>
          <w:pgSz w:w="11906" w:h="16838"/>
          <w:pgMar w:top="1440" w:right="1800" w:bottom="1440" w:left="1800" w:header="851" w:footer="992" w:gutter="0"/>
          <w:cols w:space="720" w:num="1"/>
          <w:docGrid w:linePitch="360" w:charSpace="0"/>
        </w:sectPr>
      </w:pPr>
    </w:p>
    <w:p w14:paraId="2C38AF43">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供应商信用承诺书</w:t>
      </w:r>
    </w:p>
    <w:p w14:paraId="69B07885">
      <w:pPr>
        <w:spacing w:line="360" w:lineRule="auto"/>
        <w:rPr>
          <w:rFonts w:hint="eastAsia" w:ascii="宋体" w:hAnsi="宋体" w:cs="宋体"/>
          <w:color w:val="auto"/>
          <w:szCs w:val="32"/>
          <w:highlight w:val="none"/>
        </w:rPr>
      </w:pPr>
    </w:p>
    <w:p w14:paraId="2A861A4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承诺主体名称：</w:t>
      </w:r>
    </w:p>
    <w:p w14:paraId="7BBC57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统一社会信用代码：</w:t>
      </w:r>
    </w:p>
    <w:p w14:paraId="62644EF4">
      <w:pPr>
        <w:spacing w:line="360" w:lineRule="auto"/>
        <w:rPr>
          <w:rFonts w:hint="eastAsia" w:ascii="宋体" w:hAnsi="宋体" w:cs="宋体"/>
          <w:color w:val="auto"/>
          <w:szCs w:val="21"/>
          <w:highlight w:val="none"/>
        </w:rPr>
      </w:pPr>
    </w:p>
    <w:p w14:paraId="4E92E8F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为维护公平竞争、规范有序的市场秩序，营造诚实守信的信用环境，共同推进社会信用体系建设完善，树立企业诚信守法形象，本企业对________________________项目政府采购活动郑重承诺如下:</w:t>
      </w:r>
    </w:p>
    <w:p w14:paraId="61D6E57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一、对提供给注册登记部门、行业管理部门、司法部门、行业组织以及在政府采购活动中提交的所有资料的合法性、真实性、准确性和有效性负责；</w:t>
      </w:r>
    </w:p>
    <w:p w14:paraId="65705D7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3F5F0A5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14:paraId="08C13A2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14:paraId="11712F9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14:paraId="66A0BEB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六、提出政府采购质疑和投诉坚持依法依规、诚实信用原则，在全国范围12个月内没有三次以上查无实据的政府采购投诉；</w:t>
      </w:r>
    </w:p>
    <w:p w14:paraId="4364080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14:paraId="3DDB659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14:paraId="0CA3087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31C4BAA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十、本承诺书自签订之日起生效。</w:t>
      </w:r>
    </w:p>
    <w:p w14:paraId="428DEC2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14:paraId="3D7FB21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承诺单位（签章）：           </w:t>
      </w:r>
    </w:p>
    <w:p w14:paraId="34F129E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法定代表人（负责人）：</w:t>
      </w:r>
    </w:p>
    <w:p w14:paraId="6382172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　　　　　　　　　      　年    月    日</w:t>
      </w:r>
    </w:p>
    <w:p w14:paraId="62DDC5E6">
      <w:pPr>
        <w:spacing w:line="360" w:lineRule="auto"/>
        <w:jc w:val="center"/>
        <w:rPr>
          <w:rFonts w:hint="eastAsia" w:ascii="宋体" w:hAnsi="宋体" w:cs="宋体"/>
          <w:b/>
          <w:bCs/>
          <w:color w:val="auto"/>
          <w:highlight w:val="none"/>
        </w:rPr>
        <w:sectPr>
          <w:pgSz w:w="11906" w:h="16838"/>
          <w:pgMar w:top="1440" w:right="1800" w:bottom="1440" w:left="1800" w:header="851" w:footer="992" w:gutter="0"/>
          <w:cols w:space="720" w:num="1"/>
          <w:docGrid w:linePitch="360" w:charSpace="0"/>
        </w:sectPr>
      </w:pPr>
    </w:p>
    <w:p w14:paraId="1D09D995">
      <w:pPr>
        <w:spacing w:line="360" w:lineRule="auto"/>
        <w:jc w:val="center"/>
        <w:rPr>
          <w:rFonts w:hint="eastAsia" w:ascii="宋体" w:hAnsi="宋体"/>
          <w:b/>
          <w:bCs/>
          <w:color w:val="auto"/>
          <w:highlight w:val="none"/>
        </w:rPr>
      </w:pPr>
      <w:r>
        <w:rPr>
          <w:rFonts w:hint="eastAsia" w:ascii="宋体" w:hAnsi="宋体"/>
          <w:b/>
          <w:bCs/>
          <w:color w:val="auto"/>
          <w:highlight w:val="none"/>
          <w:lang w:val="en-US" w:eastAsia="zh-CN"/>
        </w:rPr>
        <w:t>三、</w:t>
      </w:r>
      <w:r>
        <w:rPr>
          <w:rFonts w:hint="eastAsia" w:ascii="宋体" w:hAnsi="宋体"/>
          <w:b/>
          <w:bCs/>
          <w:color w:val="auto"/>
          <w:highlight w:val="none"/>
        </w:rPr>
        <w:t>投标函</w:t>
      </w:r>
    </w:p>
    <w:p w14:paraId="3A8CD782">
      <w:pPr>
        <w:pStyle w:val="29"/>
        <w:spacing w:before="0" w:after="0"/>
        <w:ind w:firstLine="0"/>
        <w:rPr>
          <w:rFonts w:hint="eastAsia" w:ascii="宋体" w:hAnsi="宋体"/>
          <w:color w:val="auto"/>
          <w:kern w:val="2"/>
          <w:sz w:val="21"/>
          <w:szCs w:val="21"/>
          <w:highlight w:val="none"/>
        </w:rPr>
      </w:pPr>
      <w:r>
        <w:rPr>
          <w:rFonts w:hint="eastAsia" w:ascii="宋体" w:hAnsi="宋体"/>
          <w:color w:val="auto"/>
          <w:kern w:val="2"/>
          <w:sz w:val="21"/>
          <w:szCs w:val="21"/>
          <w:highlight w:val="none"/>
        </w:rPr>
        <w:t>致：</w:t>
      </w:r>
    </w:p>
    <w:p w14:paraId="1C4A2085">
      <w:pPr>
        <w:pStyle w:val="29"/>
        <w:spacing w:before="0" w:after="0"/>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根据贵方的</w:t>
      </w:r>
      <w:r>
        <w:rPr>
          <w:rFonts w:hint="eastAsia" w:ascii="宋体" w:hAnsi="宋体"/>
          <w:color w:val="auto"/>
          <w:sz w:val="21"/>
          <w:szCs w:val="21"/>
          <w:highlight w:val="none"/>
          <w:u w:val="single"/>
        </w:rPr>
        <w:t xml:space="preserve">        号</w:t>
      </w:r>
      <w:r>
        <w:rPr>
          <w:rFonts w:hint="eastAsia" w:ascii="宋体" w:hAnsi="宋体"/>
          <w:color w:val="auto"/>
          <w:kern w:val="2"/>
          <w:sz w:val="21"/>
          <w:szCs w:val="21"/>
          <w:highlight w:val="none"/>
        </w:rPr>
        <w:t>招标文件，正式授权下述签字人_________________(姓名)代表我方______________（投标人的名称），全权处理本次项目投标的有关事宜。</w:t>
      </w:r>
    </w:p>
    <w:p w14:paraId="496D6161">
      <w:pPr>
        <w:pStyle w:val="29"/>
        <w:spacing w:before="0" w:after="0"/>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据此函，__________签字人兹宣布同意如下：</w:t>
      </w:r>
    </w:p>
    <w:p w14:paraId="3634CDF5">
      <w:pPr>
        <w:pStyle w:val="29"/>
        <w:spacing w:before="0" w:after="0"/>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1.按招标文件规定的各项要求，向买方提供所需货物与服务。</w:t>
      </w:r>
    </w:p>
    <w:p w14:paraId="6A9FB7F2">
      <w:pPr>
        <w:pStyle w:val="29"/>
        <w:spacing w:before="0" w:after="0"/>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2.我们完全理解贵方不一定将合同授予最低报价的投标人。</w:t>
      </w:r>
    </w:p>
    <w:p w14:paraId="73564D03">
      <w:pPr>
        <w:pStyle w:val="29"/>
        <w:spacing w:before="0" w:after="0"/>
        <w:ind w:firstLine="420" w:firstLineChars="200"/>
        <w:rPr>
          <w:rFonts w:hint="eastAsia" w:ascii="宋体" w:hAnsi="宋体"/>
          <w:color w:val="auto"/>
          <w:kern w:val="2"/>
          <w:sz w:val="21"/>
          <w:szCs w:val="21"/>
          <w:highlight w:val="none"/>
        </w:rPr>
      </w:pPr>
      <w:r>
        <w:rPr>
          <w:rFonts w:hint="eastAsia" w:ascii="宋体" w:hAnsi="宋体"/>
          <w:color w:val="auto"/>
          <w:kern w:val="2"/>
          <w:sz w:val="21"/>
          <w:szCs w:val="21"/>
          <w:highlight w:val="none"/>
        </w:rPr>
        <w:t>3.我们已详细审核全部招标文件及其有效补充文件，我们知道必须放弃提出含糊不清或误解问题的权利。</w:t>
      </w:r>
    </w:p>
    <w:p w14:paraId="7A7D2F67">
      <w:pPr>
        <w:pStyle w:val="29"/>
        <w:spacing w:before="0" w:after="0"/>
        <w:rPr>
          <w:rFonts w:hint="eastAsia" w:ascii="宋体" w:hAnsi="宋体"/>
          <w:color w:val="auto"/>
          <w:kern w:val="2"/>
          <w:sz w:val="21"/>
          <w:szCs w:val="21"/>
          <w:highlight w:val="none"/>
        </w:rPr>
      </w:pPr>
      <w:r>
        <w:rPr>
          <w:rFonts w:hint="eastAsia" w:ascii="宋体" w:hAnsi="宋体"/>
          <w:color w:val="auto"/>
          <w:kern w:val="2"/>
          <w:sz w:val="21"/>
          <w:szCs w:val="21"/>
          <w:highlight w:val="none"/>
        </w:rPr>
        <w:t>4.我们同意从规定的开标日期起遵循本投标文件，并在规定的投标有效期期满之前均具有约束力。</w:t>
      </w:r>
    </w:p>
    <w:p w14:paraId="51870ED2">
      <w:pPr>
        <w:pStyle w:val="29"/>
        <w:spacing w:before="0" w:after="0"/>
        <w:rPr>
          <w:rFonts w:hint="eastAsia" w:ascii="宋体" w:hAnsi="宋体"/>
          <w:color w:val="auto"/>
          <w:kern w:val="2"/>
          <w:sz w:val="21"/>
          <w:szCs w:val="21"/>
          <w:highlight w:val="none"/>
        </w:rPr>
      </w:pPr>
      <w:r>
        <w:rPr>
          <w:rFonts w:hint="eastAsia" w:ascii="宋体" w:hAnsi="宋体"/>
          <w:color w:val="auto"/>
          <w:kern w:val="2"/>
          <w:sz w:val="21"/>
          <w:szCs w:val="21"/>
          <w:highlight w:val="none"/>
        </w:rPr>
        <w:t>5.如果在开标后规定的投标有效期内撤回投标或中标后拒绝签订合同，我们的投标保证金可不予退还。</w:t>
      </w:r>
    </w:p>
    <w:p w14:paraId="388364AA">
      <w:pPr>
        <w:pStyle w:val="29"/>
        <w:spacing w:before="0" w:after="0"/>
        <w:rPr>
          <w:rFonts w:hint="eastAsia" w:ascii="宋体" w:hAnsi="宋体"/>
          <w:color w:val="auto"/>
          <w:kern w:val="2"/>
          <w:sz w:val="21"/>
          <w:szCs w:val="21"/>
          <w:highlight w:val="none"/>
        </w:rPr>
      </w:pPr>
      <w:r>
        <w:rPr>
          <w:rFonts w:hint="eastAsia" w:ascii="宋体" w:hAnsi="宋体"/>
          <w:color w:val="auto"/>
          <w:kern w:val="2"/>
          <w:sz w:val="21"/>
          <w:szCs w:val="21"/>
          <w:highlight w:val="none"/>
        </w:rPr>
        <w:t>6.同意向贵方提供贵方可能另外要求的与投标有关的任何证据或资料，并保证我方已提供和将要提供的文件是真实的、准确的。</w:t>
      </w:r>
    </w:p>
    <w:p w14:paraId="07347EDB">
      <w:pPr>
        <w:pStyle w:val="29"/>
        <w:spacing w:before="0" w:after="0"/>
        <w:rPr>
          <w:rFonts w:hint="eastAsia" w:ascii="宋体" w:hAnsi="宋体"/>
          <w:color w:val="auto"/>
          <w:kern w:val="2"/>
          <w:sz w:val="21"/>
          <w:szCs w:val="21"/>
          <w:highlight w:val="none"/>
        </w:rPr>
      </w:pPr>
      <w:r>
        <w:rPr>
          <w:rFonts w:hint="eastAsia" w:ascii="宋体" w:hAnsi="宋体"/>
          <w:color w:val="auto"/>
          <w:kern w:val="2"/>
          <w:sz w:val="21"/>
          <w:szCs w:val="21"/>
          <w:highlight w:val="none"/>
        </w:rPr>
        <w:t>7.一旦我方中标,我方将根据招标文件的规定，严格履行合同的责任和义务,并保证在招标文件规定的时间完成项目，交付买方验收、使用。</w:t>
      </w:r>
    </w:p>
    <w:p w14:paraId="3484EA00">
      <w:pPr>
        <w:pStyle w:val="29"/>
        <w:spacing w:before="0" w:after="0"/>
        <w:ind w:left="425" w:firstLine="105" w:firstLineChars="50"/>
        <w:rPr>
          <w:rFonts w:hint="eastAsia" w:ascii="宋体" w:hAnsi="宋体"/>
          <w:color w:val="auto"/>
          <w:kern w:val="2"/>
          <w:sz w:val="21"/>
          <w:szCs w:val="21"/>
          <w:highlight w:val="none"/>
        </w:rPr>
      </w:pPr>
      <w:r>
        <w:rPr>
          <w:rFonts w:hint="eastAsia" w:ascii="宋体" w:hAnsi="宋体"/>
          <w:color w:val="auto"/>
          <w:kern w:val="2"/>
          <w:sz w:val="21"/>
          <w:szCs w:val="21"/>
          <w:highlight w:val="none"/>
        </w:rPr>
        <w:t>8.与本投标有关的正式通讯地址为：</w:t>
      </w:r>
    </w:p>
    <w:p w14:paraId="6FA39394">
      <w:pPr>
        <w:pStyle w:val="29"/>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地 址：</w:t>
      </w:r>
    </w:p>
    <w:p w14:paraId="3A4499B5">
      <w:pPr>
        <w:pStyle w:val="29"/>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邮 编：</w:t>
      </w:r>
    </w:p>
    <w:p w14:paraId="1D761571">
      <w:pPr>
        <w:pStyle w:val="29"/>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电 话： </w:t>
      </w:r>
    </w:p>
    <w:p w14:paraId="36890E8A">
      <w:pPr>
        <w:pStyle w:val="29"/>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传 真： </w:t>
      </w:r>
    </w:p>
    <w:p w14:paraId="7F423450">
      <w:pPr>
        <w:pStyle w:val="29"/>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投标人开户行：</w:t>
      </w:r>
    </w:p>
    <w:p w14:paraId="2CE60C1D">
      <w:pPr>
        <w:pStyle w:val="29"/>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账 户： </w:t>
      </w:r>
    </w:p>
    <w:p w14:paraId="5DBD92AC">
      <w:pPr>
        <w:pStyle w:val="29"/>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法定代表人或授权代表（签字）： </w:t>
      </w:r>
    </w:p>
    <w:p w14:paraId="16DD1174">
      <w:pPr>
        <w:pStyle w:val="29"/>
        <w:spacing w:before="0" w:after="0"/>
        <w:ind w:firstLine="478" w:firstLineChars="228"/>
        <w:rPr>
          <w:rFonts w:hint="eastAsia" w:ascii="宋体" w:hAnsi="宋体"/>
          <w:color w:val="auto"/>
          <w:kern w:val="2"/>
          <w:sz w:val="21"/>
          <w:szCs w:val="21"/>
          <w:highlight w:val="none"/>
        </w:rPr>
      </w:pPr>
      <w:r>
        <w:rPr>
          <w:rFonts w:hint="eastAsia" w:ascii="宋体" w:hAnsi="宋体"/>
          <w:color w:val="auto"/>
          <w:kern w:val="2"/>
          <w:sz w:val="21"/>
          <w:szCs w:val="21"/>
          <w:highlight w:val="none"/>
        </w:rPr>
        <w:t xml:space="preserve">投标人名称（公章）： </w:t>
      </w:r>
    </w:p>
    <w:p w14:paraId="2E63E66F">
      <w:pPr>
        <w:pStyle w:val="36"/>
        <w:spacing w:after="312" w:line="360" w:lineRule="auto"/>
        <w:jc w:val="center"/>
        <w:rPr>
          <w:rFonts w:hint="eastAsia" w:ascii="宋体" w:hAnsi="宋体" w:cs="宋体"/>
          <w:b/>
          <w:color w:val="auto"/>
          <w:sz w:val="21"/>
          <w:szCs w:val="21"/>
          <w:highlight w:val="none"/>
        </w:rPr>
      </w:pPr>
      <w:r>
        <w:rPr>
          <w:rFonts w:hint="eastAsia" w:ascii="宋体" w:hAnsi="宋体" w:eastAsia="宋体" w:cs="Times New Roman"/>
          <w:color w:val="auto"/>
          <w:kern w:val="2"/>
          <w:sz w:val="21"/>
          <w:szCs w:val="21"/>
          <w:highlight w:val="none"/>
          <w:lang w:val="en-US" w:eastAsia="zh-CN" w:bidi="ar-SA"/>
        </w:rPr>
        <w:t>日 期：________年____月____日</w:t>
      </w:r>
      <w:r>
        <w:rPr>
          <w:rFonts w:hint="eastAsia" w:ascii="宋体" w:hAnsi="宋体" w:cs="宋体"/>
          <w:b/>
          <w:color w:val="auto"/>
          <w:sz w:val="21"/>
          <w:szCs w:val="21"/>
          <w:highlight w:val="none"/>
        </w:rPr>
        <w:br w:type="page" w:clear="all"/>
      </w:r>
      <w:r>
        <w:rPr>
          <w:rFonts w:hint="eastAsia" w:ascii="宋体" w:hAnsi="宋体" w:cs="宋体"/>
          <w:b/>
          <w:color w:val="auto"/>
          <w:sz w:val="21"/>
          <w:szCs w:val="21"/>
          <w:highlight w:val="none"/>
        </w:rPr>
        <w:t>法人授权书</w:t>
      </w:r>
    </w:p>
    <w:p w14:paraId="01F7ECCB">
      <w:pPr>
        <w:pStyle w:val="36"/>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本授权书声明：________________（供应商名称）授权________________（被授权人的姓名）为我方就</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（项目编号）号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（项目名称）项目采购活动的合法代理人，以本公司名义全权处理一切与该项目采购有关的事务。</w:t>
      </w:r>
    </w:p>
    <w:p w14:paraId="6F133391">
      <w:pPr>
        <w:pStyle w:val="36"/>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本授权书于______年____月____日起生效，特此声明。</w:t>
      </w:r>
    </w:p>
    <w:p w14:paraId="2268045F">
      <w:pPr>
        <w:pStyle w:val="36"/>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被授权人姓名：</w:t>
      </w:r>
      <w:r>
        <w:rPr>
          <w:rFonts w:hint="eastAsia" w:ascii="宋体" w:hAnsi="宋体" w:cs="宋体"/>
          <w:color w:val="auto"/>
          <w:sz w:val="21"/>
          <w:szCs w:val="21"/>
          <w:highlight w:val="none"/>
          <w:u w:val="single"/>
        </w:rPr>
        <w:t xml:space="preserve">                                 </w:t>
      </w:r>
    </w:p>
    <w:p w14:paraId="65A45285">
      <w:pPr>
        <w:pStyle w:val="36"/>
        <w:spacing w:line="360" w:lineRule="auto"/>
        <w:ind w:firstLine="42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联系电话（手机）：</w:t>
      </w:r>
      <w:r>
        <w:rPr>
          <w:rFonts w:hint="eastAsia" w:ascii="宋体" w:hAnsi="宋体" w:cs="宋体"/>
          <w:color w:val="auto"/>
          <w:sz w:val="21"/>
          <w:szCs w:val="21"/>
          <w:highlight w:val="none"/>
          <w:u w:val="single"/>
        </w:rPr>
        <w:t xml:space="preserve">                             </w:t>
      </w:r>
    </w:p>
    <w:p w14:paraId="1967E8FD">
      <w:pPr>
        <w:pStyle w:val="36"/>
        <w:spacing w:line="360" w:lineRule="auto"/>
        <w:ind w:firstLine="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单位名称：___________________________________</w:t>
      </w:r>
    </w:p>
    <w:p w14:paraId="6AD85140">
      <w:pPr>
        <w:pStyle w:val="36"/>
        <w:spacing w:line="360" w:lineRule="auto"/>
        <w:ind w:firstLine="42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单位地址：</w:t>
      </w:r>
      <w:r>
        <w:rPr>
          <w:rFonts w:hint="eastAsia" w:ascii="宋体" w:hAnsi="宋体" w:cs="宋体"/>
          <w:color w:val="auto"/>
          <w:sz w:val="21"/>
          <w:szCs w:val="21"/>
          <w:highlight w:val="none"/>
          <w:u w:val="single"/>
        </w:rPr>
        <w:t xml:space="preserve">                                     </w:t>
      </w:r>
    </w:p>
    <w:p w14:paraId="402D5CB7">
      <w:pPr>
        <w:pStyle w:val="36"/>
        <w:spacing w:line="360" w:lineRule="auto"/>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57E33ED5">
      <w:pPr>
        <w:spacing w:line="360" w:lineRule="auto"/>
        <w:rPr>
          <w:rFonts w:hint="eastAsia" w:ascii="宋体" w:hAnsi="宋体" w:cs="宋体"/>
          <w:bCs/>
          <w:color w:val="auto"/>
          <w:highlight w:val="none"/>
        </w:rPr>
      </w:pPr>
    </w:p>
    <w:p w14:paraId="0CBBCA61">
      <w:pPr>
        <w:spacing w:line="360" w:lineRule="auto"/>
        <w:jc w:val="both"/>
        <w:rPr>
          <w:rFonts w:hint="eastAsia" w:ascii="宋体" w:hAnsi="宋体" w:cs="宋体"/>
          <w:bCs/>
          <w:color w:val="auto"/>
          <w:highlight w:val="none"/>
        </w:rPr>
      </w:pPr>
      <w:r>
        <w:rPr>
          <w:rFonts w:hint="eastAsia" w:ascii="宋体" w:hAnsi="宋体" w:cs="宋体"/>
          <w:bCs/>
          <w:color w:val="auto"/>
          <w:highlight w:val="none"/>
        </w:rPr>
        <w:t>被授权人身份证复印件</w:t>
      </w:r>
    </w:p>
    <w:p w14:paraId="55399185">
      <w:pPr>
        <w:rPr>
          <w:rFonts w:hint="eastAsia" w:ascii="宋体" w:hAnsi="宋体" w:cs="宋体"/>
          <w:bCs/>
          <w:color w:val="auto"/>
          <w:highlight w:val="none"/>
        </w:rPr>
      </w:pPr>
    </w:p>
    <w:p w14:paraId="0FF08BFD">
      <w:pPr>
        <w:rPr>
          <w:rFonts w:hint="eastAsia"/>
          <w:color w:val="auto"/>
          <w:highlight w:val="none"/>
        </w:rPr>
        <w:sectPr>
          <w:pgSz w:w="11906" w:h="16838"/>
          <w:pgMar w:top="1440" w:right="1800" w:bottom="1440" w:left="1800" w:header="851" w:footer="992" w:gutter="0"/>
          <w:cols w:space="425" w:num="1"/>
          <w:docGrid w:type="lines" w:linePitch="312" w:charSpace="0"/>
        </w:sectPr>
      </w:pPr>
    </w:p>
    <w:p w14:paraId="03673F4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val="en-US" w:eastAsia="zh-CN"/>
        </w:rPr>
        <w:t>四、</w:t>
      </w:r>
      <w:r>
        <w:rPr>
          <w:rFonts w:hint="eastAsia" w:ascii="宋体" w:hAnsi="宋体" w:cs="宋体"/>
          <w:b/>
          <w:color w:val="auto"/>
          <w:szCs w:val="21"/>
          <w:highlight w:val="none"/>
        </w:rPr>
        <w:t>开标一览表</w:t>
      </w:r>
    </w:p>
    <w:p w14:paraId="39BDB118">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投标人全称（加盖公章）：</w:t>
      </w:r>
    </w:p>
    <w:p w14:paraId="349A5DBF">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项目名称：</w:t>
      </w:r>
    </w:p>
    <w:p w14:paraId="43BB3EB1">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项目编号：</w:t>
      </w:r>
    </w:p>
    <w:tbl>
      <w:tblPr>
        <w:tblStyle w:val="17"/>
        <w:tblW w:w="8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4"/>
        <w:gridCol w:w="6405"/>
      </w:tblGrid>
      <w:tr w14:paraId="07336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jc w:val="center"/>
        </w:trPr>
        <w:tc>
          <w:tcPr>
            <w:tcW w:w="1814" w:type="dxa"/>
            <w:tcBorders>
              <w:top w:val="single" w:color="auto" w:sz="4" w:space="0"/>
              <w:left w:val="single" w:color="auto" w:sz="4" w:space="0"/>
              <w:bottom w:val="single" w:color="auto" w:sz="4" w:space="0"/>
              <w:right w:val="single" w:color="auto" w:sz="4" w:space="0"/>
            </w:tcBorders>
            <w:vAlign w:val="center"/>
          </w:tcPr>
          <w:p w14:paraId="059B1C81">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405" w:type="dxa"/>
            <w:tcBorders>
              <w:top w:val="single" w:color="auto" w:sz="4" w:space="0"/>
              <w:left w:val="single" w:color="auto" w:sz="4" w:space="0"/>
              <w:bottom w:val="single" w:color="auto" w:sz="4" w:space="0"/>
              <w:right w:val="single" w:color="auto" w:sz="4" w:space="0"/>
            </w:tcBorders>
            <w:vAlign w:val="center"/>
          </w:tcPr>
          <w:p w14:paraId="2AA1407B">
            <w:pPr>
              <w:adjustRightInd w:val="0"/>
              <w:snapToGrid w:val="0"/>
              <w:spacing w:after="200" w:line="220" w:lineRule="atLeas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xml:space="preserve">                      报价</w:t>
            </w:r>
          </w:p>
        </w:tc>
      </w:tr>
      <w:tr w14:paraId="31E1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jc w:val="center"/>
        </w:trPr>
        <w:tc>
          <w:tcPr>
            <w:tcW w:w="1814" w:type="dxa"/>
            <w:tcBorders>
              <w:top w:val="single" w:color="auto" w:sz="4" w:space="0"/>
              <w:left w:val="single" w:color="auto" w:sz="4" w:space="0"/>
              <w:bottom w:val="single" w:color="auto" w:sz="4" w:space="0"/>
              <w:right w:val="single" w:color="auto" w:sz="4" w:space="0"/>
            </w:tcBorders>
            <w:vAlign w:val="center"/>
          </w:tcPr>
          <w:p w14:paraId="5A82E278">
            <w:pPr>
              <w:adjustRightInd w:val="0"/>
              <w:snapToGrid w:val="0"/>
              <w:spacing w:line="300" w:lineRule="auto"/>
              <w:rPr>
                <w:rFonts w:ascii="宋体" w:hAnsi="宋体" w:cs="宋体"/>
                <w:color w:val="auto"/>
                <w:szCs w:val="21"/>
                <w:highlight w:val="none"/>
              </w:rPr>
            </w:pPr>
          </w:p>
        </w:tc>
        <w:tc>
          <w:tcPr>
            <w:tcW w:w="6405" w:type="dxa"/>
            <w:tcBorders>
              <w:top w:val="single" w:color="auto" w:sz="4" w:space="0"/>
              <w:left w:val="single" w:color="auto" w:sz="4" w:space="0"/>
              <w:bottom w:val="single" w:color="auto" w:sz="4" w:space="0"/>
              <w:right w:val="single" w:color="auto" w:sz="4" w:space="0"/>
            </w:tcBorders>
            <w:vAlign w:val="center"/>
          </w:tcPr>
          <w:p w14:paraId="6A36FA25">
            <w:pPr>
              <w:adjustRightInd w:val="0"/>
              <w:snapToGrid w:val="0"/>
              <w:spacing w:line="30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大写：</w:t>
            </w:r>
            <w:r>
              <w:rPr>
                <w:rFonts w:hint="eastAsia" w:ascii="宋体" w:hAnsi="宋体" w:cs="宋体"/>
                <w:color w:val="auto"/>
                <w:szCs w:val="21"/>
                <w:highlight w:val="none"/>
                <w:lang w:val="en-US" w:eastAsia="zh-CN"/>
              </w:rPr>
              <w:t xml:space="preserve">        </w:t>
            </w:r>
          </w:p>
          <w:p w14:paraId="5A275480">
            <w:pPr>
              <w:adjustRightInd w:val="0"/>
              <w:spacing w:line="500" w:lineRule="exact"/>
              <w:jc w:val="left"/>
              <w:textAlignment w:val="baseline"/>
              <w:rPr>
                <w:rFonts w:ascii="宋体" w:hAnsi="宋体" w:cs="宋体"/>
                <w:color w:val="auto"/>
                <w:szCs w:val="21"/>
                <w:highlight w:val="none"/>
              </w:rPr>
            </w:pPr>
            <w:r>
              <w:rPr>
                <w:rFonts w:hint="eastAsia" w:ascii="宋体" w:hAnsi="宋体" w:cs="宋体"/>
                <w:color w:val="auto"/>
                <w:kern w:val="0"/>
                <w:szCs w:val="21"/>
                <w:highlight w:val="none"/>
              </w:rPr>
              <w:t xml:space="preserve">小写：       </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 xml:space="preserve">             （人民币）</w:t>
            </w:r>
          </w:p>
        </w:tc>
      </w:tr>
      <w:tr w14:paraId="679E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1814" w:type="dxa"/>
            <w:tcBorders>
              <w:top w:val="single" w:color="auto" w:sz="4" w:space="0"/>
              <w:left w:val="single" w:color="auto" w:sz="4" w:space="0"/>
              <w:bottom w:val="single" w:color="auto" w:sz="4" w:space="0"/>
              <w:right w:val="single" w:color="auto" w:sz="4" w:space="0"/>
            </w:tcBorders>
            <w:vAlign w:val="center"/>
          </w:tcPr>
          <w:p w14:paraId="386C6DC4">
            <w:pPr>
              <w:adjustRightInd w:val="0"/>
              <w:snapToGrid w:val="0"/>
              <w:spacing w:line="300" w:lineRule="auto"/>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405" w:type="dxa"/>
            <w:tcBorders>
              <w:top w:val="single" w:color="auto" w:sz="4" w:space="0"/>
              <w:left w:val="single" w:color="auto" w:sz="4" w:space="0"/>
              <w:bottom w:val="single" w:color="auto" w:sz="4" w:space="0"/>
              <w:right w:val="single" w:color="auto" w:sz="4" w:space="0"/>
            </w:tcBorders>
            <w:vAlign w:val="center"/>
          </w:tcPr>
          <w:p w14:paraId="32BBBF16">
            <w:pPr>
              <w:adjustRightInd w:val="0"/>
              <w:snapToGrid w:val="0"/>
              <w:spacing w:line="300" w:lineRule="auto"/>
              <w:ind w:firstLine="1365" w:firstLineChars="650"/>
              <w:rPr>
                <w:rFonts w:ascii="宋体" w:hAnsi="宋体" w:cs="宋体"/>
                <w:color w:val="auto"/>
                <w:szCs w:val="21"/>
                <w:highlight w:val="none"/>
              </w:rPr>
            </w:pPr>
          </w:p>
        </w:tc>
      </w:tr>
    </w:tbl>
    <w:p w14:paraId="7A5A19BC">
      <w:pPr>
        <w:rPr>
          <w:rFonts w:hint="eastAsia" w:ascii="宋体" w:hAnsi="宋体" w:cs="宋体"/>
          <w:color w:val="auto"/>
          <w:szCs w:val="21"/>
          <w:highlight w:val="none"/>
        </w:rPr>
      </w:pPr>
    </w:p>
    <w:p w14:paraId="5666E42E">
      <w:pPr>
        <w:ind w:firstLine="480"/>
        <w:rPr>
          <w:rFonts w:hint="eastAsia" w:ascii="宋体" w:hAnsi="宋体" w:cs="宋体"/>
          <w:color w:val="auto"/>
          <w:szCs w:val="21"/>
          <w:highlight w:val="none"/>
        </w:rPr>
      </w:pPr>
    </w:p>
    <w:p w14:paraId="285B9A8A">
      <w:pPr>
        <w:ind w:firstLine="480"/>
        <w:rPr>
          <w:rFonts w:hint="eastAsia" w:ascii="宋体" w:hAnsi="宋体" w:cs="宋体"/>
          <w:color w:val="auto"/>
          <w:kern w:val="0"/>
          <w:szCs w:val="21"/>
          <w:highlight w:val="none"/>
        </w:rPr>
      </w:pPr>
      <w:r>
        <w:rPr>
          <w:rFonts w:hint="eastAsia" w:ascii="宋体" w:hAnsi="宋体" w:cs="宋体"/>
          <w:color w:val="auto"/>
          <w:szCs w:val="21"/>
          <w:highlight w:val="none"/>
        </w:rPr>
        <w:t xml:space="preserve">                                           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CE429A9">
      <w:pPr>
        <w:spacing w:line="360" w:lineRule="auto"/>
        <w:ind w:firstLine="480"/>
        <w:rPr>
          <w:rFonts w:hint="eastAsia" w:ascii="宋体" w:hAnsi="宋体" w:cs="宋体"/>
          <w:iCs/>
          <w:color w:val="auto"/>
          <w:szCs w:val="21"/>
          <w:highlight w:val="none"/>
        </w:rPr>
      </w:pPr>
      <w:r>
        <w:rPr>
          <w:rFonts w:hint="eastAsia" w:ascii="宋体" w:hAnsi="宋体" w:cs="宋体"/>
          <w:color w:val="auto"/>
          <w:szCs w:val="21"/>
          <w:highlight w:val="none"/>
        </w:rPr>
        <w:t>填写说明：</w:t>
      </w:r>
      <w:r>
        <w:rPr>
          <w:rFonts w:hint="eastAsia" w:ascii="宋体" w:hAnsi="宋体" w:cs="宋体"/>
          <w:iCs/>
          <w:color w:val="auto"/>
          <w:szCs w:val="21"/>
          <w:highlight w:val="none"/>
        </w:rPr>
        <w:t>1、</w:t>
      </w:r>
      <w:r>
        <w:rPr>
          <w:rFonts w:hint="eastAsia" w:ascii="宋体" w:hAnsi="宋体" w:cs="宋体"/>
          <w:bCs/>
          <w:iCs/>
          <w:color w:val="auto"/>
          <w:szCs w:val="21"/>
          <w:highlight w:val="none"/>
          <w:u w:val="single"/>
        </w:rPr>
        <w:t>开标一览表必须加盖投标人公章（复印件无效）</w:t>
      </w:r>
      <w:r>
        <w:rPr>
          <w:rFonts w:hint="eastAsia" w:ascii="宋体" w:hAnsi="宋体" w:cs="宋体"/>
          <w:iCs/>
          <w:color w:val="auto"/>
          <w:szCs w:val="21"/>
          <w:highlight w:val="none"/>
        </w:rPr>
        <w:t>。</w:t>
      </w:r>
    </w:p>
    <w:p w14:paraId="63AA0765">
      <w:pPr>
        <w:pStyle w:val="16"/>
        <w:rPr>
          <w:rFonts w:hint="eastAsia" w:ascii="宋体" w:hAnsi="宋体" w:cs="宋体"/>
          <w:iCs/>
          <w:color w:val="auto"/>
          <w:szCs w:val="21"/>
          <w:highlight w:val="none"/>
        </w:rPr>
      </w:pPr>
    </w:p>
    <w:p w14:paraId="15334BCC">
      <w:pPr>
        <w:pStyle w:val="16"/>
        <w:rPr>
          <w:rFonts w:hint="eastAsia" w:ascii="宋体" w:hAnsi="宋体" w:cs="宋体"/>
          <w:iCs/>
          <w:color w:val="auto"/>
          <w:szCs w:val="21"/>
          <w:highlight w:val="none"/>
        </w:rPr>
      </w:pPr>
    </w:p>
    <w:p w14:paraId="09F0BD25">
      <w:pPr>
        <w:rPr>
          <w:rFonts w:hint="eastAsia" w:ascii="宋体" w:hAnsi="宋体" w:cs="宋体"/>
          <w:iCs/>
          <w:color w:val="auto"/>
          <w:szCs w:val="21"/>
          <w:highlight w:val="none"/>
        </w:rPr>
      </w:pPr>
      <w:r>
        <w:rPr>
          <w:rFonts w:hint="eastAsia" w:ascii="宋体" w:hAnsi="宋体" w:cs="宋体"/>
          <w:iCs/>
          <w:color w:val="auto"/>
          <w:szCs w:val="21"/>
          <w:highlight w:val="none"/>
        </w:rPr>
        <w:br w:type="page"/>
      </w:r>
    </w:p>
    <w:p w14:paraId="118E53A4">
      <w:pPr>
        <w:spacing w:after="312" w:afterLines="100" w:line="360" w:lineRule="auto"/>
        <w:jc w:val="center"/>
        <w:rPr>
          <w:rFonts w:ascii="宋体" w:hAnsi="宋体"/>
          <w:b/>
          <w:color w:val="auto"/>
          <w:szCs w:val="21"/>
          <w:highlight w:val="none"/>
        </w:rPr>
      </w:pPr>
      <w:r>
        <w:rPr>
          <w:rFonts w:hint="eastAsia" w:ascii="宋体" w:hAnsi="宋体"/>
          <w:b/>
          <w:color w:val="auto"/>
          <w:szCs w:val="21"/>
          <w:highlight w:val="none"/>
          <w:lang w:val="en-US" w:eastAsia="zh-CN"/>
        </w:rPr>
        <w:t>五、</w:t>
      </w:r>
      <w:r>
        <w:rPr>
          <w:rFonts w:hint="eastAsia" w:ascii="宋体" w:hAnsi="宋体"/>
          <w:b/>
          <w:color w:val="auto"/>
          <w:szCs w:val="21"/>
          <w:highlight w:val="none"/>
        </w:rPr>
        <w:t>分项报价表</w:t>
      </w:r>
    </w:p>
    <w:p w14:paraId="1C2B7BFE">
      <w:pPr>
        <w:spacing w:line="360" w:lineRule="auto"/>
        <w:rPr>
          <w:rFonts w:ascii="宋体" w:hAnsi="宋体"/>
          <w:color w:val="auto"/>
          <w:szCs w:val="21"/>
          <w:highlight w:val="none"/>
        </w:rPr>
      </w:pPr>
      <w:r>
        <w:rPr>
          <w:rFonts w:hint="eastAsia" w:ascii="宋体" w:hAnsi="宋体"/>
          <w:color w:val="auto"/>
          <w:szCs w:val="21"/>
          <w:highlight w:val="none"/>
        </w:rPr>
        <w:t>项目名称：</w:t>
      </w:r>
    </w:p>
    <w:p w14:paraId="4B4088B4">
      <w:pPr>
        <w:spacing w:line="360" w:lineRule="auto"/>
        <w:rPr>
          <w:rFonts w:ascii="宋体" w:hAnsi="宋体"/>
          <w:color w:val="auto"/>
          <w:szCs w:val="21"/>
          <w:highlight w:val="none"/>
          <w:u w:val="single"/>
        </w:rPr>
      </w:pPr>
      <w:r>
        <w:rPr>
          <w:rFonts w:hint="eastAsia" w:ascii="宋体" w:hAnsi="宋体"/>
          <w:color w:val="auto"/>
          <w:szCs w:val="21"/>
          <w:highlight w:val="none"/>
        </w:rPr>
        <w:t>项目编号：</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5"/>
        <w:gridCol w:w="2604"/>
        <w:gridCol w:w="2803"/>
      </w:tblGrid>
      <w:tr w14:paraId="0D74D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3115" w:type="dxa"/>
            <w:tcBorders>
              <w:top w:val="single" w:color="auto" w:sz="4" w:space="0"/>
              <w:left w:val="single" w:color="auto" w:sz="4" w:space="0"/>
              <w:bottom w:val="single" w:color="auto" w:sz="4" w:space="0"/>
              <w:right w:val="single" w:color="auto" w:sz="4" w:space="0"/>
            </w:tcBorders>
            <w:vAlign w:val="center"/>
          </w:tcPr>
          <w:p w14:paraId="7D463D1B">
            <w:pPr>
              <w:adjustRightInd w:val="0"/>
              <w:snapToGrid w:val="0"/>
              <w:spacing w:line="220" w:lineRule="atLeast"/>
              <w:jc w:val="center"/>
              <w:outlineLvl w:val="9"/>
              <w:rPr>
                <w:rFonts w:hint="eastAsia" w:ascii="宋体" w:hAnsi="宋体" w:cs="宋体"/>
                <w:szCs w:val="21"/>
                <w:highlight w:val="none"/>
              </w:rPr>
            </w:pPr>
            <w:r>
              <w:rPr>
                <w:rFonts w:hint="eastAsia" w:ascii="宋体" w:hAnsi="宋体" w:cs="宋体"/>
                <w:szCs w:val="21"/>
                <w:highlight w:val="none"/>
              </w:rPr>
              <w:t>1</w:t>
            </w:r>
          </w:p>
        </w:tc>
        <w:tc>
          <w:tcPr>
            <w:tcW w:w="2604" w:type="dxa"/>
            <w:tcBorders>
              <w:top w:val="single" w:color="auto" w:sz="4" w:space="0"/>
              <w:left w:val="single" w:color="auto" w:sz="4" w:space="0"/>
              <w:bottom w:val="single" w:color="auto" w:sz="4" w:space="0"/>
              <w:right w:val="single" w:color="auto" w:sz="4" w:space="0"/>
            </w:tcBorders>
            <w:vAlign w:val="center"/>
          </w:tcPr>
          <w:p w14:paraId="0AA32F52">
            <w:pPr>
              <w:adjustRightInd w:val="0"/>
              <w:snapToGrid w:val="0"/>
              <w:spacing w:line="220" w:lineRule="atLeast"/>
              <w:jc w:val="center"/>
              <w:outlineLvl w:val="9"/>
              <w:rPr>
                <w:rFonts w:hint="eastAsia" w:ascii="宋体" w:hAnsi="宋体" w:cs="宋体"/>
                <w:szCs w:val="21"/>
                <w:highlight w:val="none"/>
              </w:rPr>
            </w:pPr>
            <w:r>
              <w:rPr>
                <w:rFonts w:hint="eastAsia" w:ascii="宋体" w:hAnsi="宋体" w:cs="宋体"/>
                <w:szCs w:val="21"/>
                <w:highlight w:val="none"/>
              </w:rPr>
              <w:t>2</w:t>
            </w:r>
          </w:p>
        </w:tc>
        <w:tc>
          <w:tcPr>
            <w:tcW w:w="2803" w:type="dxa"/>
            <w:tcBorders>
              <w:top w:val="single" w:color="auto" w:sz="4" w:space="0"/>
              <w:left w:val="single" w:color="auto" w:sz="4" w:space="0"/>
              <w:bottom w:val="single" w:color="auto" w:sz="4" w:space="0"/>
              <w:right w:val="single" w:color="auto" w:sz="4" w:space="0"/>
            </w:tcBorders>
            <w:vAlign w:val="center"/>
          </w:tcPr>
          <w:p w14:paraId="315B0FAB">
            <w:pPr>
              <w:adjustRightInd w:val="0"/>
              <w:snapToGrid w:val="0"/>
              <w:spacing w:line="220" w:lineRule="atLeast"/>
              <w:jc w:val="center"/>
              <w:outlineLvl w:val="9"/>
              <w:rPr>
                <w:rFonts w:hint="eastAsia" w:ascii="宋体" w:hAnsi="宋体" w:cs="宋体"/>
                <w:szCs w:val="21"/>
                <w:highlight w:val="none"/>
              </w:rPr>
            </w:pPr>
            <w:r>
              <w:rPr>
                <w:rFonts w:hint="eastAsia" w:ascii="宋体" w:hAnsi="宋体" w:cs="宋体"/>
                <w:szCs w:val="21"/>
                <w:highlight w:val="none"/>
              </w:rPr>
              <w:t>3</w:t>
            </w:r>
          </w:p>
        </w:tc>
      </w:tr>
      <w:tr w14:paraId="7DA1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3115" w:type="dxa"/>
            <w:tcBorders>
              <w:top w:val="single" w:color="auto" w:sz="4" w:space="0"/>
              <w:left w:val="single" w:color="auto" w:sz="4" w:space="0"/>
              <w:bottom w:val="single" w:color="auto" w:sz="4" w:space="0"/>
              <w:right w:val="single" w:color="auto" w:sz="4" w:space="0"/>
            </w:tcBorders>
            <w:vAlign w:val="center"/>
          </w:tcPr>
          <w:p w14:paraId="55DF3723">
            <w:pPr>
              <w:adjustRightInd w:val="0"/>
              <w:snapToGrid w:val="0"/>
              <w:spacing w:after="200" w:line="220" w:lineRule="atLeast"/>
              <w:jc w:val="center"/>
              <w:outlineLvl w:val="9"/>
              <w:rPr>
                <w:rFonts w:hint="eastAsia" w:ascii="宋体" w:hAnsi="宋体" w:cs="宋体"/>
                <w:szCs w:val="21"/>
                <w:highlight w:val="none"/>
              </w:rPr>
            </w:pPr>
            <w:r>
              <w:rPr>
                <w:rFonts w:hint="eastAsia" w:ascii="宋体" w:hAnsi="宋体" w:cs="宋体"/>
                <w:szCs w:val="21"/>
                <w:highlight w:val="none"/>
              </w:rPr>
              <w:t>分项</w:t>
            </w:r>
          </w:p>
        </w:tc>
        <w:tc>
          <w:tcPr>
            <w:tcW w:w="2604" w:type="dxa"/>
            <w:tcBorders>
              <w:top w:val="single" w:color="auto" w:sz="4" w:space="0"/>
              <w:left w:val="single" w:color="auto" w:sz="4" w:space="0"/>
              <w:bottom w:val="single" w:color="auto" w:sz="4" w:space="0"/>
              <w:right w:val="single" w:color="auto" w:sz="4" w:space="0"/>
            </w:tcBorders>
            <w:vAlign w:val="center"/>
          </w:tcPr>
          <w:p w14:paraId="6F532B4E">
            <w:pPr>
              <w:adjustRightInd w:val="0"/>
              <w:snapToGrid w:val="0"/>
              <w:spacing w:after="200" w:line="220" w:lineRule="atLeast"/>
              <w:jc w:val="center"/>
              <w:outlineLvl w:val="9"/>
              <w:rPr>
                <w:rFonts w:hint="eastAsia" w:ascii="宋体" w:hAnsi="宋体" w:cs="宋体"/>
                <w:szCs w:val="21"/>
                <w:highlight w:val="none"/>
              </w:rPr>
            </w:pPr>
            <w:r>
              <w:rPr>
                <w:rFonts w:hint="eastAsia" w:ascii="宋体" w:hAnsi="宋体" w:cs="宋体"/>
                <w:szCs w:val="21"/>
                <w:highlight w:val="none"/>
              </w:rPr>
              <w:t>单价</w:t>
            </w:r>
          </w:p>
        </w:tc>
        <w:tc>
          <w:tcPr>
            <w:tcW w:w="2803" w:type="dxa"/>
            <w:tcBorders>
              <w:top w:val="single" w:color="auto" w:sz="4" w:space="0"/>
              <w:left w:val="single" w:color="auto" w:sz="4" w:space="0"/>
              <w:bottom w:val="single" w:color="auto" w:sz="4" w:space="0"/>
              <w:right w:val="single" w:color="auto" w:sz="4" w:space="0"/>
            </w:tcBorders>
            <w:vAlign w:val="center"/>
          </w:tcPr>
          <w:p w14:paraId="64B13742">
            <w:pPr>
              <w:adjustRightInd w:val="0"/>
              <w:snapToGrid w:val="0"/>
              <w:spacing w:after="200" w:line="220" w:lineRule="atLeast"/>
              <w:jc w:val="center"/>
              <w:outlineLvl w:val="9"/>
              <w:rPr>
                <w:rFonts w:hint="eastAsia" w:ascii="宋体" w:hAnsi="宋体" w:cs="宋体"/>
                <w:szCs w:val="21"/>
                <w:highlight w:val="none"/>
              </w:rPr>
            </w:pPr>
            <w:r>
              <w:rPr>
                <w:rFonts w:hint="eastAsia" w:ascii="宋体" w:hAnsi="宋体" w:cs="宋体"/>
                <w:szCs w:val="21"/>
                <w:highlight w:val="none"/>
              </w:rPr>
              <w:t>总价</w:t>
            </w:r>
          </w:p>
        </w:tc>
      </w:tr>
      <w:tr w14:paraId="2778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3115" w:type="dxa"/>
            <w:tcBorders>
              <w:top w:val="single" w:color="auto" w:sz="4" w:space="0"/>
              <w:left w:val="single" w:color="auto" w:sz="4" w:space="0"/>
              <w:bottom w:val="single" w:color="auto" w:sz="4" w:space="0"/>
              <w:right w:val="single" w:color="auto" w:sz="4" w:space="0"/>
            </w:tcBorders>
            <w:vAlign w:val="center"/>
          </w:tcPr>
          <w:p w14:paraId="459FBD85">
            <w:pPr>
              <w:adjustRightInd w:val="0"/>
              <w:snapToGrid w:val="0"/>
              <w:spacing w:after="200" w:line="220" w:lineRule="atLeast"/>
              <w:jc w:val="center"/>
              <w:outlineLvl w:val="9"/>
              <w:rPr>
                <w:rFonts w:hint="eastAsia" w:ascii="宋体" w:hAnsi="宋体" w:cs="宋体"/>
                <w:szCs w:val="21"/>
                <w:highlight w:val="none"/>
              </w:rPr>
            </w:pPr>
          </w:p>
        </w:tc>
        <w:tc>
          <w:tcPr>
            <w:tcW w:w="2604" w:type="dxa"/>
            <w:tcBorders>
              <w:top w:val="single" w:color="auto" w:sz="4" w:space="0"/>
              <w:left w:val="single" w:color="auto" w:sz="4" w:space="0"/>
              <w:bottom w:val="single" w:color="auto" w:sz="4" w:space="0"/>
              <w:right w:val="single" w:color="auto" w:sz="4" w:space="0"/>
            </w:tcBorders>
            <w:vAlign w:val="center"/>
          </w:tcPr>
          <w:p w14:paraId="1C3681A4">
            <w:pPr>
              <w:adjustRightInd w:val="0"/>
              <w:snapToGrid w:val="0"/>
              <w:spacing w:after="200" w:line="220" w:lineRule="atLeast"/>
              <w:jc w:val="center"/>
              <w:outlineLvl w:val="9"/>
              <w:rPr>
                <w:rFonts w:hint="eastAsia" w:ascii="宋体" w:hAnsi="宋体" w:cs="宋体"/>
                <w:szCs w:val="21"/>
                <w:highlight w:val="none"/>
              </w:rPr>
            </w:pPr>
          </w:p>
        </w:tc>
        <w:tc>
          <w:tcPr>
            <w:tcW w:w="2803" w:type="dxa"/>
            <w:tcBorders>
              <w:top w:val="single" w:color="auto" w:sz="4" w:space="0"/>
              <w:left w:val="single" w:color="auto" w:sz="4" w:space="0"/>
              <w:bottom w:val="single" w:color="auto" w:sz="4" w:space="0"/>
              <w:right w:val="single" w:color="auto" w:sz="4" w:space="0"/>
            </w:tcBorders>
            <w:vAlign w:val="center"/>
          </w:tcPr>
          <w:p w14:paraId="721840C0">
            <w:pPr>
              <w:adjustRightInd w:val="0"/>
              <w:snapToGrid w:val="0"/>
              <w:spacing w:after="200" w:line="220" w:lineRule="atLeast"/>
              <w:jc w:val="center"/>
              <w:outlineLvl w:val="9"/>
              <w:rPr>
                <w:rFonts w:hint="eastAsia" w:ascii="宋体" w:hAnsi="宋体" w:cs="宋体"/>
                <w:szCs w:val="21"/>
                <w:highlight w:val="none"/>
              </w:rPr>
            </w:pPr>
          </w:p>
        </w:tc>
      </w:tr>
      <w:tr w14:paraId="1BFE0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3115" w:type="dxa"/>
            <w:tcBorders>
              <w:top w:val="single" w:color="auto" w:sz="4" w:space="0"/>
              <w:left w:val="single" w:color="auto" w:sz="4" w:space="0"/>
              <w:bottom w:val="single" w:color="auto" w:sz="4" w:space="0"/>
              <w:right w:val="single" w:color="auto" w:sz="4" w:space="0"/>
            </w:tcBorders>
            <w:vAlign w:val="center"/>
          </w:tcPr>
          <w:p w14:paraId="65319E10">
            <w:pPr>
              <w:adjustRightInd w:val="0"/>
              <w:snapToGrid w:val="0"/>
              <w:spacing w:after="200" w:line="220" w:lineRule="atLeast"/>
              <w:jc w:val="center"/>
              <w:outlineLvl w:val="9"/>
              <w:rPr>
                <w:rFonts w:hint="eastAsia" w:ascii="宋体" w:hAnsi="宋体" w:cs="宋体"/>
                <w:szCs w:val="21"/>
                <w:highlight w:val="none"/>
              </w:rPr>
            </w:pPr>
          </w:p>
        </w:tc>
        <w:tc>
          <w:tcPr>
            <w:tcW w:w="2604" w:type="dxa"/>
            <w:tcBorders>
              <w:top w:val="single" w:color="auto" w:sz="4" w:space="0"/>
              <w:left w:val="single" w:color="auto" w:sz="4" w:space="0"/>
              <w:bottom w:val="single" w:color="auto" w:sz="4" w:space="0"/>
              <w:right w:val="single" w:color="auto" w:sz="4" w:space="0"/>
            </w:tcBorders>
            <w:vAlign w:val="center"/>
          </w:tcPr>
          <w:p w14:paraId="3B89BD68">
            <w:pPr>
              <w:adjustRightInd w:val="0"/>
              <w:snapToGrid w:val="0"/>
              <w:spacing w:after="200" w:line="220" w:lineRule="atLeast"/>
              <w:jc w:val="center"/>
              <w:outlineLvl w:val="9"/>
              <w:rPr>
                <w:rFonts w:hint="eastAsia" w:ascii="宋体" w:hAnsi="宋体" w:cs="宋体"/>
                <w:szCs w:val="21"/>
                <w:highlight w:val="none"/>
              </w:rPr>
            </w:pPr>
          </w:p>
        </w:tc>
        <w:tc>
          <w:tcPr>
            <w:tcW w:w="2803" w:type="dxa"/>
            <w:tcBorders>
              <w:top w:val="single" w:color="auto" w:sz="4" w:space="0"/>
              <w:left w:val="single" w:color="auto" w:sz="4" w:space="0"/>
              <w:bottom w:val="single" w:color="auto" w:sz="4" w:space="0"/>
              <w:right w:val="single" w:color="auto" w:sz="4" w:space="0"/>
            </w:tcBorders>
            <w:vAlign w:val="center"/>
          </w:tcPr>
          <w:p w14:paraId="2E340058">
            <w:pPr>
              <w:adjustRightInd w:val="0"/>
              <w:snapToGrid w:val="0"/>
              <w:spacing w:after="200" w:line="220" w:lineRule="atLeast"/>
              <w:jc w:val="center"/>
              <w:outlineLvl w:val="9"/>
              <w:rPr>
                <w:rFonts w:hint="eastAsia" w:ascii="宋体" w:hAnsi="宋体" w:cs="宋体"/>
                <w:szCs w:val="21"/>
                <w:highlight w:val="none"/>
              </w:rPr>
            </w:pPr>
          </w:p>
        </w:tc>
      </w:tr>
      <w:tr w14:paraId="5F50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3115" w:type="dxa"/>
            <w:tcBorders>
              <w:top w:val="single" w:color="auto" w:sz="4" w:space="0"/>
              <w:left w:val="single" w:color="auto" w:sz="4" w:space="0"/>
              <w:bottom w:val="single" w:color="auto" w:sz="4" w:space="0"/>
              <w:right w:val="single" w:color="auto" w:sz="4" w:space="0"/>
            </w:tcBorders>
            <w:vAlign w:val="center"/>
          </w:tcPr>
          <w:p w14:paraId="7B6C4023">
            <w:pPr>
              <w:adjustRightInd w:val="0"/>
              <w:snapToGrid w:val="0"/>
              <w:spacing w:after="200" w:line="220" w:lineRule="atLeast"/>
              <w:jc w:val="center"/>
              <w:outlineLvl w:val="9"/>
              <w:rPr>
                <w:rFonts w:hint="eastAsia" w:ascii="宋体" w:hAnsi="宋体" w:cs="宋体"/>
                <w:szCs w:val="21"/>
                <w:highlight w:val="none"/>
              </w:rPr>
            </w:pPr>
          </w:p>
        </w:tc>
        <w:tc>
          <w:tcPr>
            <w:tcW w:w="2604" w:type="dxa"/>
            <w:tcBorders>
              <w:top w:val="single" w:color="auto" w:sz="4" w:space="0"/>
              <w:left w:val="single" w:color="auto" w:sz="4" w:space="0"/>
              <w:bottom w:val="single" w:color="auto" w:sz="4" w:space="0"/>
              <w:right w:val="single" w:color="auto" w:sz="4" w:space="0"/>
            </w:tcBorders>
            <w:vAlign w:val="center"/>
          </w:tcPr>
          <w:p w14:paraId="02E56D03">
            <w:pPr>
              <w:adjustRightInd w:val="0"/>
              <w:snapToGrid w:val="0"/>
              <w:spacing w:after="200" w:line="220" w:lineRule="atLeast"/>
              <w:jc w:val="center"/>
              <w:outlineLvl w:val="9"/>
              <w:rPr>
                <w:rFonts w:hint="eastAsia" w:ascii="宋体" w:hAnsi="宋体" w:cs="宋体"/>
                <w:szCs w:val="21"/>
                <w:highlight w:val="none"/>
              </w:rPr>
            </w:pPr>
          </w:p>
        </w:tc>
        <w:tc>
          <w:tcPr>
            <w:tcW w:w="2803" w:type="dxa"/>
            <w:tcBorders>
              <w:top w:val="single" w:color="auto" w:sz="4" w:space="0"/>
              <w:left w:val="single" w:color="auto" w:sz="4" w:space="0"/>
              <w:bottom w:val="single" w:color="auto" w:sz="4" w:space="0"/>
              <w:right w:val="single" w:color="auto" w:sz="4" w:space="0"/>
            </w:tcBorders>
            <w:vAlign w:val="center"/>
          </w:tcPr>
          <w:p w14:paraId="3693CDF4">
            <w:pPr>
              <w:adjustRightInd w:val="0"/>
              <w:snapToGrid w:val="0"/>
              <w:spacing w:after="200" w:line="220" w:lineRule="atLeast"/>
              <w:jc w:val="center"/>
              <w:outlineLvl w:val="9"/>
              <w:rPr>
                <w:rFonts w:hint="eastAsia" w:ascii="宋体" w:hAnsi="宋体" w:cs="宋体"/>
                <w:szCs w:val="21"/>
                <w:highlight w:val="none"/>
              </w:rPr>
            </w:pPr>
          </w:p>
        </w:tc>
      </w:tr>
      <w:tr w14:paraId="2B97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3115" w:type="dxa"/>
            <w:tcBorders>
              <w:top w:val="single" w:color="auto" w:sz="4" w:space="0"/>
              <w:left w:val="single" w:color="auto" w:sz="4" w:space="0"/>
              <w:bottom w:val="single" w:color="auto" w:sz="4" w:space="0"/>
              <w:right w:val="single" w:color="auto" w:sz="4" w:space="0"/>
            </w:tcBorders>
            <w:vAlign w:val="center"/>
          </w:tcPr>
          <w:p w14:paraId="3B4284BB">
            <w:pPr>
              <w:adjustRightInd w:val="0"/>
              <w:snapToGrid w:val="0"/>
              <w:spacing w:after="200" w:line="220" w:lineRule="atLeast"/>
              <w:jc w:val="center"/>
              <w:outlineLvl w:val="9"/>
              <w:rPr>
                <w:rFonts w:hint="eastAsia" w:ascii="宋体" w:hAnsi="宋体" w:cs="宋体"/>
                <w:szCs w:val="21"/>
                <w:highlight w:val="none"/>
              </w:rPr>
            </w:pPr>
          </w:p>
        </w:tc>
        <w:tc>
          <w:tcPr>
            <w:tcW w:w="2604" w:type="dxa"/>
            <w:tcBorders>
              <w:top w:val="single" w:color="auto" w:sz="4" w:space="0"/>
              <w:left w:val="single" w:color="auto" w:sz="4" w:space="0"/>
              <w:bottom w:val="single" w:color="auto" w:sz="4" w:space="0"/>
              <w:right w:val="single" w:color="auto" w:sz="4" w:space="0"/>
            </w:tcBorders>
            <w:vAlign w:val="center"/>
          </w:tcPr>
          <w:p w14:paraId="01EAE0AA">
            <w:pPr>
              <w:adjustRightInd w:val="0"/>
              <w:snapToGrid w:val="0"/>
              <w:spacing w:after="200" w:line="220" w:lineRule="atLeast"/>
              <w:jc w:val="center"/>
              <w:outlineLvl w:val="9"/>
              <w:rPr>
                <w:rFonts w:hint="eastAsia" w:ascii="宋体" w:hAnsi="宋体" w:cs="宋体"/>
                <w:szCs w:val="21"/>
                <w:highlight w:val="none"/>
              </w:rPr>
            </w:pPr>
          </w:p>
        </w:tc>
        <w:tc>
          <w:tcPr>
            <w:tcW w:w="2803" w:type="dxa"/>
            <w:tcBorders>
              <w:top w:val="single" w:color="auto" w:sz="4" w:space="0"/>
              <w:left w:val="single" w:color="auto" w:sz="4" w:space="0"/>
              <w:bottom w:val="single" w:color="auto" w:sz="4" w:space="0"/>
              <w:right w:val="single" w:color="auto" w:sz="4" w:space="0"/>
            </w:tcBorders>
            <w:vAlign w:val="center"/>
          </w:tcPr>
          <w:p w14:paraId="2AB98E5C">
            <w:pPr>
              <w:adjustRightInd w:val="0"/>
              <w:snapToGrid w:val="0"/>
              <w:spacing w:after="200" w:line="220" w:lineRule="atLeast"/>
              <w:jc w:val="center"/>
              <w:outlineLvl w:val="9"/>
              <w:rPr>
                <w:rFonts w:hint="eastAsia" w:ascii="宋体" w:hAnsi="宋体" w:cs="宋体"/>
                <w:szCs w:val="21"/>
                <w:highlight w:val="none"/>
              </w:rPr>
            </w:pPr>
          </w:p>
        </w:tc>
      </w:tr>
      <w:tr w14:paraId="3101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3115" w:type="dxa"/>
            <w:tcBorders>
              <w:top w:val="single" w:color="auto" w:sz="4" w:space="0"/>
              <w:left w:val="single" w:color="auto" w:sz="4" w:space="0"/>
              <w:bottom w:val="single" w:color="auto" w:sz="4" w:space="0"/>
              <w:right w:val="single" w:color="auto" w:sz="4" w:space="0"/>
            </w:tcBorders>
            <w:vAlign w:val="center"/>
          </w:tcPr>
          <w:p w14:paraId="60AE0858">
            <w:pPr>
              <w:adjustRightInd w:val="0"/>
              <w:snapToGrid w:val="0"/>
              <w:spacing w:after="200" w:line="220" w:lineRule="atLeast"/>
              <w:jc w:val="center"/>
              <w:outlineLvl w:val="9"/>
              <w:rPr>
                <w:rFonts w:hint="eastAsia" w:ascii="宋体" w:hAnsi="宋体" w:cs="宋体"/>
                <w:szCs w:val="21"/>
                <w:highlight w:val="none"/>
              </w:rPr>
            </w:pPr>
            <w:r>
              <w:rPr>
                <w:rFonts w:hint="eastAsia" w:ascii="宋体" w:hAnsi="宋体" w:cs="宋体"/>
                <w:szCs w:val="21"/>
                <w:highlight w:val="none"/>
              </w:rPr>
              <w:t>合计</w:t>
            </w:r>
          </w:p>
        </w:tc>
        <w:tc>
          <w:tcPr>
            <w:tcW w:w="5407" w:type="dxa"/>
            <w:gridSpan w:val="2"/>
            <w:tcBorders>
              <w:top w:val="single" w:color="auto" w:sz="4" w:space="0"/>
              <w:left w:val="single" w:color="auto" w:sz="4" w:space="0"/>
              <w:bottom w:val="single" w:color="auto" w:sz="4" w:space="0"/>
              <w:right w:val="single" w:color="auto" w:sz="4" w:space="0"/>
            </w:tcBorders>
            <w:vAlign w:val="center"/>
          </w:tcPr>
          <w:p w14:paraId="0F83091D">
            <w:pPr>
              <w:adjustRightInd w:val="0"/>
              <w:snapToGrid w:val="0"/>
              <w:spacing w:after="200" w:line="220" w:lineRule="atLeast"/>
              <w:jc w:val="center"/>
              <w:outlineLvl w:val="9"/>
              <w:rPr>
                <w:rFonts w:hint="eastAsia" w:ascii="宋体" w:hAnsi="宋体" w:cs="宋体"/>
                <w:szCs w:val="21"/>
                <w:highlight w:val="none"/>
              </w:rPr>
            </w:pPr>
          </w:p>
        </w:tc>
      </w:tr>
    </w:tbl>
    <w:p w14:paraId="2A10DF14">
      <w:pPr>
        <w:pStyle w:val="16"/>
        <w:rPr>
          <w:rFonts w:ascii="宋体" w:hAnsi="宋体"/>
          <w:color w:val="auto"/>
          <w:szCs w:val="21"/>
          <w:highlight w:val="none"/>
        </w:rPr>
      </w:pPr>
    </w:p>
    <w:p w14:paraId="467A4770">
      <w:pPr>
        <w:spacing w:line="360" w:lineRule="auto"/>
        <w:rPr>
          <w:rFonts w:ascii="宋体" w:hAnsi="宋体"/>
          <w:color w:val="auto"/>
          <w:szCs w:val="21"/>
          <w:highlight w:val="none"/>
        </w:rPr>
      </w:pPr>
      <w:r>
        <w:rPr>
          <w:rFonts w:hint="eastAsia" w:ascii="宋体" w:hAnsi="宋体"/>
          <w:color w:val="auto"/>
          <w:szCs w:val="21"/>
          <w:highlight w:val="none"/>
        </w:rPr>
        <w:t>法定代表人或授权代表签字：</w:t>
      </w:r>
    </w:p>
    <w:p w14:paraId="5C135D1E">
      <w:pPr>
        <w:pStyle w:val="16"/>
        <w:ind w:left="0" w:lef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投标人</w:t>
      </w:r>
      <w:r>
        <w:rPr>
          <w:rFonts w:hint="eastAsia" w:ascii="宋体" w:hAnsi="宋体" w:eastAsia="宋体" w:cs="Times New Roman"/>
          <w:color w:val="auto"/>
          <w:kern w:val="2"/>
          <w:sz w:val="21"/>
          <w:szCs w:val="21"/>
          <w:highlight w:val="none"/>
          <w:lang w:val="en-US" w:eastAsia="zh-CN" w:bidi="ar-SA"/>
        </w:rPr>
        <w:t>全称（盖章）：</w:t>
      </w:r>
    </w:p>
    <w:p w14:paraId="6DE82209">
      <w:pPr>
        <w:pStyle w:val="16"/>
        <w:ind w:firstLine="5670" w:firstLineChars="2700"/>
        <w:rPr>
          <w:color w:val="auto"/>
          <w:highlight w:val="none"/>
        </w:rPr>
      </w:pPr>
      <w:r>
        <w:rPr>
          <w:rFonts w:hint="eastAsia" w:ascii="宋体" w:hAnsi="宋体" w:eastAsia="宋体" w:cs="Times New Roman"/>
          <w:color w:val="auto"/>
          <w:kern w:val="2"/>
          <w:sz w:val="21"/>
          <w:szCs w:val="21"/>
          <w:highlight w:val="none"/>
          <w:lang w:val="en-US" w:eastAsia="zh-CN" w:bidi="ar-SA"/>
        </w:rPr>
        <w:t>日期：    年   月    日</w:t>
      </w:r>
    </w:p>
    <w:p w14:paraId="7D6EA0D0">
      <w:pPr>
        <w:spacing w:line="360" w:lineRule="auto"/>
        <w:ind w:left="630" w:hanging="630"/>
        <w:rPr>
          <w:rFonts w:ascii="宋体" w:hAnsi="宋体"/>
          <w:color w:val="auto"/>
          <w:szCs w:val="21"/>
          <w:highlight w:val="none"/>
        </w:rPr>
      </w:pPr>
      <w:r>
        <w:rPr>
          <w:rFonts w:hint="eastAsia" w:ascii="宋体" w:hAnsi="宋体"/>
          <w:color w:val="auto"/>
          <w:szCs w:val="21"/>
          <w:highlight w:val="none"/>
        </w:rPr>
        <w:t>注：1、如果按单价计算的结果与总价不一致，以单价为准修正总价。</w:t>
      </w:r>
    </w:p>
    <w:p w14:paraId="181C3AFC">
      <w:pPr>
        <w:spacing w:after="312" w:afterLines="100" w:line="400" w:lineRule="exact"/>
        <w:ind w:firstLine="420" w:firstLineChars="200"/>
        <w:rPr>
          <w:rFonts w:ascii="宋体" w:hAnsi="宋体"/>
          <w:color w:val="auto"/>
          <w:szCs w:val="21"/>
          <w:highlight w:val="none"/>
        </w:rPr>
        <w:sectPr>
          <w:footerReference r:id="rId6" w:type="default"/>
          <w:pgSz w:w="11906" w:h="16838"/>
          <w:pgMar w:top="1440" w:right="1800" w:bottom="1440" w:left="1800" w:header="851" w:footer="992" w:gutter="0"/>
          <w:cols w:space="720" w:num="1"/>
          <w:docGrid w:type="lines" w:linePitch="312" w:charSpace="0"/>
        </w:sectPr>
      </w:pPr>
      <w:r>
        <w:rPr>
          <w:rFonts w:hint="eastAsia" w:ascii="宋体" w:hAnsi="宋体"/>
          <w:color w:val="auto"/>
          <w:szCs w:val="21"/>
          <w:highlight w:val="none"/>
        </w:rPr>
        <w:t>2、投标人可根据自身情况增加或扩充表格内容。</w:t>
      </w:r>
    </w:p>
    <w:p w14:paraId="06375216">
      <w:pPr>
        <w:spacing w:line="360" w:lineRule="auto"/>
        <w:jc w:val="center"/>
        <w:rPr>
          <w:rFonts w:hint="eastAsia" w:ascii="宋体" w:hAnsi="宋体" w:cs="宋体"/>
          <w:b/>
          <w:szCs w:val="21"/>
          <w:highlight w:val="none"/>
        </w:rPr>
      </w:pPr>
      <w:r>
        <w:rPr>
          <w:rFonts w:hint="eastAsia" w:ascii="宋体" w:hAnsi="宋体" w:cs="宋体"/>
          <w:b/>
          <w:szCs w:val="21"/>
          <w:highlight w:val="none"/>
        </w:rPr>
        <w:t>六、技术参数响应及偏离表</w:t>
      </w:r>
    </w:p>
    <w:p w14:paraId="0889B882">
      <w:pPr>
        <w:spacing w:line="360" w:lineRule="auto"/>
        <w:rPr>
          <w:rFonts w:hint="eastAsia" w:ascii="宋体" w:hAnsi="宋体" w:cs="宋体"/>
          <w:bCs/>
          <w:szCs w:val="21"/>
          <w:highlight w:val="none"/>
        </w:rPr>
      </w:pPr>
      <w:r>
        <w:rPr>
          <w:rFonts w:hint="eastAsia" w:ascii="宋体" w:hAnsi="宋体" w:cs="宋体"/>
          <w:bCs/>
          <w:szCs w:val="21"/>
          <w:highlight w:val="none"/>
          <w:lang w:val="en-US" w:eastAsia="zh-CN"/>
        </w:rPr>
        <w:t>投标人</w:t>
      </w:r>
      <w:r>
        <w:rPr>
          <w:rFonts w:hint="eastAsia" w:ascii="宋体" w:hAnsi="宋体" w:cs="宋体"/>
          <w:bCs/>
          <w:szCs w:val="21"/>
          <w:highlight w:val="none"/>
        </w:rPr>
        <w:t>全称（加盖公章）：</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76D0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14:paraId="78A7FEB9">
            <w:pPr>
              <w:adjustRightInd w:val="0"/>
              <w:snapToGrid w:val="0"/>
              <w:spacing w:after="200" w:line="220" w:lineRule="atLeast"/>
              <w:jc w:val="center"/>
              <w:rPr>
                <w:rFonts w:hint="eastAsia" w:ascii="宋体" w:hAnsi="宋体" w:cs="宋体"/>
                <w:szCs w:val="21"/>
                <w:highlight w:val="none"/>
              </w:rPr>
            </w:pPr>
            <w:r>
              <w:rPr>
                <w:rFonts w:hint="eastAsia" w:ascii="宋体" w:hAnsi="宋体" w:cs="宋体"/>
                <w:szCs w:val="21"/>
                <w:highlight w:val="none"/>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3D43D643">
            <w:pPr>
              <w:adjustRightInd w:val="0"/>
              <w:snapToGrid w:val="0"/>
              <w:spacing w:after="200" w:line="220" w:lineRule="atLeast"/>
              <w:jc w:val="center"/>
              <w:rPr>
                <w:rFonts w:hint="eastAsia" w:ascii="宋体" w:hAnsi="宋体" w:cs="宋体"/>
                <w:szCs w:val="21"/>
                <w:highlight w:val="none"/>
              </w:rPr>
            </w:pPr>
            <w:r>
              <w:rPr>
                <w:rFonts w:hint="eastAsia" w:ascii="宋体" w:hAnsi="宋体" w:cs="宋体"/>
                <w:szCs w:val="21"/>
                <w:highlight w:val="none"/>
              </w:rPr>
              <w:t>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32D2A06">
            <w:pPr>
              <w:adjustRightInd w:val="0"/>
              <w:snapToGrid w:val="0"/>
              <w:spacing w:after="200" w:line="220" w:lineRule="atLeast"/>
              <w:jc w:val="center"/>
              <w:rPr>
                <w:rFonts w:hint="eastAsia" w:ascii="宋体" w:hAnsi="宋体" w:cs="宋体"/>
                <w:szCs w:val="21"/>
                <w:highlight w:val="none"/>
              </w:rPr>
            </w:pPr>
            <w:r>
              <w:rPr>
                <w:rFonts w:hint="eastAsia" w:ascii="宋体" w:hAnsi="宋体" w:cs="宋体"/>
                <w:szCs w:val="21"/>
                <w:highlight w:val="none"/>
              </w:rPr>
              <w:t>磋商要求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F02E181">
            <w:pPr>
              <w:adjustRightInd w:val="0"/>
              <w:snapToGrid w:val="0"/>
              <w:spacing w:after="200" w:line="220" w:lineRule="atLeast"/>
              <w:jc w:val="center"/>
              <w:rPr>
                <w:rFonts w:hint="eastAsia" w:ascii="宋体" w:hAnsi="宋体" w:cs="宋体"/>
                <w:szCs w:val="21"/>
                <w:highlight w:val="none"/>
              </w:rPr>
            </w:pPr>
            <w:r>
              <w:rPr>
                <w:rFonts w:hint="eastAsia" w:ascii="宋体" w:hAnsi="宋体" w:cs="宋体"/>
                <w:szCs w:val="21"/>
                <w:highlight w:val="none"/>
              </w:rPr>
              <w:t>磋商响应</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6CD13951">
            <w:pPr>
              <w:adjustRightInd w:val="0"/>
              <w:snapToGrid w:val="0"/>
              <w:spacing w:after="200" w:line="220" w:lineRule="atLeast"/>
              <w:jc w:val="center"/>
              <w:rPr>
                <w:rFonts w:hint="eastAsia" w:ascii="宋体" w:hAnsi="宋体" w:cs="宋体"/>
                <w:szCs w:val="21"/>
                <w:highlight w:val="none"/>
              </w:rPr>
            </w:pPr>
            <w:r>
              <w:rPr>
                <w:rFonts w:hint="eastAsia" w:ascii="宋体" w:hAnsi="宋体" w:cs="宋体"/>
                <w:szCs w:val="21"/>
                <w:highlight w:val="none"/>
              </w:rPr>
              <w:t>超出、符合或偏离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14:paraId="55BE6A10">
            <w:pPr>
              <w:adjustRightInd w:val="0"/>
              <w:snapToGrid w:val="0"/>
              <w:spacing w:after="200" w:line="220" w:lineRule="atLeast"/>
              <w:jc w:val="center"/>
              <w:rPr>
                <w:rFonts w:hint="eastAsia" w:ascii="宋体" w:hAnsi="宋体" w:cs="宋体"/>
                <w:szCs w:val="21"/>
                <w:highlight w:val="none"/>
              </w:rPr>
            </w:pPr>
            <w:r>
              <w:rPr>
                <w:rFonts w:hint="eastAsia" w:ascii="宋体" w:hAnsi="宋体" w:cs="宋体"/>
                <w:szCs w:val="21"/>
                <w:highlight w:val="none"/>
              </w:rPr>
              <w:t>原因或说明</w:t>
            </w:r>
          </w:p>
        </w:tc>
      </w:tr>
      <w:tr w14:paraId="4C2F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621C47F9">
            <w:pPr>
              <w:adjustRightInd w:val="0"/>
              <w:snapToGrid w:val="0"/>
              <w:spacing w:after="200" w:line="220" w:lineRule="atLeast"/>
              <w:jc w:val="center"/>
              <w:rPr>
                <w:rFonts w:hint="eastAsia" w:ascii="宋体" w:hAnsi="宋体" w:cs="宋体"/>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697DDF5E">
            <w:pPr>
              <w:adjustRightInd w:val="0"/>
              <w:snapToGrid w:val="0"/>
              <w:spacing w:after="200" w:line="220" w:lineRule="atLeast"/>
              <w:jc w:val="center"/>
              <w:rPr>
                <w:rFonts w:hint="eastAsia"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467FAAD">
            <w:pPr>
              <w:adjustRightInd w:val="0"/>
              <w:snapToGrid w:val="0"/>
              <w:spacing w:after="200" w:line="220" w:lineRule="atLeast"/>
              <w:jc w:val="center"/>
              <w:rPr>
                <w:rFonts w:hint="eastAsia" w:ascii="宋体" w:hAnsi="宋体" w:cs="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B6FFA18">
            <w:pPr>
              <w:adjustRightInd w:val="0"/>
              <w:snapToGrid w:val="0"/>
              <w:spacing w:after="200" w:line="220" w:lineRule="atLeast"/>
              <w:jc w:val="center"/>
              <w:rPr>
                <w:rFonts w:hint="eastAsia" w:ascii="宋体" w:hAnsi="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266F068">
            <w:pPr>
              <w:adjustRightInd w:val="0"/>
              <w:snapToGrid w:val="0"/>
              <w:spacing w:after="200" w:line="220" w:lineRule="atLeast"/>
              <w:jc w:val="center"/>
              <w:rPr>
                <w:rFonts w:hint="eastAsia" w:ascii="宋体" w:hAnsi="宋体" w:cs="宋体"/>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1289373A">
            <w:pPr>
              <w:adjustRightInd w:val="0"/>
              <w:snapToGrid w:val="0"/>
              <w:spacing w:after="200" w:line="220" w:lineRule="atLeast"/>
              <w:jc w:val="center"/>
              <w:rPr>
                <w:rFonts w:hint="eastAsia" w:ascii="宋体" w:hAnsi="宋体" w:cs="宋体"/>
                <w:sz w:val="24"/>
                <w:szCs w:val="24"/>
                <w:highlight w:val="none"/>
              </w:rPr>
            </w:pPr>
          </w:p>
        </w:tc>
      </w:tr>
      <w:tr w14:paraId="294F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6FC3CAE8">
            <w:pPr>
              <w:adjustRightInd w:val="0"/>
              <w:snapToGrid w:val="0"/>
              <w:spacing w:after="200" w:line="220" w:lineRule="atLeast"/>
              <w:jc w:val="center"/>
              <w:rPr>
                <w:rFonts w:hint="eastAsia" w:ascii="宋体" w:hAnsi="宋体" w:cs="宋体"/>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775DA90B">
            <w:pPr>
              <w:adjustRightInd w:val="0"/>
              <w:snapToGrid w:val="0"/>
              <w:spacing w:after="200" w:line="220" w:lineRule="atLeast"/>
              <w:jc w:val="center"/>
              <w:rPr>
                <w:rFonts w:hint="eastAsia"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243A131B">
            <w:pPr>
              <w:adjustRightInd w:val="0"/>
              <w:snapToGrid w:val="0"/>
              <w:spacing w:after="200" w:line="220" w:lineRule="atLeast"/>
              <w:jc w:val="center"/>
              <w:rPr>
                <w:rFonts w:hint="eastAsia" w:ascii="宋体" w:hAnsi="宋体" w:cs="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0660923">
            <w:pPr>
              <w:adjustRightInd w:val="0"/>
              <w:snapToGrid w:val="0"/>
              <w:spacing w:after="200" w:line="220" w:lineRule="atLeast"/>
              <w:jc w:val="center"/>
              <w:rPr>
                <w:rFonts w:hint="eastAsia" w:ascii="宋体" w:hAnsi="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F91E74C">
            <w:pPr>
              <w:adjustRightInd w:val="0"/>
              <w:snapToGrid w:val="0"/>
              <w:spacing w:after="200" w:line="220" w:lineRule="atLeast"/>
              <w:jc w:val="center"/>
              <w:rPr>
                <w:rFonts w:hint="eastAsia" w:ascii="宋体" w:hAnsi="宋体" w:cs="宋体"/>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041C3831">
            <w:pPr>
              <w:adjustRightInd w:val="0"/>
              <w:snapToGrid w:val="0"/>
              <w:spacing w:after="200" w:line="220" w:lineRule="atLeast"/>
              <w:jc w:val="center"/>
              <w:rPr>
                <w:rFonts w:hint="eastAsia" w:ascii="宋体" w:hAnsi="宋体" w:cs="宋体"/>
                <w:sz w:val="24"/>
                <w:szCs w:val="24"/>
                <w:highlight w:val="none"/>
              </w:rPr>
            </w:pPr>
          </w:p>
        </w:tc>
      </w:tr>
      <w:tr w14:paraId="3986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555F8BC8">
            <w:pPr>
              <w:adjustRightInd w:val="0"/>
              <w:snapToGrid w:val="0"/>
              <w:spacing w:after="200" w:line="220" w:lineRule="atLeast"/>
              <w:jc w:val="center"/>
              <w:rPr>
                <w:rFonts w:hint="eastAsia" w:ascii="宋体" w:hAnsi="宋体" w:cs="宋体"/>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6E1C5165">
            <w:pPr>
              <w:adjustRightInd w:val="0"/>
              <w:snapToGrid w:val="0"/>
              <w:spacing w:after="200" w:line="220" w:lineRule="atLeast"/>
              <w:jc w:val="center"/>
              <w:rPr>
                <w:rFonts w:hint="eastAsia"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409633CF">
            <w:pPr>
              <w:adjustRightInd w:val="0"/>
              <w:snapToGrid w:val="0"/>
              <w:spacing w:after="200" w:line="220" w:lineRule="atLeast"/>
              <w:jc w:val="center"/>
              <w:rPr>
                <w:rFonts w:hint="eastAsia" w:ascii="宋体" w:hAnsi="宋体" w:cs="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BAE2440">
            <w:pPr>
              <w:adjustRightInd w:val="0"/>
              <w:snapToGrid w:val="0"/>
              <w:spacing w:after="200" w:line="220" w:lineRule="atLeast"/>
              <w:jc w:val="center"/>
              <w:rPr>
                <w:rFonts w:hint="eastAsia" w:ascii="宋体" w:hAnsi="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7C11D91">
            <w:pPr>
              <w:adjustRightInd w:val="0"/>
              <w:snapToGrid w:val="0"/>
              <w:spacing w:after="200" w:line="220" w:lineRule="atLeast"/>
              <w:jc w:val="center"/>
              <w:rPr>
                <w:rFonts w:hint="eastAsia" w:ascii="宋体" w:hAnsi="宋体" w:cs="宋体"/>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73CA1A55">
            <w:pPr>
              <w:adjustRightInd w:val="0"/>
              <w:snapToGrid w:val="0"/>
              <w:spacing w:after="200" w:line="220" w:lineRule="atLeast"/>
              <w:jc w:val="center"/>
              <w:rPr>
                <w:rFonts w:hint="eastAsia" w:ascii="宋体" w:hAnsi="宋体" w:cs="宋体"/>
                <w:sz w:val="24"/>
                <w:szCs w:val="24"/>
                <w:highlight w:val="none"/>
              </w:rPr>
            </w:pPr>
          </w:p>
        </w:tc>
      </w:tr>
      <w:tr w14:paraId="325B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61E81945">
            <w:pPr>
              <w:adjustRightInd w:val="0"/>
              <w:snapToGrid w:val="0"/>
              <w:spacing w:after="200" w:line="220" w:lineRule="atLeast"/>
              <w:jc w:val="center"/>
              <w:rPr>
                <w:rFonts w:hint="eastAsia" w:ascii="宋体" w:hAnsi="宋体" w:cs="宋体"/>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0C542B54">
            <w:pPr>
              <w:adjustRightInd w:val="0"/>
              <w:snapToGrid w:val="0"/>
              <w:spacing w:after="200" w:line="220" w:lineRule="atLeast"/>
              <w:jc w:val="center"/>
              <w:rPr>
                <w:rFonts w:hint="eastAsia"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14CD82DE">
            <w:pPr>
              <w:adjustRightInd w:val="0"/>
              <w:snapToGrid w:val="0"/>
              <w:spacing w:after="200" w:line="220" w:lineRule="atLeast"/>
              <w:jc w:val="center"/>
              <w:rPr>
                <w:rFonts w:hint="eastAsia" w:ascii="宋体" w:hAnsi="宋体" w:cs="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D37C5C">
            <w:pPr>
              <w:adjustRightInd w:val="0"/>
              <w:snapToGrid w:val="0"/>
              <w:spacing w:after="200" w:line="220" w:lineRule="atLeast"/>
              <w:jc w:val="center"/>
              <w:rPr>
                <w:rFonts w:hint="eastAsia" w:ascii="宋体" w:hAnsi="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D29EF0B">
            <w:pPr>
              <w:adjustRightInd w:val="0"/>
              <w:snapToGrid w:val="0"/>
              <w:spacing w:after="200" w:line="220" w:lineRule="atLeast"/>
              <w:jc w:val="center"/>
              <w:rPr>
                <w:rFonts w:hint="eastAsia" w:ascii="宋体" w:hAnsi="宋体" w:cs="宋体"/>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6B5FE46C">
            <w:pPr>
              <w:adjustRightInd w:val="0"/>
              <w:snapToGrid w:val="0"/>
              <w:spacing w:after="200" w:line="220" w:lineRule="atLeast"/>
              <w:jc w:val="center"/>
              <w:rPr>
                <w:rFonts w:hint="eastAsia" w:ascii="宋体" w:hAnsi="宋体" w:cs="宋体"/>
                <w:sz w:val="24"/>
                <w:szCs w:val="24"/>
                <w:highlight w:val="none"/>
              </w:rPr>
            </w:pPr>
          </w:p>
        </w:tc>
      </w:tr>
      <w:tr w14:paraId="0EBF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02E18D86">
            <w:pPr>
              <w:adjustRightInd w:val="0"/>
              <w:snapToGrid w:val="0"/>
              <w:spacing w:after="200" w:line="220" w:lineRule="atLeast"/>
              <w:jc w:val="center"/>
              <w:rPr>
                <w:rFonts w:hint="eastAsia" w:ascii="宋体" w:hAnsi="宋体" w:cs="宋体"/>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7931FD55">
            <w:pPr>
              <w:adjustRightInd w:val="0"/>
              <w:snapToGrid w:val="0"/>
              <w:spacing w:after="200" w:line="220" w:lineRule="atLeast"/>
              <w:jc w:val="center"/>
              <w:rPr>
                <w:rFonts w:hint="eastAsia"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6EF76604">
            <w:pPr>
              <w:adjustRightInd w:val="0"/>
              <w:snapToGrid w:val="0"/>
              <w:spacing w:after="200" w:line="220" w:lineRule="atLeast"/>
              <w:jc w:val="center"/>
              <w:rPr>
                <w:rFonts w:hint="eastAsia" w:ascii="宋体" w:hAnsi="宋体" w:cs="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6533764">
            <w:pPr>
              <w:adjustRightInd w:val="0"/>
              <w:snapToGrid w:val="0"/>
              <w:spacing w:after="200" w:line="220" w:lineRule="atLeast"/>
              <w:jc w:val="center"/>
              <w:rPr>
                <w:rFonts w:hint="eastAsia" w:ascii="宋体" w:hAnsi="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F0996E7">
            <w:pPr>
              <w:adjustRightInd w:val="0"/>
              <w:snapToGrid w:val="0"/>
              <w:spacing w:after="200" w:line="220" w:lineRule="atLeast"/>
              <w:jc w:val="center"/>
              <w:rPr>
                <w:rFonts w:hint="eastAsia" w:ascii="宋体" w:hAnsi="宋体" w:cs="宋体"/>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6286A4B3">
            <w:pPr>
              <w:adjustRightInd w:val="0"/>
              <w:snapToGrid w:val="0"/>
              <w:spacing w:after="200" w:line="220" w:lineRule="atLeast"/>
              <w:jc w:val="center"/>
              <w:rPr>
                <w:rFonts w:hint="eastAsia" w:ascii="宋体" w:hAnsi="宋体" w:cs="宋体"/>
                <w:sz w:val="24"/>
                <w:szCs w:val="24"/>
                <w:highlight w:val="none"/>
              </w:rPr>
            </w:pPr>
          </w:p>
        </w:tc>
      </w:tr>
      <w:tr w14:paraId="2F161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1F8F21C7">
            <w:pPr>
              <w:adjustRightInd w:val="0"/>
              <w:snapToGrid w:val="0"/>
              <w:spacing w:after="200" w:line="220" w:lineRule="atLeast"/>
              <w:jc w:val="center"/>
              <w:rPr>
                <w:rFonts w:hint="eastAsia" w:ascii="宋体" w:hAnsi="宋体" w:cs="宋体"/>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337695A3">
            <w:pPr>
              <w:adjustRightInd w:val="0"/>
              <w:snapToGrid w:val="0"/>
              <w:spacing w:after="200" w:line="220" w:lineRule="atLeast"/>
              <w:jc w:val="center"/>
              <w:rPr>
                <w:rFonts w:hint="eastAsia"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3552378B">
            <w:pPr>
              <w:adjustRightInd w:val="0"/>
              <w:snapToGrid w:val="0"/>
              <w:spacing w:after="200" w:line="220" w:lineRule="atLeast"/>
              <w:jc w:val="center"/>
              <w:rPr>
                <w:rFonts w:hint="eastAsia" w:ascii="宋体" w:hAnsi="宋体" w:cs="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842C714">
            <w:pPr>
              <w:adjustRightInd w:val="0"/>
              <w:snapToGrid w:val="0"/>
              <w:spacing w:after="200" w:line="220" w:lineRule="atLeast"/>
              <w:jc w:val="center"/>
              <w:rPr>
                <w:rFonts w:hint="eastAsia" w:ascii="宋体" w:hAnsi="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1547291">
            <w:pPr>
              <w:adjustRightInd w:val="0"/>
              <w:snapToGrid w:val="0"/>
              <w:spacing w:after="200" w:line="220" w:lineRule="atLeast"/>
              <w:jc w:val="center"/>
              <w:rPr>
                <w:rFonts w:hint="eastAsia" w:ascii="宋体" w:hAnsi="宋体" w:cs="宋体"/>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6A926DC1">
            <w:pPr>
              <w:adjustRightInd w:val="0"/>
              <w:snapToGrid w:val="0"/>
              <w:spacing w:after="200" w:line="220" w:lineRule="atLeast"/>
              <w:jc w:val="center"/>
              <w:rPr>
                <w:rFonts w:hint="eastAsia" w:ascii="宋体" w:hAnsi="宋体" w:cs="宋体"/>
                <w:sz w:val="24"/>
                <w:szCs w:val="24"/>
                <w:highlight w:val="none"/>
              </w:rPr>
            </w:pPr>
          </w:p>
        </w:tc>
      </w:tr>
      <w:tr w14:paraId="615B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3757AF53">
            <w:pPr>
              <w:adjustRightInd w:val="0"/>
              <w:snapToGrid w:val="0"/>
              <w:spacing w:after="200" w:line="220" w:lineRule="atLeast"/>
              <w:jc w:val="center"/>
              <w:rPr>
                <w:rFonts w:hint="eastAsia" w:ascii="宋体" w:hAnsi="宋体" w:cs="宋体"/>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297ECB26">
            <w:pPr>
              <w:adjustRightInd w:val="0"/>
              <w:snapToGrid w:val="0"/>
              <w:spacing w:after="200" w:line="220" w:lineRule="atLeast"/>
              <w:jc w:val="center"/>
              <w:rPr>
                <w:rFonts w:hint="eastAsia"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72E6753B">
            <w:pPr>
              <w:adjustRightInd w:val="0"/>
              <w:snapToGrid w:val="0"/>
              <w:spacing w:after="200" w:line="220" w:lineRule="atLeast"/>
              <w:jc w:val="center"/>
              <w:rPr>
                <w:rFonts w:hint="eastAsia" w:ascii="宋体" w:hAnsi="宋体" w:cs="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8AB738C">
            <w:pPr>
              <w:adjustRightInd w:val="0"/>
              <w:snapToGrid w:val="0"/>
              <w:spacing w:after="200" w:line="220" w:lineRule="atLeast"/>
              <w:jc w:val="center"/>
              <w:rPr>
                <w:rFonts w:hint="eastAsia" w:ascii="宋体" w:hAnsi="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2AC5A4D6">
            <w:pPr>
              <w:adjustRightInd w:val="0"/>
              <w:snapToGrid w:val="0"/>
              <w:spacing w:after="200" w:line="220" w:lineRule="atLeast"/>
              <w:jc w:val="center"/>
              <w:rPr>
                <w:rFonts w:hint="eastAsia" w:ascii="宋体" w:hAnsi="宋体" w:cs="宋体"/>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69C1E856">
            <w:pPr>
              <w:adjustRightInd w:val="0"/>
              <w:snapToGrid w:val="0"/>
              <w:spacing w:after="200" w:line="220" w:lineRule="atLeast"/>
              <w:jc w:val="center"/>
              <w:rPr>
                <w:rFonts w:hint="eastAsia" w:ascii="宋体" w:hAnsi="宋体" w:cs="宋体"/>
                <w:sz w:val="24"/>
                <w:szCs w:val="24"/>
                <w:highlight w:val="none"/>
              </w:rPr>
            </w:pPr>
          </w:p>
        </w:tc>
      </w:tr>
      <w:tr w14:paraId="1327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14:paraId="5F7EAC12">
            <w:pPr>
              <w:adjustRightInd w:val="0"/>
              <w:snapToGrid w:val="0"/>
              <w:spacing w:after="200" w:line="220" w:lineRule="atLeast"/>
              <w:jc w:val="center"/>
              <w:rPr>
                <w:rFonts w:hint="eastAsia" w:ascii="宋体" w:hAnsi="宋体" w:cs="宋体"/>
                <w:sz w:val="24"/>
                <w:szCs w:val="24"/>
                <w:highlight w:val="none"/>
              </w:rPr>
            </w:pPr>
          </w:p>
        </w:tc>
        <w:tc>
          <w:tcPr>
            <w:tcW w:w="2011" w:type="dxa"/>
            <w:tcBorders>
              <w:top w:val="single" w:color="auto" w:sz="4" w:space="0"/>
              <w:left w:val="single" w:color="auto" w:sz="4" w:space="0"/>
              <w:bottom w:val="single" w:color="auto" w:sz="4" w:space="0"/>
              <w:right w:val="single" w:color="auto" w:sz="4" w:space="0"/>
            </w:tcBorders>
            <w:noWrap w:val="0"/>
            <w:vAlign w:val="top"/>
          </w:tcPr>
          <w:p w14:paraId="64BABF5F">
            <w:pPr>
              <w:adjustRightInd w:val="0"/>
              <w:snapToGrid w:val="0"/>
              <w:spacing w:after="200" w:line="220" w:lineRule="atLeast"/>
              <w:jc w:val="center"/>
              <w:rPr>
                <w:rFonts w:hint="eastAsia" w:ascii="宋体" w:hAnsi="宋体" w:cs="宋体"/>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top"/>
          </w:tcPr>
          <w:p w14:paraId="5D62F75D">
            <w:pPr>
              <w:adjustRightInd w:val="0"/>
              <w:snapToGrid w:val="0"/>
              <w:spacing w:after="200" w:line="220" w:lineRule="atLeast"/>
              <w:jc w:val="center"/>
              <w:rPr>
                <w:rFonts w:hint="eastAsia" w:ascii="宋体" w:hAnsi="宋体" w:cs="宋体"/>
                <w:sz w:val="24"/>
                <w:szCs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89E384">
            <w:pPr>
              <w:adjustRightInd w:val="0"/>
              <w:snapToGrid w:val="0"/>
              <w:spacing w:after="200" w:line="220" w:lineRule="atLeast"/>
              <w:jc w:val="center"/>
              <w:rPr>
                <w:rFonts w:hint="eastAsia" w:ascii="宋体" w:hAnsi="宋体" w:cs="宋体"/>
                <w:sz w:val="24"/>
                <w:szCs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83B8FE8">
            <w:pPr>
              <w:adjustRightInd w:val="0"/>
              <w:snapToGrid w:val="0"/>
              <w:spacing w:after="200" w:line="220" w:lineRule="atLeast"/>
              <w:jc w:val="center"/>
              <w:rPr>
                <w:rFonts w:hint="eastAsia" w:ascii="宋体" w:hAnsi="宋体" w:cs="宋体"/>
                <w:sz w:val="24"/>
                <w:szCs w:val="24"/>
                <w:highlight w:val="none"/>
              </w:rPr>
            </w:pPr>
          </w:p>
        </w:tc>
        <w:tc>
          <w:tcPr>
            <w:tcW w:w="1326" w:type="dxa"/>
            <w:tcBorders>
              <w:top w:val="single" w:color="auto" w:sz="4" w:space="0"/>
              <w:left w:val="single" w:color="auto" w:sz="4" w:space="0"/>
              <w:bottom w:val="single" w:color="auto" w:sz="4" w:space="0"/>
              <w:right w:val="single" w:color="auto" w:sz="4" w:space="0"/>
            </w:tcBorders>
            <w:noWrap w:val="0"/>
            <w:vAlign w:val="top"/>
          </w:tcPr>
          <w:p w14:paraId="328A5D2A">
            <w:pPr>
              <w:adjustRightInd w:val="0"/>
              <w:snapToGrid w:val="0"/>
              <w:spacing w:after="200" w:line="220" w:lineRule="atLeast"/>
              <w:jc w:val="center"/>
              <w:rPr>
                <w:rFonts w:hint="eastAsia" w:ascii="宋体" w:hAnsi="宋体" w:cs="宋体"/>
                <w:sz w:val="24"/>
                <w:szCs w:val="24"/>
                <w:highlight w:val="none"/>
              </w:rPr>
            </w:pPr>
          </w:p>
        </w:tc>
      </w:tr>
    </w:tbl>
    <w:p w14:paraId="7CEBA3FE">
      <w:pPr>
        <w:spacing w:line="360" w:lineRule="auto"/>
        <w:rPr>
          <w:rFonts w:hint="eastAsia" w:ascii="宋体" w:hAnsi="宋体" w:cs="宋体"/>
          <w:szCs w:val="21"/>
          <w:highlight w:val="none"/>
        </w:rPr>
      </w:pPr>
      <w:r>
        <w:rPr>
          <w:rFonts w:hint="eastAsia" w:ascii="宋体" w:hAnsi="宋体" w:cs="宋体"/>
          <w:szCs w:val="21"/>
          <w:highlight w:val="none"/>
        </w:rPr>
        <w:t>法定代表人或授权代表（签字或盖章）</w:t>
      </w:r>
    </w:p>
    <w:p w14:paraId="6003B0C6">
      <w:pPr>
        <w:spacing w:line="360" w:lineRule="auto"/>
        <w:rPr>
          <w:rFonts w:hint="eastAsia" w:ascii="宋体" w:hAnsi="宋体" w:cs="宋体"/>
          <w:szCs w:val="21"/>
          <w:highlight w:val="none"/>
        </w:rPr>
      </w:pPr>
      <w:r>
        <w:rPr>
          <w:rFonts w:hint="eastAsia" w:ascii="宋体" w:hAnsi="宋体" w:cs="宋体"/>
          <w:szCs w:val="21"/>
          <w:highlight w:val="none"/>
        </w:rPr>
        <w:t xml:space="preserve">                                             日期：     年    月     日</w:t>
      </w:r>
    </w:p>
    <w:p w14:paraId="7B135FC3">
      <w:pPr>
        <w:spacing w:line="360" w:lineRule="auto"/>
        <w:rPr>
          <w:rFonts w:hint="eastAsia" w:ascii="宋体" w:hAnsi="宋体" w:cs="宋体"/>
          <w:b/>
          <w:szCs w:val="21"/>
          <w:highlight w:val="none"/>
        </w:rPr>
      </w:pPr>
    </w:p>
    <w:p w14:paraId="4799559C">
      <w:pPr>
        <w:spacing w:line="360" w:lineRule="auto"/>
        <w:rPr>
          <w:rFonts w:hint="eastAsia" w:ascii="宋体" w:hAnsi="宋体" w:cs="宋体"/>
          <w:bCs/>
          <w:szCs w:val="21"/>
          <w:highlight w:val="none"/>
        </w:rPr>
      </w:pPr>
      <w:r>
        <w:rPr>
          <w:rFonts w:hint="eastAsia" w:ascii="宋体" w:hAnsi="宋体" w:cs="宋体"/>
          <w:b/>
          <w:szCs w:val="21"/>
          <w:highlight w:val="none"/>
        </w:rPr>
        <w:t>注：</w:t>
      </w:r>
      <w:r>
        <w:rPr>
          <w:rFonts w:hint="eastAsia" w:ascii="宋体" w:hAnsi="宋体" w:cs="宋体"/>
          <w:bCs/>
          <w:szCs w:val="21"/>
          <w:highlight w:val="none"/>
        </w:rPr>
        <w:t>1、按照基本技术要求详细填列；</w:t>
      </w:r>
    </w:p>
    <w:p w14:paraId="5BC7DB5B">
      <w:pPr>
        <w:spacing w:line="360" w:lineRule="auto"/>
        <w:ind w:firstLine="480"/>
        <w:rPr>
          <w:rFonts w:hint="eastAsia" w:ascii="宋体" w:hAnsi="宋体" w:cs="宋体"/>
          <w:bCs/>
          <w:szCs w:val="21"/>
          <w:highlight w:val="none"/>
        </w:rPr>
      </w:pPr>
      <w:r>
        <w:rPr>
          <w:rFonts w:hint="eastAsia" w:ascii="宋体" w:hAnsi="宋体" w:cs="宋体"/>
          <w:bCs/>
          <w:szCs w:val="21"/>
          <w:highlight w:val="none"/>
        </w:rPr>
        <w:t>2、行数不够，可自行添加。</w:t>
      </w:r>
    </w:p>
    <w:p w14:paraId="543510ED">
      <w:pPr>
        <w:spacing w:after="312" w:afterLines="100" w:line="360" w:lineRule="auto"/>
        <w:ind w:firstLine="420" w:firstLineChars="200"/>
        <w:jc w:val="both"/>
        <w:rPr>
          <w:rFonts w:hint="eastAsia" w:ascii="宋体" w:hAnsi="宋体" w:cs="宋体"/>
          <w:bCs/>
          <w:szCs w:val="21"/>
          <w:highlight w:val="none"/>
        </w:rPr>
      </w:pPr>
      <w:r>
        <w:rPr>
          <w:rFonts w:hint="eastAsia" w:ascii="宋体" w:hAnsi="宋体" w:cs="宋体"/>
          <w:bCs/>
          <w:szCs w:val="21"/>
          <w:highlight w:val="none"/>
        </w:rPr>
        <w:t>3、技术偏离表应针对项目需求逐条应答。</w:t>
      </w:r>
    </w:p>
    <w:p w14:paraId="0C9AA2A0">
      <w:pPr>
        <w:rPr>
          <w:rFonts w:hint="eastAsia" w:ascii="宋体" w:hAnsi="宋体" w:cs="宋体"/>
          <w:bCs/>
          <w:szCs w:val="21"/>
          <w:highlight w:val="none"/>
        </w:rPr>
      </w:pPr>
      <w:r>
        <w:rPr>
          <w:rFonts w:hint="eastAsia" w:ascii="宋体" w:hAnsi="宋体" w:cs="宋体"/>
          <w:bCs/>
          <w:szCs w:val="21"/>
          <w:highlight w:val="none"/>
        </w:rPr>
        <w:br w:type="page"/>
      </w:r>
    </w:p>
    <w:p w14:paraId="5E2EB22C">
      <w:pPr>
        <w:spacing w:after="312" w:afterLines="100" w:line="360" w:lineRule="auto"/>
        <w:jc w:val="center"/>
        <w:rPr>
          <w:b/>
          <w:color w:val="auto"/>
          <w:szCs w:val="21"/>
          <w:highlight w:val="none"/>
        </w:rPr>
      </w:pPr>
      <w:r>
        <w:rPr>
          <w:rFonts w:hint="eastAsia"/>
          <w:b/>
          <w:color w:val="auto"/>
          <w:szCs w:val="21"/>
          <w:highlight w:val="none"/>
          <w:lang w:val="en-US" w:eastAsia="zh-CN"/>
        </w:rPr>
        <w:t>七、</w:t>
      </w:r>
      <w:r>
        <w:rPr>
          <w:b/>
          <w:color w:val="auto"/>
          <w:szCs w:val="21"/>
          <w:highlight w:val="none"/>
        </w:rPr>
        <w:t>商务条款响应及偏离表</w:t>
      </w:r>
    </w:p>
    <w:p w14:paraId="277F336D">
      <w:pPr>
        <w:spacing w:after="312" w:afterLines="100" w:line="360" w:lineRule="auto"/>
        <w:rPr>
          <w:color w:val="auto"/>
          <w:szCs w:val="21"/>
          <w:highlight w:val="none"/>
        </w:rPr>
      </w:pPr>
      <w:r>
        <w:rPr>
          <w:color w:val="auto"/>
          <w:szCs w:val="21"/>
          <w:highlight w:val="none"/>
        </w:rPr>
        <w:t>投标人全称（加盖公章）：</w:t>
      </w: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410"/>
        <w:gridCol w:w="1276"/>
        <w:gridCol w:w="2318"/>
      </w:tblGrid>
      <w:tr w14:paraId="3A8D3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7EC468A4">
            <w:pPr>
              <w:adjustRightInd w:val="0"/>
              <w:snapToGrid w:val="0"/>
              <w:spacing w:before="156" w:beforeLines="50" w:after="200" w:line="220" w:lineRule="atLeast"/>
              <w:jc w:val="center"/>
              <w:rPr>
                <w:color w:val="auto"/>
                <w:szCs w:val="21"/>
                <w:highlight w:val="none"/>
              </w:rPr>
            </w:pPr>
            <w:r>
              <w:rPr>
                <w:color w:val="auto"/>
                <w:szCs w:val="21"/>
                <w:highlight w:val="none"/>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C17D8D">
            <w:pPr>
              <w:adjustRightInd w:val="0"/>
              <w:snapToGrid w:val="0"/>
              <w:spacing w:before="156" w:beforeLines="50" w:after="200" w:line="220" w:lineRule="atLeast"/>
              <w:jc w:val="center"/>
              <w:rPr>
                <w:rFonts w:eastAsia="仿宋_GB2312"/>
                <w:color w:val="auto"/>
                <w:szCs w:val="21"/>
                <w:highlight w:val="none"/>
              </w:rPr>
            </w:pPr>
            <w:r>
              <w:rPr>
                <w:color w:val="auto"/>
                <w:szCs w:val="21"/>
                <w:highlight w:val="none"/>
              </w:rPr>
              <w:t>项目</w:t>
            </w:r>
          </w:p>
        </w:tc>
        <w:tc>
          <w:tcPr>
            <w:tcW w:w="2410" w:type="dxa"/>
            <w:tcBorders>
              <w:top w:val="single" w:color="auto" w:sz="4" w:space="0"/>
              <w:left w:val="single" w:color="auto" w:sz="4" w:space="0"/>
              <w:bottom w:val="single" w:color="auto" w:sz="4" w:space="0"/>
              <w:right w:val="single" w:color="auto" w:sz="4" w:space="0"/>
            </w:tcBorders>
            <w:noWrap w:val="0"/>
            <w:vAlign w:val="center"/>
          </w:tcPr>
          <w:p w14:paraId="4ED746E8">
            <w:pPr>
              <w:adjustRightInd w:val="0"/>
              <w:snapToGrid w:val="0"/>
              <w:spacing w:before="156" w:beforeLines="50" w:after="200" w:line="220" w:lineRule="atLeast"/>
              <w:jc w:val="center"/>
              <w:rPr>
                <w:rFonts w:eastAsia="仿宋_GB2312"/>
                <w:color w:val="auto"/>
                <w:szCs w:val="21"/>
                <w:highlight w:val="none"/>
              </w:rPr>
            </w:pPr>
            <w:r>
              <w:rPr>
                <w:color w:val="auto"/>
                <w:szCs w:val="21"/>
                <w:highlight w:val="none"/>
              </w:rPr>
              <w:t>招标要求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96BCE40">
            <w:pPr>
              <w:adjustRightInd w:val="0"/>
              <w:snapToGrid w:val="0"/>
              <w:spacing w:before="156" w:beforeLines="50" w:after="200" w:line="220" w:lineRule="atLeast"/>
              <w:jc w:val="center"/>
              <w:rPr>
                <w:rFonts w:eastAsia="仿宋_GB2312"/>
                <w:color w:val="auto"/>
                <w:szCs w:val="21"/>
                <w:highlight w:val="none"/>
              </w:rPr>
            </w:pPr>
            <w:r>
              <w:rPr>
                <w:color w:val="auto"/>
                <w:szCs w:val="21"/>
                <w:highlight w:val="none"/>
              </w:rPr>
              <w:t>是否响应</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328E1F12">
            <w:pPr>
              <w:adjustRightInd w:val="0"/>
              <w:snapToGrid w:val="0"/>
              <w:spacing w:before="156" w:beforeLines="50" w:after="200" w:line="220" w:lineRule="atLeast"/>
              <w:jc w:val="center"/>
              <w:rPr>
                <w:rFonts w:eastAsia="仿宋_GB2312"/>
                <w:color w:val="auto"/>
                <w:szCs w:val="21"/>
                <w:highlight w:val="none"/>
              </w:rPr>
            </w:pPr>
            <w:r>
              <w:rPr>
                <w:color w:val="auto"/>
                <w:szCs w:val="21"/>
                <w:highlight w:val="none"/>
              </w:rPr>
              <w:t>投标人的承诺或说明</w:t>
            </w:r>
          </w:p>
        </w:tc>
      </w:tr>
      <w:tr w14:paraId="71B2E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98F4ECC">
            <w:pPr>
              <w:adjustRightInd w:val="0"/>
              <w:snapToGrid w:val="0"/>
              <w:spacing w:before="156" w:beforeLines="50" w:after="200" w:line="220" w:lineRule="atLeast"/>
              <w:jc w:val="center"/>
              <w:rPr>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B11BA24">
            <w:pPr>
              <w:adjustRightInd w:val="0"/>
              <w:snapToGrid w:val="0"/>
              <w:spacing w:before="156" w:beforeLines="50" w:after="200" w:line="220" w:lineRule="atLeast"/>
              <w:jc w:val="center"/>
              <w:rPr>
                <w:color w:val="auto"/>
                <w:szCs w:val="21"/>
                <w:highlight w:val="none"/>
              </w:rPr>
            </w:pPr>
            <w:r>
              <w:rPr>
                <w:rFonts w:hint="eastAsia"/>
                <w:color w:val="auto"/>
                <w:szCs w:val="21"/>
                <w:highlight w:val="none"/>
                <w:lang w:val="en-US" w:eastAsia="zh-CN"/>
              </w:rPr>
              <w:t>服务</w:t>
            </w:r>
            <w:r>
              <w:rPr>
                <w:color w:val="auto"/>
                <w:szCs w:val="21"/>
                <w:highlight w:val="none"/>
              </w:rPr>
              <w:t>时间</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222E91E2">
            <w:pPr>
              <w:adjustRightInd w:val="0"/>
              <w:snapToGrid w:val="0"/>
              <w:spacing w:before="156" w:beforeLines="50" w:after="200" w:line="220" w:lineRule="atLeast"/>
              <w:jc w:val="left"/>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51646C">
            <w:pPr>
              <w:adjustRightInd w:val="0"/>
              <w:snapToGrid w:val="0"/>
              <w:spacing w:before="156" w:beforeLines="50" w:after="200" w:line="220" w:lineRule="atLeast"/>
              <w:jc w:val="left"/>
              <w:rPr>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2EDE2AA1">
            <w:pPr>
              <w:adjustRightInd w:val="0"/>
              <w:snapToGrid w:val="0"/>
              <w:spacing w:before="156" w:beforeLines="50" w:after="200" w:line="220" w:lineRule="atLeast"/>
              <w:jc w:val="left"/>
              <w:rPr>
                <w:color w:val="auto"/>
                <w:szCs w:val="21"/>
                <w:highlight w:val="none"/>
              </w:rPr>
            </w:pPr>
          </w:p>
        </w:tc>
      </w:tr>
      <w:tr w14:paraId="5165F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7C132FCB">
            <w:pPr>
              <w:adjustRightInd w:val="0"/>
              <w:snapToGrid w:val="0"/>
              <w:spacing w:before="156" w:beforeLines="50" w:after="200" w:line="220" w:lineRule="atLeast"/>
              <w:jc w:val="center"/>
              <w:rPr>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81A0533">
            <w:pPr>
              <w:adjustRightInd w:val="0"/>
              <w:snapToGrid w:val="0"/>
              <w:spacing w:before="156" w:beforeLines="50" w:after="200" w:line="220" w:lineRule="atLeast"/>
              <w:jc w:val="center"/>
              <w:rPr>
                <w:color w:val="auto"/>
                <w:szCs w:val="21"/>
                <w:highlight w:val="none"/>
              </w:rPr>
            </w:pPr>
            <w:r>
              <w:rPr>
                <w:color w:val="auto"/>
                <w:szCs w:val="21"/>
                <w:highlight w:val="none"/>
              </w:rPr>
              <w:t>交付地点</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4DF2A4B4">
            <w:pPr>
              <w:spacing w:before="156" w:beforeLines="50" w:line="220" w:lineRule="atLeast"/>
              <w:rPr>
                <w:rFonts w:eastAsia="微软雅黑"/>
                <w:color w:val="auto"/>
                <w:szCs w:val="21"/>
                <w:highlight w:val="none"/>
              </w:rPr>
            </w:pPr>
          </w:p>
          <w:p w14:paraId="0979539D">
            <w:pPr>
              <w:adjustRightInd w:val="0"/>
              <w:snapToGrid w:val="0"/>
              <w:spacing w:before="156" w:beforeLines="50" w:after="200" w:line="220" w:lineRule="atLeast"/>
              <w:rPr>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F6DABC">
            <w:pPr>
              <w:adjustRightInd w:val="0"/>
              <w:snapToGrid w:val="0"/>
              <w:spacing w:before="156" w:beforeLines="50" w:after="200" w:line="220" w:lineRule="atLeast"/>
              <w:ind w:left="43"/>
              <w:rPr>
                <w:rFonts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298B72C0">
            <w:pPr>
              <w:adjustRightInd w:val="0"/>
              <w:snapToGrid w:val="0"/>
              <w:spacing w:before="156" w:beforeLines="50" w:after="200" w:line="220" w:lineRule="atLeast"/>
              <w:ind w:left="43"/>
              <w:rPr>
                <w:rFonts w:eastAsia="仿宋_GB2312"/>
                <w:color w:val="auto"/>
                <w:szCs w:val="21"/>
                <w:highlight w:val="none"/>
              </w:rPr>
            </w:pPr>
          </w:p>
        </w:tc>
      </w:tr>
      <w:tr w14:paraId="4E18A0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7DAE2553">
            <w:pPr>
              <w:adjustRightInd w:val="0"/>
              <w:snapToGrid w:val="0"/>
              <w:spacing w:before="156" w:beforeLines="50" w:after="200" w:line="220" w:lineRule="atLeast"/>
              <w:jc w:val="center"/>
              <w:rPr>
                <w:rFonts w:eastAsia="仿宋_GB2312"/>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2DC1117">
            <w:pPr>
              <w:adjustRightInd w:val="0"/>
              <w:snapToGrid w:val="0"/>
              <w:spacing w:before="156" w:beforeLines="50" w:after="200" w:line="220" w:lineRule="atLeast"/>
              <w:jc w:val="center"/>
              <w:rPr>
                <w:rFonts w:eastAsia="仿宋_GB2312"/>
                <w:color w:val="auto"/>
                <w:szCs w:val="21"/>
                <w:highlight w:val="none"/>
              </w:rPr>
            </w:pPr>
            <w:r>
              <w:rPr>
                <w:color w:val="auto"/>
                <w:szCs w:val="21"/>
                <w:highlight w:val="none"/>
              </w:rPr>
              <w:t>付款方式</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26D16BA9">
            <w:pPr>
              <w:adjustRightInd w:val="0"/>
              <w:snapToGrid w:val="0"/>
              <w:spacing w:before="156" w:beforeLines="50" w:after="200" w:line="220" w:lineRule="atLeast"/>
              <w:rPr>
                <w:rFonts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F490B00">
            <w:pPr>
              <w:adjustRightInd w:val="0"/>
              <w:snapToGrid w:val="0"/>
              <w:spacing w:before="156" w:beforeLines="50" w:after="200" w:line="220" w:lineRule="atLeast"/>
              <w:rPr>
                <w:rFonts w:eastAsia="仿宋_GB2312"/>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44C6E5EB">
            <w:pPr>
              <w:adjustRightInd w:val="0"/>
              <w:snapToGrid w:val="0"/>
              <w:spacing w:before="156" w:beforeLines="50" w:after="200" w:line="220" w:lineRule="atLeast"/>
              <w:rPr>
                <w:rFonts w:eastAsia="仿宋_GB2312"/>
                <w:color w:val="auto"/>
                <w:sz w:val="24"/>
                <w:szCs w:val="20"/>
                <w:highlight w:val="none"/>
              </w:rPr>
            </w:pPr>
          </w:p>
        </w:tc>
      </w:tr>
      <w:tr w14:paraId="63D9C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405FBEB8">
            <w:pPr>
              <w:adjustRightInd w:val="0"/>
              <w:snapToGrid w:val="0"/>
              <w:spacing w:before="156" w:beforeLines="50" w:after="200" w:line="220" w:lineRule="atLeast"/>
              <w:jc w:val="center"/>
              <w:rPr>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A6FD4E">
            <w:pPr>
              <w:adjustRightInd w:val="0"/>
              <w:snapToGrid w:val="0"/>
              <w:spacing w:before="156" w:beforeLines="50" w:after="200" w:line="220" w:lineRule="atLeast"/>
              <w:jc w:val="center"/>
              <w:rPr>
                <w:color w:val="auto"/>
                <w:szCs w:val="21"/>
                <w:highlight w:val="none"/>
              </w:rPr>
            </w:pPr>
            <w:r>
              <w:rPr>
                <w:color w:val="auto"/>
                <w:szCs w:val="21"/>
                <w:highlight w:val="none"/>
              </w:rPr>
              <w:t>投标货币</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6292DA99">
            <w:pPr>
              <w:spacing w:before="156" w:beforeLines="50" w:line="220" w:lineRule="atLeast"/>
              <w:rPr>
                <w:rFonts w:eastAsia="仿宋_GB2312"/>
                <w:color w:val="auto"/>
                <w:sz w:val="24"/>
                <w:szCs w:val="20"/>
                <w:highlight w:val="none"/>
              </w:rPr>
            </w:pPr>
          </w:p>
          <w:p w14:paraId="3F9BBF12">
            <w:pPr>
              <w:adjustRightInd w:val="0"/>
              <w:snapToGrid w:val="0"/>
              <w:spacing w:before="156" w:beforeLines="50" w:after="200" w:line="220" w:lineRule="atLeast"/>
              <w:rPr>
                <w:rFonts w:eastAsia="仿宋_GB2312"/>
                <w:color w:val="auto"/>
                <w:sz w:val="24"/>
                <w:szCs w:val="20"/>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890ADD">
            <w:pPr>
              <w:adjustRightInd w:val="0"/>
              <w:snapToGrid w:val="0"/>
              <w:spacing w:before="156" w:beforeLines="50" w:after="200" w:line="220" w:lineRule="atLeast"/>
              <w:rPr>
                <w:rFonts w:eastAsia="仿宋_GB2312"/>
                <w:color w:val="auto"/>
                <w:sz w:val="24"/>
                <w:szCs w:val="20"/>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16106224">
            <w:pPr>
              <w:adjustRightInd w:val="0"/>
              <w:snapToGrid w:val="0"/>
              <w:spacing w:before="156" w:beforeLines="50" w:after="200" w:line="220" w:lineRule="atLeast"/>
              <w:rPr>
                <w:rFonts w:eastAsia="仿宋_GB2312"/>
                <w:color w:val="auto"/>
                <w:sz w:val="24"/>
                <w:szCs w:val="20"/>
                <w:highlight w:val="none"/>
              </w:rPr>
            </w:pPr>
          </w:p>
        </w:tc>
      </w:tr>
      <w:tr w14:paraId="0B6104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14:paraId="72F445EF">
            <w:pPr>
              <w:adjustRightInd w:val="0"/>
              <w:snapToGrid w:val="0"/>
              <w:spacing w:before="156" w:beforeLines="50" w:after="200" w:line="220" w:lineRule="atLeast"/>
              <w:jc w:val="center"/>
              <w:rPr>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DE2888D">
            <w:pPr>
              <w:adjustRightInd w:val="0"/>
              <w:snapToGrid w:val="0"/>
              <w:spacing w:before="156" w:beforeLines="50" w:after="200" w:line="220" w:lineRule="atLeast"/>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1D17749A">
            <w:pPr>
              <w:adjustRightInd w:val="0"/>
              <w:snapToGrid w:val="0"/>
              <w:spacing w:before="156" w:beforeLines="50" w:after="200" w:line="220" w:lineRule="atLeast"/>
              <w:rPr>
                <w:rFonts w:eastAsia="仿宋_GB2312"/>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7A0AA9">
            <w:pPr>
              <w:adjustRightInd w:val="0"/>
              <w:snapToGrid w:val="0"/>
              <w:spacing w:before="156" w:beforeLines="50" w:after="200" w:line="220" w:lineRule="atLeast"/>
              <w:rPr>
                <w:rFonts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5158CA26">
            <w:pPr>
              <w:adjustRightInd w:val="0"/>
              <w:snapToGrid w:val="0"/>
              <w:spacing w:before="156" w:beforeLines="50" w:after="200" w:line="220" w:lineRule="atLeast"/>
              <w:rPr>
                <w:rFonts w:eastAsia="仿宋_GB2312"/>
                <w:color w:val="auto"/>
                <w:szCs w:val="21"/>
                <w:highlight w:val="none"/>
              </w:rPr>
            </w:pPr>
          </w:p>
        </w:tc>
      </w:tr>
      <w:tr w14:paraId="3DFC7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14:paraId="7F656F9F">
            <w:pPr>
              <w:adjustRightInd w:val="0"/>
              <w:snapToGrid w:val="0"/>
              <w:spacing w:before="156" w:beforeLines="50" w:after="200" w:line="220" w:lineRule="atLeast"/>
              <w:jc w:val="center"/>
              <w:rPr>
                <w:rFonts w:eastAsia="仿宋_GB2312"/>
                <w:color w:val="auto"/>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742E165">
            <w:pPr>
              <w:adjustRightInd w:val="0"/>
              <w:snapToGrid w:val="0"/>
              <w:spacing w:before="156" w:beforeLines="50" w:after="200" w:line="220" w:lineRule="atLeast"/>
              <w:jc w:val="center"/>
              <w:rPr>
                <w:rFonts w:eastAsia="仿宋_GB2312"/>
                <w:color w:val="auto"/>
                <w:szCs w:val="21"/>
                <w:highlight w:val="none"/>
              </w:rPr>
            </w:pPr>
            <w:r>
              <w:rPr>
                <w:color w:val="auto"/>
                <w:szCs w:val="21"/>
                <w:highlight w:val="none"/>
              </w:rPr>
              <w:t>其他</w:t>
            </w:r>
          </w:p>
        </w:tc>
        <w:tc>
          <w:tcPr>
            <w:tcW w:w="2410" w:type="dxa"/>
            <w:tcBorders>
              <w:top w:val="single" w:color="auto" w:sz="4" w:space="0"/>
              <w:left w:val="single" w:color="auto" w:sz="4" w:space="0"/>
              <w:bottom w:val="single" w:color="auto" w:sz="4" w:space="0"/>
              <w:right w:val="single" w:color="auto" w:sz="4" w:space="0"/>
            </w:tcBorders>
            <w:noWrap w:val="0"/>
            <w:vAlign w:val="top"/>
          </w:tcPr>
          <w:p w14:paraId="70F50539">
            <w:pPr>
              <w:adjustRightInd w:val="0"/>
              <w:snapToGrid w:val="0"/>
              <w:spacing w:before="156" w:beforeLines="50" w:after="200" w:line="220" w:lineRule="atLeast"/>
              <w:rPr>
                <w:rFonts w:eastAsia="仿宋_GB2312"/>
                <w:color w:val="auto"/>
                <w:szCs w:val="21"/>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B78A8F">
            <w:pPr>
              <w:adjustRightInd w:val="0"/>
              <w:snapToGrid w:val="0"/>
              <w:spacing w:before="156" w:beforeLines="50" w:after="200" w:line="220" w:lineRule="atLeast"/>
              <w:rPr>
                <w:rFonts w:eastAsia="仿宋_GB2312"/>
                <w:color w:val="auto"/>
                <w:szCs w:val="21"/>
                <w:highlight w:val="none"/>
              </w:rPr>
            </w:pPr>
          </w:p>
        </w:tc>
        <w:tc>
          <w:tcPr>
            <w:tcW w:w="2318" w:type="dxa"/>
            <w:tcBorders>
              <w:top w:val="single" w:color="auto" w:sz="4" w:space="0"/>
              <w:left w:val="single" w:color="auto" w:sz="4" w:space="0"/>
              <w:bottom w:val="single" w:color="auto" w:sz="4" w:space="0"/>
              <w:right w:val="single" w:color="auto" w:sz="4" w:space="0"/>
            </w:tcBorders>
            <w:noWrap w:val="0"/>
            <w:vAlign w:val="top"/>
          </w:tcPr>
          <w:p w14:paraId="7E179525">
            <w:pPr>
              <w:adjustRightInd w:val="0"/>
              <w:snapToGrid w:val="0"/>
              <w:spacing w:before="156" w:beforeLines="50" w:after="200" w:line="220" w:lineRule="atLeast"/>
              <w:rPr>
                <w:rFonts w:eastAsia="仿宋_GB2312"/>
                <w:color w:val="auto"/>
                <w:szCs w:val="21"/>
                <w:highlight w:val="none"/>
              </w:rPr>
            </w:pPr>
          </w:p>
        </w:tc>
      </w:tr>
    </w:tbl>
    <w:p w14:paraId="68AA7522">
      <w:pPr>
        <w:spacing w:before="312" w:beforeLines="100" w:line="360" w:lineRule="auto"/>
        <w:rPr>
          <w:color w:val="auto"/>
          <w:highlight w:val="none"/>
        </w:rPr>
      </w:pPr>
      <w:r>
        <w:rPr>
          <w:color w:val="auto"/>
          <w:szCs w:val="21"/>
          <w:highlight w:val="none"/>
        </w:rPr>
        <w:t>法定代表人或授权代表（签字）：</w:t>
      </w:r>
    </w:p>
    <w:p w14:paraId="2A027DE6">
      <w:pPr>
        <w:ind w:firstLine="420" w:firstLineChars="200"/>
        <w:jc w:val="left"/>
        <w:rPr>
          <w:color w:val="auto"/>
          <w:highlight w:val="none"/>
        </w:rPr>
      </w:pPr>
    </w:p>
    <w:p w14:paraId="3FB734AA">
      <w:pPr>
        <w:ind w:firstLine="420" w:firstLineChars="200"/>
        <w:jc w:val="left"/>
        <w:rPr>
          <w:color w:val="auto"/>
          <w:highlight w:val="none"/>
        </w:rPr>
      </w:pPr>
    </w:p>
    <w:p w14:paraId="00589A38">
      <w:pPr>
        <w:rPr>
          <w:rFonts w:hint="eastAsia"/>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76DED">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B1928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B1928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36E13">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CA92">
                          <w:pPr>
                            <w:pStyle w:val="11"/>
                            <w:jc w:val="center"/>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AACA92">
                    <w:pPr>
                      <w:pStyle w:val="11"/>
                      <w:jc w:val="center"/>
                    </w:pPr>
                    <w:r>
                      <w:fldChar w:fldCharType="begin"/>
                    </w:r>
                    <w:r>
                      <w:instrText xml:space="preserve">PAGE   \* MERGEFORMAT</w:instrText>
                    </w:r>
                    <w:r>
                      <w:fldChar w:fldCharType="separate"/>
                    </w:r>
                    <w:r>
                      <w:rPr>
                        <w:lang w:val="zh-CN"/>
                      </w:rPr>
                      <w:t>2</w:t>
                    </w:r>
                    <w:r>
                      <w:fldChar w:fldCharType="end"/>
                    </w:r>
                  </w:p>
                </w:txbxContent>
              </v:textbox>
            </v:shape>
          </w:pict>
        </mc:Fallback>
      </mc:AlternateContent>
    </w:r>
  </w:p>
  <w:p w14:paraId="0DDE74C8">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63383">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554E1">
                          <w:pPr>
                            <w:pStyle w:val="11"/>
                            <w:jc w:val="center"/>
                          </w:pPr>
                          <w:r>
                            <w:fldChar w:fldCharType="begin"/>
                          </w:r>
                          <w:r>
                            <w:instrText xml:space="preserve"> PAGE   \* MERGEFORMAT </w:instrText>
                          </w:r>
                          <w:r>
                            <w:fldChar w:fldCharType="separate"/>
                          </w:r>
                          <w:r>
                            <w:rPr>
                              <w:lang w:val="zh-CN"/>
                            </w:rPr>
                            <w:t>34</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52554E1">
                    <w:pPr>
                      <w:pStyle w:val="11"/>
                      <w:jc w:val="center"/>
                    </w:pPr>
                    <w:r>
                      <w:fldChar w:fldCharType="begin"/>
                    </w:r>
                    <w:r>
                      <w:instrText xml:space="preserve"> PAGE   \* MERGEFORMAT </w:instrText>
                    </w:r>
                    <w:r>
                      <w:fldChar w:fldCharType="separate"/>
                    </w:r>
                    <w:r>
                      <w:rPr>
                        <w:lang w:val="zh-CN"/>
                      </w:rPr>
                      <w:t>34</w:t>
                    </w:r>
                    <w:r>
                      <w:rPr>
                        <w:lang w:val="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A0E1">
    <w:pPr>
      <w:pStyle w:val="12"/>
      <w:pBdr>
        <w:bottom w:val="none" w:color="auto" w:sz="0" w:space="1"/>
      </w:pBdr>
      <w:jc w:val="both"/>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D9E4A6"/>
    <w:multiLevelType w:val="singleLevel"/>
    <w:tmpl w:val="3AD9E4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010F51"/>
    <w:rsid w:val="000273CC"/>
    <w:rsid w:val="001978C2"/>
    <w:rsid w:val="001D5FB4"/>
    <w:rsid w:val="00615EA1"/>
    <w:rsid w:val="008204E7"/>
    <w:rsid w:val="008F5DC8"/>
    <w:rsid w:val="009948F5"/>
    <w:rsid w:val="00B22BA0"/>
    <w:rsid w:val="00BF1A33"/>
    <w:rsid w:val="00CB5A10"/>
    <w:rsid w:val="00CD79DA"/>
    <w:rsid w:val="00D70859"/>
    <w:rsid w:val="00DC19CB"/>
    <w:rsid w:val="012515C4"/>
    <w:rsid w:val="014F03EF"/>
    <w:rsid w:val="016F45ED"/>
    <w:rsid w:val="01A93FA3"/>
    <w:rsid w:val="01D37272"/>
    <w:rsid w:val="01E33E70"/>
    <w:rsid w:val="01F21448"/>
    <w:rsid w:val="0273010D"/>
    <w:rsid w:val="027A2104"/>
    <w:rsid w:val="02C646E1"/>
    <w:rsid w:val="02CB1CF7"/>
    <w:rsid w:val="02D23086"/>
    <w:rsid w:val="02D52B76"/>
    <w:rsid w:val="030D2310"/>
    <w:rsid w:val="03174F3D"/>
    <w:rsid w:val="032B09E8"/>
    <w:rsid w:val="032D0A52"/>
    <w:rsid w:val="033736CD"/>
    <w:rsid w:val="033C2BF5"/>
    <w:rsid w:val="034E1AEE"/>
    <w:rsid w:val="034F0B7A"/>
    <w:rsid w:val="0360542C"/>
    <w:rsid w:val="03921B3D"/>
    <w:rsid w:val="03A76C6E"/>
    <w:rsid w:val="03CE3B22"/>
    <w:rsid w:val="03E33071"/>
    <w:rsid w:val="041A1188"/>
    <w:rsid w:val="04333FF8"/>
    <w:rsid w:val="0434636C"/>
    <w:rsid w:val="045F4DED"/>
    <w:rsid w:val="046B19E4"/>
    <w:rsid w:val="048B7990"/>
    <w:rsid w:val="04D54C4A"/>
    <w:rsid w:val="050F05C1"/>
    <w:rsid w:val="050F3092"/>
    <w:rsid w:val="051B02AC"/>
    <w:rsid w:val="05290F57"/>
    <w:rsid w:val="05410997"/>
    <w:rsid w:val="05471043"/>
    <w:rsid w:val="05544226"/>
    <w:rsid w:val="05776A0C"/>
    <w:rsid w:val="05873D2E"/>
    <w:rsid w:val="05AD3936"/>
    <w:rsid w:val="05B42F17"/>
    <w:rsid w:val="05DD0CF6"/>
    <w:rsid w:val="05E57574"/>
    <w:rsid w:val="05E750F4"/>
    <w:rsid w:val="05F5638E"/>
    <w:rsid w:val="060317A8"/>
    <w:rsid w:val="060A79EB"/>
    <w:rsid w:val="062956B3"/>
    <w:rsid w:val="06475B39"/>
    <w:rsid w:val="06515BBE"/>
    <w:rsid w:val="066466EB"/>
    <w:rsid w:val="066D29F1"/>
    <w:rsid w:val="06917D07"/>
    <w:rsid w:val="06A411DD"/>
    <w:rsid w:val="06AB431A"/>
    <w:rsid w:val="06BC6527"/>
    <w:rsid w:val="07061550"/>
    <w:rsid w:val="072D4D2F"/>
    <w:rsid w:val="07416A2C"/>
    <w:rsid w:val="07434BE5"/>
    <w:rsid w:val="075D1649"/>
    <w:rsid w:val="076369A2"/>
    <w:rsid w:val="076A196A"/>
    <w:rsid w:val="079923C4"/>
    <w:rsid w:val="081B102B"/>
    <w:rsid w:val="085D1644"/>
    <w:rsid w:val="08B17BE1"/>
    <w:rsid w:val="08D4742C"/>
    <w:rsid w:val="08F326E4"/>
    <w:rsid w:val="08FC70AE"/>
    <w:rsid w:val="091E5277"/>
    <w:rsid w:val="092E4D8E"/>
    <w:rsid w:val="093A3733"/>
    <w:rsid w:val="093F6F9B"/>
    <w:rsid w:val="0949606C"/>
    <w:rsid w:val="094C3466"/>
    <w:rsid w:val="09774987"/>
    <w:rsid w:val="09976DD7"/>
    <w:rsid w:val="09BC4A90"/>
    <w:rsid w:val="09C474A0"/>
    <w:rsid w:val="09CF031F"/>
    <w:rsid w:val="09D122E9"/>
    <w:rsid w:val="0A3665F0"/>
    <w:rsid w:val="0A522E98"/>
    <w:rsid w:val="0A717628"/>
    <w:rsid w:val="0A7669ED"/>
    <w:rsid w:val="0AB063A2"/>
    <w:rsid w:val="0AD96F7B"/>
    <w:rsid w:val="0AEB1631"/>
    <w:rsid w:val="0AFA13CC"/>
    <w:rsid w:val="0B301291"/>
    <w:rsid w:val="0B36617C"/>
    <w:rsid w:val="0B995089"/>
    <w:rsid w:val="0BC1013B"/>
    <w:rsid w:val="0BC639A4"/>
    <w:rsid w:val="0BD53BE7"/>
    <w:rsid w:val="0BD95485"/>
    <w:rsid w:val="0C012C2E"/>
    <w:rsid w:val="0CB24E3B"/>
    <w:rsid w:val="0CB47CA0"/>
    <w:rsid w:val="0CFD3DAC"/>
    <w:rsid w:val="0D2941EA"/>
    <w:rsid w:val="0D3446A5"/>
    <w:rsid w:val="0D556D8D"/>
    <w:rsid w:val="0D7731A8"/>
    <w:rsid w:val="0DA41AC3"/>
    <w:rsid w:val="0DA73361"/>
    <w:rsid w:val="0DC54EF5"/>
    <w:rsid w:val="0DDC300B"/>
    <w:rsid w:val="0DF02010"/>
    <w:rsid w:val="0E462B7A"/>
    <w:rsid w:val="0E72396F"/>
    <w:rsid w:val="0E7476E7"/>
    <w:rsid w:val="0EA93835"/>
    <w:rsid w:val="0EB360A5"/>
    <w:rsid w:val="0ED91C40"/>
    <w:rsid w:val="0F054377"/>
    <w:rsid w:val="0F1312D7"/>
    <w:rsid w:val="0F4C5F6E"/>
    <w:rsid w:val="0F5B4403"/>
    <w:rsid w:val="0F7200CA"/>
    <w:rsid w:val="0FB104C7"/>
    <w:rsid w:val="0FB81855"/>
    <w:rsid w:val="0FE268D2"/>
    <w:rsid w:val="10022AD1"/>
    <w:rsid w:val="10340A44"/>
    <w:rsid w:val="105E23FD"/>
    <w:rsid w:val="10CB733D"/>
    <w:rsid w:val="10D821AF"/>
    <w:rsid w:val="10FB1715"/>
    <w:rsid w:val="1109680C"/>
    <w:rsid w:val="110F0BE2"/>
    <w:rsid w:val="11140D0D"/>
    <w:rsid w:val="11166833"/>
    <w:rsid w:val="11286567"/>
    <w:rsid w:val="115B693C"/>
    <w:rsid w:val="116A6B7F"/>
    <w:rsid w:val="116E48C1"/>
    <w:rsid w:val="117874EE"/>
    <w:rsid w:val="11991213"/>
    <w:rsid w:val="119C142F"/>
    <w:rsid w:val="11B217C4"/>
    <w:rsid w:val="120B363F"/>
    <w:rsid w:val="120E7E53"/>
    <w:rsid w:val="12103BCB"/>
    <w:rsid w:val="121F5BBC"/>
    <w:rsid w:val="124D6AF7"/>
    <w:rsid w:val="125515DD"/>
    <w:rsid w:val="127001C5"/>
    <w:rsid w:val="12744159"/>
    <w:rsid w:val="12AE6A32"/>
    <w:rsid w:val="12C025AA"/>
    <w:rsid w:val="12D22C2E"/>
    <w:rsid w:val="12D27590"/>
    <w:rsid w:val="12D90460"/>
    <w:rsid w:val="12DD0FF5"/>
    <w:rsid w:val="12E41411"/>
    <w:rsid w:val="12F729E0"/>
    <w:rsid w:val="12FB2185"/>
    <w:rsid w:val="1300779B"/>
    <w:rsid w:val="13023513"/>
    <w:rsid w:val="130D3C66"/>
    <w:rsid w:val="13413DA5"/>
    <w:rsid w:val="13441D7E"/>
    <w:rsid w:val="138E124B"/>
    <w:rsid w:val="13B16CE7"/>
    <w:rsid w:val="13BA3DEE"/>
    <w:rsid w:val="13C133CE"/>
    <w:rsid w:val="13C7650B"/>
    <w:rsid w:val="13DD4955"/>
    <w:rsid w:val="140C2E22"/>
    <w:rsid w:val="141014C7"/>
    <w:rsid w:val="14166AEE"/>
    <w:rsid w:val="14213E6D"/>
    <w:rsid w:val="142E0338"/>
    <w:rsid w:val="143726E0"/>
    <w:rsid w:val="143E4A1F"/>
    <w:rsid w:val="145204CA"/>
    <w:rsid w:val="14667AD2"/>
    <w:rsid w:val="14691370"/>
    <w:rsid w:val="148D505F"/>
    <w:rsid w:val="14AD74AF"/>
    <w:rsid w:val="14AF1479"/>
    <w:rsid w:val="14D02BF1"/>
    <w:rsid w:val="14D709D0"/>
    <w:rsid w:val="151D2886"/>
    <w:rsid w:val="15396F94"/>
    <w:rsid w:val="1556483D"/>
    <w:rsid w:val="157955E3"/>
    <w:rsid w:val="158D1A3D"/>
    <w:rsid w:val="159348F7"/>
    <w:rsid w:val="15B90314"/>
    <w:rsid w:val="15F43E40"/>
    <w:rsid w:val="16023A61"/>
    <w:rsid w:val="16201F02"/>
    <w:rsid w:val="163D0D06"/>
    <w:rsid w:val="16445BF1"/>
    <w:rsid w:val="16557DFE"/>
    <w:rsid w:val="167D1103"/>
    <w:rsid w:val="16893F4C"/>
    <w:rsid w:val="16AD3796"/>
    <w:rsid w:val="16C24A11"/>
    <w:rsid w:val="16C64858"/>
    <w:rsid w:val="16E01DBD"/>
    <w:rsid w:val="16E64EFA"/>
    <w:rsid w:val="16E96798"/>
    <w:rsid w:val="17011D34"/>
    <w:rsid w:val="17022E59"/>
    <w:rsid w:val="17514A69"/>
    <w:rsid w:val="17562080"/>
    <w:rsid w:val="1768590F"/>
    <w:rsid w:val="176A5B2B"/>
    <w:rsid w:val="176C18A3"/>
    <w:rsid w:val="17A11086"/>
    <w:rsid w:val="17C074F9"/>
    <w:rsid w:val="17C92852"/>
    <w:rsid w:val="1844012A"/>
    <w:rsid w:val="184E0FA9"/>
    <w:rsid w:val="187C5B16"/>
    <w:rsid w:val="18925339"/>
    <w:rsid w:val="189C1D14"/>
    <w:rsid w:val="18D851B5"/>
    <w:rsid w:val="18DD15DC"/>
    <w:rsid w:val="18E461B2"/>
    <w:rsid w:val="19722A75"/>
    <w:rsid w:val="1974168C"/>
    <w:rsid w:val="198D5B01"/>
    <w:rsid w:val="19946E8F"/>
    <w:rsid w:val="19A00E3E"/>
    <w:rsid w:val="19AF1F1B"/>
    <w:rsid w:val="19C31523"/>
    <w:rsid w:val="19D13C3F"/>
    <w:rsid w:val="1A1B7E29"/>
    <w:rsid w:val="1A2A3350"/>
    <w:rsid w:val="1A3C2084"/>
    <w:rsid w:val="1A626F8D"/>
    <w:rsid w:val="1A9D6217"/>
    <w:rsid w:val="1A9F789A"/>
    <w:rsid w:val="1AC63078"/>
    <w:rsid w:val="1AF23E6D"/>
    <w:rsid w:val="1AF776D6"/>
    <w:rsid w:val="1B0B4F2F"/>
    <w:rsid w:val="1B132036"/>
    <w:rsid w:val="1B155DAE"/>
    <w:rsid w:val="1B5A7C65"/>
    <w:rsid w:val="1B60171F"/>
    <w:rsid w:val="1B7A20B5"/>
    <w:rsid w:val="1BB27AA1"/>
    <w:rsid w:val="1C006A5E"/>
    <w:rsid w:val="1C11425A"/>
    <w:rsid w:val="1C224C26"/>
    <w:rsid w:val="1C36422E"/>
    <w:rsid w:val="1C4050AC"/>
    <w:rsid w:val="1C454471"/>
    <w:rsid w:val="1C4E77C9"/>
    <w:rsid w:val="1C6B037B"/>
    <w:rsid w:val="1C6D04B9"/>
    <w:rsid w:val="1C7134B8"/>
    <w:rsid w:val="1C7865F4"/>
    <w:rsid w:val="1C7B1AED"/>
    <w:rsid w:val="1C93342E"/>
    <w:rsid w:val="1CBE53C2"/>
    <w:rsid w:val="1CD62D09"/>
    <w:rsid w:val="1CEE2D5A"/>
    <w:rsid w:val="1CF57C45"/>
    <w:rsid w:val="1CF739BD"/>
    <w:rsid w:val="1CFC0FD3"/>
    <w:rsid w:val="1D41455E"/>
    <w:rsid w:val="1D445C63"/>
    <w:rsid w:val="1D70551D"/>
    <w:rsid w:val="1D897FDC"/>
    <w:rsid w:val="1DA8115B"/>
    <w:rsid w:val="1DC51D0D"/>
    <w:rsid w:val="1DEA1774"/>
    <w:rsid w:val="1DF863E5"/>
    <w:rsid w:val="1E110AAE"/>
    <w:rsid w:val="1E14059F"/>
    <w:rsid w:val="1E391DB3"/>
    <w:rsid w:val="1E4946EC"/>
    <w:rsid w:val="1E6A01BF"/>
    <w:rsid w:val="1E6C03DB"/>
    <w:rsid w:val="1E7554E1"/>
    <w:rsid w:val="1E9516DF"/>
    <w:rsid w:val="1EC024D4"/>
    <w:rsid w:val="1ED8781E"/>
    <w:rsid w:val="1EF1268E"/>
    <w:rsid w:val="1EF705CA"/>
    <w:rsid w:val="1F016D75"/>
    <w:rsid w:val="1F2B3DF2"/>
    <w:rsid w:val="1F435D1C"/>
    <w:rsid w:val="1F645FC9"/>
    <w:rsid w:val="1F6B6512"/>
    <w:rsid w:val="1FED554B"/>
    <w:rsid w:val="1FFC753C"/>
    <w:rsid w:val="200603BB"/>
    <w:rsid w:val="2011123A"/>
    <w:rsid w:val="201A4D9A"/>
    <w:rsid w:val="20362A4E"/>
    <w:rsid w:val="206E0C49"/>
    <w:rsid w:val="209854B7"/>
    <w:rsid w:val="20B03FD8"/>
    <w:rsid w:val="20CE0ED9"/>
    <w:rsid w:val="20CF4663"/>
    <w:rsid w:val="20E64474"/>
    <w:rsid w:val="20F621DE"/>
    <w:rsid w:val="21240AF9"/>
    <w:rsid w:val="21320C4C"/>
    <w:rsid w:val="215533A8"/>
    <w:rsid w:val="216C7510"/>
    <w:rsid w:val="2186274A"/>
    <w:rsid w:val="21977B3A"/>
    <w:rsid w:val="219C2D85"/>
    <w:rsid w:val="21C603EE"/>
    <w:rsid w:val="21E93AF0"/>
    <w:rsid w:val="21F26E49"/>
    <w:rsid w:val="21FC6C93"/>
    <w:rsid w:val="222A65E3"/>
    <w:rsid w:val="227B0906"/>
    <w:rsid w:val="22CF0F38"/>
    <w:rsid w:val="22E32324"/>
    <w:rsid w:val="22EF3388"/>
    <w:rsid w:val="22F8048F"/>
    <w:rsid w:val="232547FE"/>
    <w:rsid w:val="233F124C"/>
    <w:rsid w:val="235A4CA6"/>
    <w:rsid w:val="23827D58"/>
    <w:rsid w:val="238537AC"/>
    <w:rsid w:val="238E494F"/>
    <w:rsid w:val="23ED5B1A"/>
    <w:rsid w:val="242552B4"/>
    <w:rsid w:val="24390D5F"/>
    <w:rsid w:val="24613E12"/>
    <w:rsid w:val="24A16643"/>
    <w:rsid w:val="24B6415E"/>
    <w:rsid w:val="24B71C84"/>
    <w:rsid w:val="24E862E1"/>
    <w:rsid w:val="24F609FE"/>
    <w:rsid w:val="2505501C"/>
    <w:rsid w:val="25066FA5"/>
    <w:rsid w:val="25AC730F"/>
    <w:rsid w:val="25B21B8A"/>
    <w:rsid w:val="25B8223B"/>
    <w:rsid w:val="25D725DE"/>
    <w:rsid w:val="25E847EB"/>
    <w:rsid w:val="260333D3"/>
    <w:rsid w:val="261A687E"/>
    <w:rsid w:val="26215F4F"/>
    <w:rsid w:val="262D78EB"/>
    <w:rsid w:val="26301CEE"/>
    <w:rsid w:val="263E265D"/>
    <w:rsid w:val="265E65A2"/>
    <w:rsid w:val="26695200"/>
    <w:rsid w:val="26F947D6"/>
    <w:rsid w:val="27182EAE"/>
    <w:rsid w:val="27484E85"/>
    <w:rsid w:val="2758774E"/>
    <w:rsid w:val="276C144B"/>
    <w:rsid w:val="27702CEA"/>
    <w:rsid w:val="27C13545"/>
    <w:rsid w:val="28017DE6"/>
    <w:rsid w:val="281573ED"/>
    <w:rsid w:val="282073DF"/>
    <w:rsid w:val="286F58AB"/>
    <w:rsid w:val="2889659C"/>
    <w:rsid w:val="28AC2F62"/>
    <w:rsid w:val="28CE372B"/>
    <w:rsid w:val="28F9286B"/>
    <w:rsid w:val="290276F5"/>
    <w:rsid w:val="2916341D"/>
    <w:rsid w:val="291E22D1"/>
    <w:rsid w:val="29257B04"/>
    <w:rsid w:val="2927562A"/>
    <w:rsid w:val="294C1D8A"/>
    <w:rsid w:val="296050BF"/>
    <w:rsid w:val="29804D3A"/>
    <w:rsid w:val="299F78B6"/>
    <w:rsid w:val="29AA0009"/>
    <w:rsid w:val="29AC3D81"/>
    <w:rsid w:val="29B63C82"/>
    <w:rsid w:val="29D357B2"/>
    <w:rsid w:val="29DD218D"/>
    <w:rsid w:val="29F86FC6"/>
    <w:rsid w:val="2A004A26"/>
    <w:rsid w:val="2A0E2346"/>
    <w:rsid w:val="2A552F76"/>
    <w:rsid w:val="2A614B6C"/>
    <w:rsid w:val="2A6F54DA"/>
    <w:rsid w:val="2A790107"/>
    <w:rsid w:val="2A8C44B8"/>
    <w:rsid w:val="2ACA31E0"/>
    <w:rsid w:val="2B4D3342"/>
    <w:rsid w:val="2B5E554F"/>
    <w:rsid w:val="2BA80578"/>
    <w:rsid w:val="2BBD1BDA"/>
    <w:rsid w:val="2BD82015"/>
    <w:rsid w:val="2BE52BEC"/>
    <w:rsid w:val="2BF17634"/>
    <w:rsid w:val="2C3016CB"/>
    <w:rsid w:val="2C3D33B6"/>
    <w:rsid w:val="2C414C55"/>
    <w:rsid w:val="2C4C35F9"/>
    <w:rsid w:val="2C5F157F"/>
    <w:rsid w:val="2C6E531E"/>
    <w:rsid w:val="2C7212B2"/>
    <w:rsid w:val="2C8608B9"/>
    <w:rsid w:val="2CAB6572"/>
    <w:rsid w:val="2CB35427"/>
    <w:rsid w:val="2CB74F17"/>
    <w:rsid w:val="2CD431F9"/>
    <w:rsid w:val="2CF41F02"/>
    <w:rsid w:val="2D0A159E"/>
    <w:rsid w:val="2D1F0CCE"/>
    <w:rsid w:val="2D7C1CBC"/>
    <w:rsid w:val="2D8172D3"/>
    <w:rsid w:val="2D9D410D"/>
    <w:rsid w:val="2DB740DB"/>
    <w:rsid w:val="2DCD42C6"/>
    <w:rsid w:val="2DE51610"/>
    <w:rsid w:val="2E1819E5"/>
    <w:rsid w:val="2E1D0423"/>
    <w:rsid w:val="2E431003"/>
    <w:rsid w:val="2E556795"/>
    <w:rsid w:val="2E84707B"/>
    <w:rsid w:val="2E861045"/>
    <w:rsid w:val="2E917667"/>
    <w:rsid w:val="2EBC4A66"/>
    <w:rsid w:val="2ECE0A3B"/>
    <w:rsid w:val="2EDD678B"/>
    <w:rsid w:val="2EE10029"/>
    <w:rsid w:val="2EE21D39"/>
    <w:rsid w:val="2EEB0EA8"/>
    <w:rsid w:val="2F0D0E1E"/>
    <w:rsid w:val="2F1321AD"/>
    <w:rsid w:val="2F255CF0"/>
    <w:rsid w:val="2F3026B2"/>
    <w:rsid w:val="2F336ED2"/>
    <w:rsid w:val="2F4A2072"/>
    <w:rsid w:val="2F4C1EBE"/>
    <w:rsid w:val="2F5D19C6"/>
    <w:rsid w:val="2F77273B"/>
    <w:rsid w:val="2F791125"/>
    <w:rsid w:val="2F8F217B"/>
    <w:rsid w:val="2F9B0B20"/>
    <w:rsid w:val="2FB41BE1"/>
    <w:rsid w:val="2FC040E2"/>
    <w:rsid w:val="2FC242FE"/>
    <w:rsid w:val="2FC811E9"/>
    <w:rsid w:val="2FD602BF"/>
    <w:rsid w:val="2FFC44A6"/>
    <w:rsid w:val="30247BCE"/>
    <w:rsid w:val="30275F10"/>
    <w:rsid w:val="302A3C52"/>
    <w:rsid w:val="302C1778"/>
    <w:rsid w:val="30676C54"/>
    <w:rsid w:val="30915A7F"/>
    <w:rsid w:val="30BE279B"/>
    <w:rsid w:val="30F02B79"/>
    <w:rsid w:val="30FB781C"/>
    <w:rsid w:val="31264419"/>
    <w:rsid w:val="31330BF0"/>
    <w:rsid w:val="313E3733"/>
    <w:rsid w:val="3150593A"/>
    <w:rsid w:val="31570A76"/>
    <w:rsid w:val="31576CC8"/>
    <w:rsid w:val="315A3E2A"/>
    <w:rsid w:val="31666F0B"/>
    <w:rsid w:val="3195334D"/>
    <w:rsid w:val="319677F1"/>
    <w:rsid w:val="31992E3D"/>
    <w:rsid w:val="31BC6B2B"/>
    <w:rsid w:val="31C04885"/>
    <w:rsid w:val="31FB58A6"/>
    <w:rsid w:val="320A3D3B"/>
    <w:rsid w:val="323963CE"/>
    <w:rsid w:val="3245350C"/>
    <w:rsid w:val="32676A97"/>
    <w:rsid w:val="32777E7D"/>
    <w:rsid w:val="329D070B"/>
    <w:rsid w:val="32B06690"/>
    <w:rsid w:val="32BD6FFF"/>
    <w:rsid w:val="32C24CC4"/>
    <w:rsid w:val="32C65EB4"/>
    <w:rsid w:val="32E97A95"/>
    <w:rsid w:val="32EB591A"/>
    <w:rsid w:val="32F742BF"/>
    <w:rsid w:val="33040454"/>
    <w:rsid w:val="331309CD"/>
    <w:rsid w:val="331704BD"/>
    <w:rsid w:val="33615BDC"/>
    <w:rsid w:val="339F728B"/>
    <w:rsid w:val="33A06705"/>
    <w:rsid w:val="33B43F5E"/>
    <w:rsid w:val="33DD3477"/>
    <w:rsid w:val="33E02FA5"/>
    <w:rsid w:val="33E2248A"/>
    <w:rsid w:val="33E34843"/>
    <w:rsid w:val="340A0022"/>
    <w:rsid w:val="34272982"/>
    <w:rsid w:val="342F7A89"/>
    <w:rsid w:val="343155AF"/>
    <w:rsid w:val="344057F2"/>
    <w:rsid w:val="34480B4A"/>
    <w:rsid w:val="34586FDF"/>
    <w:rsid w:val="349B3370"/>
    <w:rsid w:val="34A75871"/>
    <w:rsid w:val="34B34216"/>
    <w:rsid w:val="34C957E7"/>
    <w:rsid w:val="34D32B0A"/>
    <w:rsid w:val="34DA79F4"/>
    <w:rsid w:val="34E16FD5"/>
    <w:rsid w:val="35011425"/>
    <w:rsid w:val="35131158"/>
    <w:rsid w:val="351333BE"/>
    <w:rsid w:val="351D0119"/>
    <w:rsid w:val="35215623"/>
    <w:rsid w:val="35365A59"/>
    <w:rsid w:val="355D6BE9"/>
    <w:rsid w:val="358A766C"/>
    <w:rsid w:val="359B6AF0"/>
    <w:rsid w:val="359E4EC6"/>
    <w:rsid w:val="35AB75E3"/>
    <w:rsid w:val="35BF6BEA"/>
    <w:rsid w:val="35D73F34"/>
    <w:rsid w:val="35EB5C31"/>
    <w:rsid w:val="36413AA3"/>
    <w:rsid w:val="366D0530"/>
    <w:rsid w:val="36AB6A2D"/>
    <w:rsid w:val="36B132AF"/>
    <w:rsid w:val="37117919"/>
    <w:rsid w:val="371A057C"/>
    <w:rsid w:val="371F2036"/>
    <w:rsid w:val="37461371"/>
    <w:rsid w:val="3756532C"/>
    <w:rsid w:val="377C21ED"/>
    <w:rsid w:val="378400EB"/>
    <w:rsid w:val="37A97B52"/>
    <w:rsid w:val="37C30C14"/>
    <w:rsid w:val="37C329C2"/>
    <w:rsid w:val="37CA1E02"/>
    <w:rsid w:val="37CA23C1"/>
    <w:rsid w:val="37DE37E1"/>
    <w:rsid w:val="37F0752F"/>
    <w:rsid w:val="381C47C8"/>
    <w:rsid w:val="381D69EA"/>
    <w:rsid w:val="382611A3"/>
    <w:rsid w:val="3828316D"/>
    <w:rsid w:val="38591578"/>
    <w:rsid w:val="385E093C"/>
    <w:rsid w:val="3885478D"/>
    <w:rsid w:val="38A02D03"/>
    <w:rsid w:val="38A722E3"/>
    <w:rsid w:val="38AC16A8"/>
    <w:rsid w:val="38AC78FA"/>
    <w:rsid w:val="38C20ECB"/>
    <w:rsid w:val="38CE5AC2"/>
    <w:rsid w:val="38F75608"/>
    <w:rsid w:val="390659FB"/>
    <w:rsid w:val="39070FD4"/>
    <w:rsid w:val="3922196A"/>
    <w:rsid w:val="3949339B"/>
    <w:rsid w:val="394F0285"/>
    <w:rsid w:val="39557F91"/>
    <w:rsid w:val="396226AE"/>
    <w:rsid w:val="39875C71"/>
    <w:rsid w:val="39AE7622"/>
    <w:rsid w:val="39C24EFB"/>
    <w:rsid w:val="39CD5D7A"/>
    <w:rsid w:val="3A304090"/>
    <w:rsid w:val="3A773948"/>
    <w:rsid w:val="3A961AFC"/>
    <w:rsid w:val="3AA0523C"/>
    <w:rsid w:val="3AF70BD4"/>
    <w:rsid w:val="3AF81008"/>
    <w:rsid w:val="3AFF6407"/>
    <w:rsid w:val="3B293484"/>
    <w:rsid w:val="3B554279"/>
    <w:rsid w:val="3B563EA6"/>
    <w:rsid w:val="3B602C1D"/>
    <w:rsid w:val="3B705762"/>
    <w:rsid w:val="3B9823B7"/>
    <w:rsid w:val="3B9C3C56"/>
    <w:rsid w:val="3B9D79CE"/>
    <w:rsid w:val="3BA96372"/>
    <w:rsid w:val="3BDC6748"/>
    <w:rsid w:val="3BF35840"/>
    <w:rsid w:val="3BFB4020"/>
    <w:rsid w:val="3C08753D"/>
    <w:rsid w:val="3C0C1158"/>
    <w:rsid w:val="3C1E0B0E"/>
    <w:rsid w:val="3C1F1973"/>
    <w:rsid w:val="3C1F3408"/>
    <w:rsid w:val="3C3E4D0D"/>
    <w:rsid w:val="3C4936B2"/>
    <w:rsid w:val="3C885F88"/>
    <w:rsid w:val="3CD43F0B"/>
    <w:rsid w:val="3CE04016"/>
    <w:rsid w:val="3CEF6007"/>
    <w:rsid w:val="3D714C6E"/>
    <w:rsid w:val="3D7529B0"/>
    <w:rsid w:val="3D9A41C5"/>
    <w:rsid w:val="3DA317F3"/>
    <w:rsid w:val="3E0B50C2"/>
    <w:rsid w:val="3E2E2B5F"/>
    <w:rsid w:val="3E38578C"/>
    <w:rsid w:val="3E693B97"/>
    <w:rsid w:val="3E7A3FF6"/>
    <w:rsid w:val="3E815385"/>
    <w:rsid w:val="3E846C23"/>
    <w:rsid w:val="3E976E68"/>
    <w:rsid w:val="3EE826DD"/>
    <w:rsid w:val="3EE85404"/>
    <w:rsid w:val="3F5D36FC"/>
    <w:rsid w:val="3F6031EC"/>
    <w:rsid w:val="3F637FDE"/>
    <w:rsid w:val="3F6D17FE"/>
    <w:rsid w:val="3F8F762D"/>
    <w:rsid w:val="3FB11C9A"/>
    <w:rsid w:val="3FDA11F0"/>
    <w:rsid w:val="3FE060DB"/>
    <w:rsid w:val="3FF619EC"/>
    <w:rsid w:val="3FF676AC"/>
    <w:rsid w:val="40026051"/>
    <w:rsid w:val="400C5122"/>
    <w:rsid w:val="403A57EB"/>
    <w:rsid w:val="40414DCB"/>
    <w:rsid w:val="404E405C"/>
    <w:rsid w:val="405E593D"/>
    <w:rsid w:val="40632F94"/>
    <w:rsid w:val="406E20B4"/>
    <w:rsid w:val="40B1141C"/>
    <w:rsid w:val="40C854ED"/>
    <w:rsid w:val="40F956A6"/>
    <w:rsid w:val="41140732"/>
    <w:rsid w:val="4114428E"/>
    <w:rsid w:val="412546ED"/>
    <w:rsid w:val="41411018"/>
    <w:rsid w:val="421D53C4"/>
    <w:rsid w:val="42240501"/>
    <w:rsid w:val="422E75D1"/>
    <w:rsid w:val="425344E6"/>
    <w:rsid w:val="429F5DD9"/>
    <w:rsid w:val="42B21FB1"/>
    <w:rsid w:val="42BC5F3F"/>
    <w:rsid w:val="42CD4147"/>
    <w:rsid w:val="42ED2FE9"/>
    <w:rsid w:val="430A3B9B"/>
    <w:rsid w:val="431169DD"/>
    <w:rsid w:val="43160791"/>
    <w:rsid w:val="431B1B9B"/>
    <w:rsid w:val="435412BA"/>
    <w:rsid w:val="437473DB"/>
    <w:rsid w:val="438751EB"/>
    <w:rsid w:val="43903D74"/>
    <w:rsid w:val="439107E5"/>
    <w:rsid w:val="43A01E09"/>
    <w:rsid w:val="43AD2778"/>
    <w:rsid w:val="43B71A5C"/>
    <w:rsid w:val="43C348CE"/>
    <w:rsid w:val="43D561DF"/>
    <w:rsid w:val="43DE2931"/>
    <w:rsid w:val="441D5B50"/>
    <w:rsid w:val="443A225E"/>
    <w:rsid w:val="44872FC9"/>
    <w:rsid w:val="44A973E3"/>
    <w:rsid w:val="44C40652"/>
    <w:rsid w:val="44F22B38"/>
    <w:rsid w:val="4508235C"/>
    <w:rsid w:val="4521341D"/>
    <w:rsid w:val="452151CC"/>
    <w:rsid w:val="45322F35"/>
    <w:rsid w:val="456F4713"/>
    <w:rsid w:val="458A4B1F"/>
    <w:rsid w:val="45B95404"/>
    <w:rsid w:val="45BD3146"/>
    <w:rsid w:val="45DD7344"/>
    <w:rsid w:val="45EA7CB3"/>
    <w:rsid w:val="45EC57D9"/>
    <w:rsid w:val="461D3BE5"/>
    <w:rsid w:val="463351B6"/>
    <w:rsid w:val="463C2C40"/>
    <w:rsid w:val="46511AE0"/>
    <w:rsid w:val="466C2476"/>
    <w:rsid w:val="46746524"/>
    <w:rsid w:val="46BA7686"/>
    <w:rsid w:val="46CB53EF"/>
    <w:rsid w:val="47131DF5"/>
    <w:rsid w:val="47264BB4"/>
    <w:rsid w:val="473C62ED"/>
    <w:rsid w:val="47545E09"/>
    <w:rsid w:val="475D6648"/>
    <w:rsid w:val="47633879"/>
    <w:rsid w:val="47797541"/>
    <w:rsid w:val="479C6D8B"/>
    <w:rsid w:val="47A66A19"/>
    <w:rsid w:val="47A80935"/>
    <w:rsid w:val="48054931"/>
    <w:rsid w:val="48117779"/>
    <w:rsid w:val="48362D3C"/>
    <w:rsid w:val="483F4397"/>
    <w:rsid w:val="48583025"/>
    <w:rsid w:val="485E04E5"/>
    <w:rsid w:val="487524B2"/>
    <w:rsid w:val="48C60564"/>
    <w:rsid w:val="48DD3AFF"/>
    <w:rsid w:val="48E00EFA"/>
    <w:rsid w:val="48E56510"/>
    <w:rsid w:val="48FD385A"/>
    <w:rsid w:val="491446BA"/>
    <w:rsid w:val="49543DC1"/>
    <w:rsid w:val="49753E83"/>
    <w:rsid w:val="49755AE6"/>
    <w:rsid w:val="498D1081"/>
    <w:rsid w:val="49A5461D"/>
    <w:rsid w:val="49C820BA"/>
    <w:rsid w:val="49CC30F0"/>
    <w:rsid w:val="49D942C7"/>
    <w:rsid w:val="4A44648C"/>
    <w:rsid w:val="4A6301CB"/>
    <w:rsid w:val="4A69564B"/>
    <w:rsid w:val="4A9D1E6E"/>
    <w:rsid w:val="4AA76173"/>
    <w:rsid w:val="4AAC5537"/>
    <w:rsid w:val="4ABE46B5"/>
    <w:rsid w:val="4AD351BA"/>
    <w:rsid w:val="4B080428"/>
    <w:rsid w:val="4B2B6DA4"/>
    <w:rsid w:val="4B321EE0"/>
    <w:rsid w:val="4B531E57"/>
    <w:rsid w:val="4B614574"/>
    <w:rsid w:val="4B7D226C"/>
    <w:rsid w:val="4BA44460"/>
    <w:rsid w:val="4BBC79FC"/>
    <w:rsid w:val="4BCB7C3F"/>
    <w:rsid w:val="4BD27220"/>
    <w:rsid w:val="4BEA27BB"/>
    <w:rsid w:val="4C3954F1"/>
    <w:rsid w:val="4C3B3017"/>
    <w:rsid w:val="4C455C43"/>
    <w:rsid w:val="4C6D0CF6"/>
    <w:rsid w:val="4C880BAD"/>
    <w:rsid w:val="4CA50490"/>
    <w:rsid w:val="4CB02346"/>
    <w:rsid w:val="4CD9069F"/>
    <w:rsid w:val="4D115B26"/>
    <w:rsid w:val="4D205A92"/>
    <w:rsid w:val="4D381304"/>
    <w:rsid w:val="4D57790D"/>
    <w:rsid w:val="4D5F0F87"/>
    <w:rsid w:val="4DB43081"/>
    <w:rsid w:val="4DBF5582"/>
    <w:rsid w:val="4DC62DB4"/>
    <w:rsid w:val="4DD239E9"/>
    <w:rsid w:val="4DD3292B"/>
    <w:rsid w:val="4DE925E1"/>
    <w:rsid w:val="4DF06083"/>
    <w:rsid w:val="4E0D09E3"/>
    <w:rsid w:val="4E573A0C"/>
    <w:rsid w:val="4E5C7793"/>
    <w:rsid w:val="4E6017B2"/>
    <w:rsid w:val="4E870795"/>
    <w:rsid w:val="4E994A8B"/>
    <w:rsid w:val="4ECA0682"/>
    <w:rsid w:val="4ECA68D4"/>
    <w:rsid w:val="4EDE412D"/>
    <w:rsid w:val="4EE74D90"/>
    <w:rsid w:val="4EF0709E"/>
    <w:rsid w:val="4EF474AD"/>
    <w:rsid w:val="4EFE5602"/>
    <w:rsid w:val="4F283CB4"/>
    <w:rsid w:val="4F4326B3"/>
    <w:rsid w:val="4F5D32A4"/>
    <w:rsid w:val="4F734876"/>
    <w:rsid w:val="4F7F321A"/>
    <w:rsid w:val="4FE036BD"/>
    <w:rsid w:val="4FE34FC1"/>
    <w:rsid w:val="4FE45773"/>
    <w:rsid w:val="4FE63299"/>
    <w:rsid w:val="4FF05EC6"/>
    <w:rsid w:val="50030CD9"/>
    <w:rsid w:val="500F7FF0"/>
    <w:rsid w:val="501035E8"/>
    <w:rsid w:val="50242014"/>
    <w:rsid w:val="503264DF"/>
    <w:rsid w:val="504B75A0"/>
    <w:rsid w:val="50846060"/>
    <w:rsid w:val="50865B9C"/>
    <w:rsid w:val="508B0636"/>
    <w:rsid w:val="509A3FF2"/>
    <w:rsid w:val="50D17AA6"/>
    <w:rsid w:val="50EA6DB9"/>
    <w:rsid w:val="50EF2622"/>
    <w:rsid w:val="51010F51"/>
    <w:rsid w:val="51142088"/>
    <w:rsid w:val="51363DAD"/>
    <w:rsid w:val="51404C2B"/>
    <w:rsid w:val="5144471C"/>
    <w:rsid w:val="51453FF0"/>
    <w:rsid w:val="5176689F"/>
    <w:rsid w:val="51905BB3"/>
    <w:rsid w:val="51B00003"/>
    <w:rsid w:val="51B62952"/>
    <w:rsid w:val="51D35A9F"/>
    <w:rsid w:val="51D75590"/>
    <w:rsid w:val="51F3621E"/>
    <w:rsid w:val="5201260D"/>
    <w:rsid w:val="520E6AD8"/>
    <w:rsid w:val="521A722A"/>
    <w:rsid w:val="523227C6"/>
    <w:rsid w:val="52495D62"/>
    <w:rsid w:val="5251037B"/>
    <w:rsid w:val="52AD32EB"/>
    <w:rsid w:val="52B633F7"/>
    <w:rsid w:val="52E02222"/>
    <w:rsid w:val="52E64B11"/>
    <w:rsid w:val="52ED2B91"/>
    <w:rsid w:val="534C5DCE"/>
    <w:rsid w:val="534F55FA"/>
    <w:rsid w:val="53590226"/>
    <w:rsid w:val="53956558"/>
    <w:rsid w:val="53A33D6B"/>
    <w:rsid w:val="53F1220D"/>
    <w:rsid w:val="54224ABC"/>
    <w:rsid w:val="5429409D"/>
    <w:rsid w:val="543547EF"/>
    <w:rsid w:val="543D36A4"/>
    <w:rsid w:val="545B1420"/>
    <w:rsid w:val="5463135D"/>
    <w:rsid w:val="54656671"/>
    <w:rsid w:val="547215A0"/>
    <w:rsid w:val="547277F2"/>
    <w:rsid w:val="547B111A"/>
    <w:rsid w:val="548117E3"/>
    <w:rsid w:val="549C03CB"/>
    <w:rsid w:val="549F7EBB"/>
    <w:rsid w:val="54C142D5"/>
    <w:rsid w:val="54D56135"/>
    <w:rsid w:val="54F2448F"/>
    <w:rsid w:val="55284354"/>
    <w:rsid w:val="55325E6D"/>
    <w:rsid w:val="55545149"/>
    <w:rsid w:val="55591EDD"/>
    <w:rsid w:val="55852014"/>
    <w:rsid w:val="55937A20"/>
    <w:rsid w:val="559A7000"/>
    <w:rsid w:val="55A41C2D"/>
    <w:rsid w:val="55A57753"/>
    <w:rsid w:val="55D342C0"/>
    <w:rsid w:val="55DF21F3"/>
    <w:rsid w:val="55E74E39"/>
    <w:rsid w:val="55F12998"/>
    <w:rsid w:val="55F83D27"/>
    <w:rsid w:val="55FC6A5E"/>
    <w:rsid w:val="560C77D2"/>
    <w:rsid w:val="560E7CB4"/>
    <w:rsid w:val="561072C2"/>
    <w:rsid w:val="561D378D"/>
    <w:rsid w:val="562543F0"/>
    <w:rsid w:val="56372AA1"/>
    <w:rsid w:val="5639752B"/>
    <w:rsid w:val="563A433F"/>
    <w:rsid w:val="56680EAC"/>
    <w:rsid w:val="567809C3"/>
    <w:rsid w:val="568455BA"/>
    <w:rsid w:val="56A30136"/>
    <w:rsid w:val="56B600CC"/>
    <w:rsid w:val="56CD51B3"/>
    <w:rsid w:val="56E9366F"/>
    <w:rsid w:val="56F049FE"/>
    <w:rsid w:val="56FE6A97"/>
    <w:rsid w:val="57160908"/>
    <w:rsid w:val="575A3DD1"/>
    <w:rsid w:val="579932E7"/>
    <w:rsid w:val="57C57C38"/>
    <w:rsid w:val="57CC7219"/>
    <w:rsid w:val="57D8796C"/>
    <w:rsid w:val="57FB365A"/>
    <w:rsid w:val="57FE314A"/>
    <w:rsid w:val="580E15DF"/>
    <w:rsid w:val="584C2108"/>
    <w:rsid w:val="587B5C8D"/>
    <w:rsid w:val="5889510A"/>
    <w:rsid w:val="58B42764"/>
    <w:rsid w:val="58BA52C3"/>
    <w:rsid w:val="58E6255C"/>
    <w:rsid w:val="59210E20"/>
    <w:rsid w:val="5934151A"/>
    <w:rsid w:val="59351500"/>
    <w:rsid w:val="59442F30"/>
    <w:rsid w:val="598B6C60"/>
    <w:rsid w:val="59A3044D"/>
    <w:rsid w:val="59E36A9C"/>
    <w:rsid w:val="59E97F64"/>
    <w:rsid w:val="59F14F80"/>
    <w:rsid w:val="5A0013FC"/>
    <w:rsid w:val="5A0031AA"/>
    <w:rsid w:val="5A101373"/>
    <w:rsid w:val="5A1E1882"/>
    <w:rsid w:val="5A5A6D5E"/>
    <w:rsid w:val="5A615E58"/>
    <w:rsid w:val="5A6A4AC7"/>
    <w:rsid w:val="5A7C4F26"/>
    <w:rsid w:val="5A84219A"/>
    <w:rsid w:val="5A897643"/>
    <w:rsid w:val="5A9378D7"/>
    <w:rsid w:val="5AAE70AA"/>
    <w:rsid w:val="5ACB1A0A"/>
    <w:rsid w:val="5ACC20D7"/>
    <w:rsid w:val="5ACC7530"/>
    <w:rsid w:val="5AE64A95"/>
    <w:rsid w:val="5B2E3D47"/>
    <w:rsid w:val="5B351579"/>
    <w:rsid w:val="5B6F6839"/>
    <w:rsid w:val="5B773940"/>
    <w:rsid w:val="5B7E6A7C"/>
    <w:rsid w:val="5B8F6C27"/>
    <w:rsid w:val="5B9E0ECC"/>
    <w:rsid w:val="5BAA7C01"/>
    <w:rsid w:val="5BCA725C"/>
    <w:rsid w:val="5BE55837"/>
    <w:rsid w:val="5C175C15"/>
    <w:rsid w:val="5C1C63A8"/>
    <w:rsid w:val="5C4946BC"/>
    <w:rsid w:val="5C6C2D78"/>
    <w:rsid w:val="5C7D6D34"/>
    <w:rsid w:val="5C7F0CFE"/>
    <w:rsid w:val="5C930305"/>
    <w:rsid w:val="5CB12E81"/>
    <w:rsid w:val="5CCB5CF1"/>
    <w:rsid w:val="5CDC6150"/>
    <w:rsid w:val="5CE1534A"/>
    <w:rsid w:val="5CEE7C31"/>
    <w:rsid w:val="5D0B2591"/>
    <w:rsid w:val="5D246CC2"/>
    <w:rsid w:val="5D347D3A"/>
    <w:rsid w:val="5D504448"/>
    <w:rsid w:val="5D69550A"/>
    <w:rsid w:val="5D9F2CDA"/>
    <w:rsid w:val="5DAA3B58"/>
    <w:rsid w:val="5DAD189A"/>
    <w:rsid w:val="5DC50992"/>
    <w:rsid w:val="5E010F3E"/>
    <w:rsid w:val="5E0944BB"/>
    <w:rsid w:val="5E96386E"/>
    <w:rsid w:val="5EBC3C8B"/>
    <w:rsid w:val="5EE96902"/>
    <w:rsid w:val="5EEB4428"/>
    <w:rsid w:val="5EF07EF4"/>
    <w:rsid w:val="5EFD5F0A"/>
    <w:rsid w:val="5F356467"/>
    <w:rsid w:val="5F4955F3"/>
    <w:rsid w:val="5F577D10"/>
    <w:rsid w:val="5F585836"/>
    <w:rsid w:val="5F7A39FE"/>
    <w:rsid w:val="5F860D1E"/>
    <w:rsid w:val="5F893C41"/>
    <w:rsid w:val="5FAB005C"/>
    <w:rsid w:val="5FB54A36"/>
    <w:rsid w:val="5FB94527"/>
    <w:rsid w:val="5FC13EA7"/>
    <w:rsid w:val="5FDB0BAF"/>
    <w:rsid w:val="5FE86BBA"/>
    <w:rsid w:val="5FF13CC0"/>
    <w:rsid w:val="601259E5"/>
    <w:rsid w:val="602B6AA7"/>
    <w:rsid w:val="608C1C3B"/>
    <w:rsid w:val="60B116A2"/>
    <w:rsid w:val="60D84E80"/>
    <w:rsid w:val="60E01B91"/>
    <w:rsid w:val="611D1A4C"/>
    <w:rsid w:val="6155027F"/>
    <w:rsid w:val="616E30EF"/>
    <w:rsid w:val="61821A3C"/>
    <w:rsid w:val="618F621F"/>
    <w:rsid w:val="61AC7CD3"/>
    <w:rsid w:val="620A1069"/>
    <w:rsid w:val="6217637C"/>
    <w:rsid w:val="6248647B"/>
    <w:rsid w:val="62BF005B"/>
    <w:rsid w:val="62C466C8"/>
    <w:rsid w:val="62D13935"/>
    <w:rsid w:val="62D81168"/>
    <w:rsid w:val="62F45876"/>
    <w:rsid w:val="63027F93"/>
    <w:rsid w:val="63180091"/>
    <w:rsid w:val="632225B3"/>
    <w:rsid w:val="632227A2"/>
    <w:rsid w:val="63495BC1"/>
    <w:rsid w:val="637F15E3"/>
    <w:rsid w:val="638E7A78"/>
    <w:rsid w:val="6397692D"/>
    <w:rsid w:val="63AE2EC7"/>
    <w:rsid w:val="63BF5E84"/>
    <w:rsid w:val="63CF256B"/>
    <w:rsid w:val="63DD0CDE"/>
    <w:rsid w:val="63F975E8"/>
    <w:rsid w:val="63FB79D0"/>
    <w:rsid w:val="64063AB3"/>
    <w:rsid w:val="640B2A07"/>
    <w:rsid w:val="642D54E3"/>
    <w:rsid w:val="645111D2"/>
    <w:rsid w:val="64763B09"/>
    <w:rsid w:val="6486074F"/>
    <w:rsid w:val="64D31594"/>
    <w:rsid w:val="64F102BF"/>
    <w:rsid w:val="652524CF"/>
    <w:rsid w:val="652A1A23"/>
    <w:rsid w:val="654E5711"/>
    <w:rsid w:val="65554CF2"/>
    <w:rsid w:val="65556AA0"/>
    <w:rsid w:val="655A5E64"/>
    <w:rsid w:val="655B566C"/>
    <w:rsid w:val="658C6270"/>
    <w:rsid w:val="65907AD8"/>
    <w:rsid w:val="65C77BFA"/>
    <w:rsid w:val="65CB4FB4"/>
    <w:rsid w:val="65E120E1"/>
    <w:rsid w:val="660B715E"/>
    <w:rsid w:val="66210017"/>
    <w:rsid w:val="665B5ADC"/>
    <w:rsid w:val="66666353"/>
    <w:rsid w:val="667E2026"/>
    <w:rsid w:val="66846F11"/>
    <w:rsid w:val="66886A01"/>
    <w:rsid w:val="668D04BB"/>
    <w:rsid w:val="66930C04"/>
    <w:rsid w:val="66B12615"/>
    <w:rsid w:val="66B141AA"/>
    <w:rsid w:val="66B35C73"/>
    <w:rsid w:val="66E3632D"/>
    <w:rsid w:val="66F21E1A"/>
    <w:rsid w:val="6716400D"/>
    <w:rsid w:val="671E7365"/>
    <w:rsid w:val="6736682F"/>
    <w:rsid w:val="673D5A3D"/>
    <w:rsid w:val="674C076E"/>
    <w:rsid w:val="67564D51"/>
    <w:rsid w:val="67662E07"/>
    <w:rsid w:val="678056D4"/>
    <w:rsid w:val="67874F0A"/>
    <w:rsid w:val="679316CB"/>
    <w:rsid w:val="67BF28F6"/>
    <w:rsid w:val="68064081"/>
    <w:rsid w:val="68264723"/>
    <w:rsid w:val="683F7593"/>
    <w:rsid w:val="68662D72"/>
    <w:rsid w:val="688558EE"/>
    <w:rsid w:val="688651C2"/>
    <w:rsid w:val="68AF296B"/>
    <w:rsid w:val="68B94714"/>
    <w:rsid w:val="68C52A7D"/>
    <w:rsid w:val="68F025D6"/>
    <w:rsid w:val="693D1D24"/>
    <w:rsid w:val="69401815"/>
    <w:rsid w:val="69431305"/>
    <w:rsid w:val="6951757E"/>
    <w:rsid w:val="697A4B6F"/>
    <w:rsid w:val="69A475E1"/>
    <w:rsid w:val="69B83AA1"/>
    <w:rsid w:val="69D02B99"/>
    <w:rsid w:val="69E55F18"/>
    <w:rsid w:val="69EB1780"/>
    <w:rsid w:val="69F5653D"/>
    <w:rsid w:val="6A312657"/>
    <w:rsid w:val="6A6E5F0E"/>
    <w:rsid w:val="6A8614A9"/>
    <w:rsid w:val="6A902328"/>
    <w:rsid w:val="6A9C6F1F"/>
    <w:rsid w:val="6AB778B5"/>
    <w:rsid w:val="6ABA55F7"/>
    <w:rsid w:val="6ABC4ECB"/>
    <w:rsid w:val="6AD20B92"/>
    <w:rsid w:val="6AE14931"/>
    <w:rsid w:val="6AE461D0"/>
    <w:rsid w:val="6B19056F"/>
    <w:rsid w:val="6B2667E8"/>
    <w:rsid w:val="6B321631"/>
    <w:rsid w:val="6B730E18"/>
    <w:rsid w:val="6B8F0831"/>
    <w:rsid w:val="6B99520C"/>
    <w:rsid w:val="6B9D6AAA"/>
    <w:rsid w:val="6BAF2C82"/>
    <w:rsid w:val="6BB107A8"/>
    <w:rsid w:val="6BBB1626"/>
    <w:rsid w:val="6BCB7ABB"/>
    <w:rsid w:val="6C117498"/>
    <w:rsid w:val="6C1F3963"/>
    <w:rsid w:val="6C256AA0"/>
    <w:rsid w:val="6C6D2921"/>
    <w:rsid w:val="6C832144"/>
    <w:rsid w:val="6C8532BF"/>
    <w:rsid w:val="6C88002E"/>
    <w:rsid w:val="6CE10C19"/>
    <w:rsid w:val="6CE150BD"/>
    <w:rsid w:val="6D143C1E"/>
    <w:rsid w:val="6D2D20B0"/>
    <w:rsid w:val="6D30394E"/>
    <w:rsid w:val="6D325918"/>
    <w:rsid w:val="6D3671B7"/>
    <w:rsid w:val="6D4F320D"/>
    <w:rsid w:val="6D57537F"/>
    <w:rsid w:val="6D5B35A8"/>
    <w:rsid w:val="6D7C6B93"/>
    <w:rsid w:val="6D836174"/>
    <w:rsid w:val="6D9C0FE4"/>
    <w:rsid w:val="6DA57E98"/>
    <w:rsid w:val="6DC26C9C"/>
    <w:rsid w:val="6DC2717F"/>
    <w:rsid w:val="6DCC0641"/>
    <w:rsid w:val="6DCE5641"/>
    <w:rsid w:val="6DE57884"/>
    <w:rsid w:val="6E072901"/>
    <w:rsid w:val="6E5B49FB"/>
    <w:rsid w:val="6E661D1D"/>
    <w:rsid w:val="6EC32CCC"/>
    <w:rsid w:val="6EE07CD7"/>
    <w:rsid w:val="6EEA3674"/>
    <w:rsid w:val="6EFC1D3A"/>
    <w:rsid w:val="6F1B52A9"/>
    <w:rsid w:val="6F213E96"/>
    <w:rsid w:val="6F312EAD"/>
    <w:rsid w:val="6F3516F0"/>
    <w:rsid w:val="6F7A7103"/>
    <w:rsid w:val="6F9C351D"/>
    <w:rsid w:val="6FC37221"/>
    <w:rsid w:val="6FDD1AB0"/>
    <w:rsid w:val="6FE56C72"/>
    <w:rsid w:val="6FF0075C"/>
    <w:rsid w:val="6FF2313D"/>
    <w:rsid w:val="6FFB46E7"/>
    <w:rsid w:val="70131A31"/>
    <w:rsid w:val="70207CAA"/>
    <w:rsid w:val="70384FF4"/>
    <w:rsid w:val="708F1039"/>
    <w:rsid w:val="70A62EDD"/>
    <w:rsid w:val="70B666DB"/>
    <w:rsid w:val="70BF0F14"/>
    <w:rsid w:val="70C44AD9"/>
    <w:rsid w:val="70C920F0"/>
    <w:rsid w:val="70CE7706"/>
    <w:rsid w:val="70CF34F5"/>
    <w:rsid w:val="71445C1A"/>
    <w:rsid w:val="714B0D57"/>
    <w:rsid w:val="714D2D21"/>
    <w:rsid w:val="715C7408"/>
    <w:rsid w:val="71950224"/>
    <w:rsid w:val="719941B8"/>
    <w:rsid w:val="71A16BC9"/>
    <w:rsid w:val="71AF7537"/>
    <w:rsid w:val="71E116BB"/>
    <w:rsid w:val="71E76CD1"/>
    <w:rsid w:val="71EC42E8"/>
    <w:rsid w:val="71FD4747"/>
    <w:rsid w:val="720A0C12"/>
    <w:rsid w:val="722F4B1D"/>
    <w:rsid w:val="723F4D5F"/>
    <w:rsid w:val="723F6B0D"/>
    <w:rsid w:val="7251239D"/>
    <w:rsid w:val="72563E57"/>
    <w:rsid w:val="72564B99"/>
    <w:rsid w:val="72604CD6"/>
    <w:rsid w:val="72750D64"/>
    <w:rsid w:val="72933146"/>
    <w:rsid w:val="72964253"/>
    <w:rsid w:val="72AE3C93"/>
    <w:rsid w:val="72B1108D"/>
    <w:rsid w:val="72C11704"/>
    <w:rsid w:val="72C139C6"/>
    <w:rsid w:val="72F01BB6"/>
    <w:rsid w:val="73025471"/>
    <w:rsid w:val="730F15F2"/>
    <w:rsid w:val="73216213"/>
    <w:rsid w:val="73337CF4"/>
    <w:rsid w:val="734B6EAC"/>
    <w:rsid w:val="73577E87"/>
    <w:rsid w:val="737F73DD"/>
    <w:rsid w:val="73B2330F"/>
    <w:rsid w:val="73B47087"/>
    <w:rsid w:val="73D72D76"/>
    <w:rsid w:val="73F76F74"/>
    <w:rsid w:val="740D6797"/>
    <w:rsid w:val="7420296E"/>
    <w:rsid w:val="744C1E62"/>
    <w:rsid w:val="74534AF2"/>
    <w:rsid w:val="746A5998"/>
    <w:rsid w:val="746C2525"/>
    <w:rsid w:val="749E3893"/>
    <w:rsid w:val="74A5181A"/>
    <w:rsid w:val="74CE23CA"/>
    <w:rsid w:val="74D84FF7"/>
    <w:rsid w:val="74E53270"/>
    <w:rsid w:val="750D1F31"/>
    <w:rsid w:val="751B4EE4"/>
    <w:rsid w:val="751F6782"/>
    <w:rsid w:val="75436915"/>
    <w:rsid w:val="75457920"/>
    <w:rsid w:val="75526B58"/>
    <w:rsid w:val="75610B49"/>
    <w:rsid w:val="75630D65"/>
    <w:rsid w:val="75695C4F"/>
    <w:rsid w:val="757C2E60"/>
    <w:rsid w:val="757D16FB"/>
    <w:rsid w:val="758D7B90"/>
    <w:rsid w:val="75B61AC7"/>
    <w:rsid w:val="75BF14D2"/>
    <w:rsid w:val="75C80BC8"/>
    <w:rsid w:val="75D164B8"/>
    <w:rsid w:val="75D27C98"/>
    <w:rsid w:val="75F83B2E"/>
    <w:rsid w:val="75FB71EF"/>
    <w:rsid w:val="7604134D"/>
    <w:rsid w:val="7634625D"/>
    <w:rsid w:val="763D14D8"/>
    <w:rsid w:val="764C7A4B"/>
    <w:rsid w:val="765468FF"/>
    <w:rsid w:val="76661B74"/>
    <w:rsid w:val="766A6123"/>
    <w:rsid w:val="76760624"/>
    <w:rsid w:val="76A265F9"/>
    <w:rsid w:val="76FF4ABD"/>
    <w:rsid w:val="77183DD1"/>
    <w:rsid w:val="77283DE4"/>
    <w:rsid w:val="774D57C2"/>
    <w:rsid w:val="775545EE"/>
    <w:rsid w:val="775F730A"/>
    <w:rsid w:val="77626DFA"/>
    <w:rsid w:val="776B1184"/>
    <w:rsid w:val="776D5ECB"/>
    <w:rsid w:val="77712422"/>
    <w:rsid w:val="77AE0291"/>
    <w:rsid w:val="77F959B0"/>
    <w:rsid w:val="7812701B"/>
    <w:rsid w:val="7840713B"/>
    <w:rsid w:val="787C544D"/>
    <w:rsid w:val="787D213D"/>
    <w:rsid w:val="78816041"/>
    <w:rsid w:val="789C2C49"/>
    <w:rsid w:val="78D37FAF"/>
    <w:rsid w:val="78D65BEF"/>
    <w:rsid w:val="795529A1"/>
    <w:rsid w:val="79982FA7"/>
    <w:rsid w:val="79B3393D"/>
    <w:rsid w:val="79D15A74"/>
    <w:rsid w:val="79D20267"/>
    <w:rsid w:val="79D264B9"/>
    <w:rsid w:val="79DA536E"/>
    <w:rsid w:val="79E93803"/>
    <w:rsid w:val="79EB30D7"/>
    <w:rsid w:val="7A0128FA"/>
    <w:rsid w:val="7A0917AF"/>
    <w:rsid w:val="7A1E525A"/>
    <w:rsid w:val="7A291E51"/>
    <w:rsid w:val="7A603AC5"/>
    <w:rsid w:val="7A707A80"/>
    <w:rsid w:val="7A7C4677"/>
    <w:rsid w:val="7A861051"/>
    <w:rsid w:val="7A886B78"/>
    <w:rsid w:val="7AAC0AB8"/>
    <w:rsid w:val="7AE91D0C"/>
    <w:rsid w:val="7AFD57B8"/>
    <w:rsid w:val="7B203504"/>
    <w:rsid w:val="7B2965AD"/>
    <w:rsid w:val="7B4F73D3"/>
    <w:rsid w:val="7B5F5B2A"/>
    <w:rsid w:val="7B5F7507"/>
    <w:rsid w:val="7B8A62FB"/>
    <w:rsid w:val="7B8B2DC3"/>
    <w:rsid w:val="7BB12F84"/>
    <w:rsid w:val="7BEE7C3E"/>
    <w:rsid w:val="7BF30969"/>
    <w:rsid w:val="7C122B9D"/>
    <w:rsid w:val="7C1A5EF5"/>
    <w:rsid w:val="7C2B2BE7"/>
    <w:rsid w:val="7C484FBB"/>
    <w:rsid w:val="7C6B04FF"/>
    <w:rsid w:val="7CC60111"/>
    <w:rsid w:val="7CE309DD"/>
    <w:rsid w:val="7D180687"/>
    <w:rsid w:val="7D33726F"/>
    <w:rsid w:val="7D366093"/>
    <w:rsid w:val="7D431126"/>
    <w:rsid w:val="7D6E474B"/>
    <w:rsid w:val="7D717D97"/>
    <w:rsid w:val="7D8D09BB"/>
    <w:rsid w:val="7D9341B1"/>
    <w:rsid w:val="7DBD4D8A"/>
    <w:rsid w:val="7DE62533"/>
    <w:rsid w:val="7DF05160"/>
    <w:rsid w:val="7DFC3B04"/>
    <w:rsid w:val="7DFD162B"/>
    <w:rsid w:val="7E3F39F1"/>
    <w:rsid w:val="7E4B18DA"/>
    <w:rsid w:val="7E4C1ACF"/>
    <w:rsid w:val="7E5A03C1"/>
    <w:rsid w:val="7E663674"/>
    <w:rsid w:val="7E81400A"/>
    <w:rsid w:val="7F0F1A81"/>
    <w:rsid w:val="7F215DAF"/>
    <w:rsid w:val="7F2B78A0"/>
    <w:rsid w:val="7F5636E8"/>
    <w:rsid w:val="7F56511D"/>
    <w:rsid w:val="7F7D6EC7"/>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qFormat="1"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spacing w:before="280" w:after="290" w:line="377" w:lineRule="auto"/>
      <w:outlineLvl w:val="3"/>
    </w:pPr>
    <w:rPr>
      <w:rFonts w:ascii="Arial" w:hAnsi="Arial" w:eastAsia="黑体"/>
      <w:b/>
      <w:bCs/>
      <w:kern w:val="0"/>
      <w:sz w:val="28"/>
      <w:szCs w:val="28"/>
    </w:rPr>
  </w:style>
  <w:style w:type="character" w:default="1" w:styleId="19">
    <w:name w:val="Default Paragraph Font"/>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5">
    <w:name w:val="Normal Indent"/>
    <w:basedOn w:val="1"/>
    <w:unhideWhenUsed/>
    <w:qFormat/>
    <w:uiPriority w:val="0"/>
    <w:pPr>
      <w:ind w:firstLine="420" w:firstLineChars="200"/>
    </w:pPr>
  </w:style>
  <w:style w:type="paragraph" w:styleId="6">
    <w:name w:val="annotation text"/>
    <w:basedOn w:val="1"/>
    <w:unhideWhenUsed/>
    <w:qFormat/>
    <w:uiPriority w:val="99"/>
    <w:pPr>
      <w:jc w:val="left"/>
    </w:pPr>
    <w:rPr>
      <w:kern w:val="0"/>
      <w:sz w:val="20"/>
      <w:szCs w:val="24"/>
    </w:rPr>
  </w:style>
  <w:style w:type="paragraph" w:styleId="7">
    <w:name w:val="Body Text 3"/>
    <w:basedOn w:val="1"/>
    <w:next w:val="1"/>
    <w:qFormat/>
    <w:uiPriority w:val="0"/>
    <w:pPr>
      <w:spacing w:after="120" w:afterLines="0"/>
    </w:pPr>
    <w:rPr>
      <w:sz w:val="16"/>
      <w:szCs w:val="16"/>
    </w:rPr>
  </w:style>
  <w:style w:type="paragraph" w:styleId="8">
    <w:name w:val="Body Text"/>
    <w:basedOn w:val="1"/>
    <w:next w:val="1"/>
    <w:qFormat/>
    <w:uiPriority w:val="0"/>
    <w:rPr>
      <w:rFonts w:ascii="楷体_GB2312" w:hAnsi="Arial" w:eastAsia="楷体_GB2312"/>
      <w:kern w:val="0"/>
      <w:sz w:val="28"/>
      <w:szCs w:val="28"/>
    </w:rPr>
  </w:style>
  <w:style w:type="paragraph" w:styleId="9">
    <w:name w:val="Body Text Indent"/>
    <w:basedOn w:val="1"/>
    <w:qFormat/>
    <w:uiPriority w:val="0"/>
    <w:pPr>
      <w:spacing w:line="720" w:lineRule="exact"/>
      <w:ind w:firstLine="734" w:firstLineChars="262"/>
    </w:pPr>
    <w:rPr>
      <w:sz w:val="28"/>
    </w:rPr>
  </w:style>
  <w:style w:type="paragraph" w:styleId="10">
    <w:name w:val="Plain Text"/>
    <w:basedOn w:val="1"/>
    <w:qFormat/>
    <w:uiPriority w:val="0"/>
    <w:rPr>
      <w:rFonts w:ascii="宋体" w:hAnsi="Courier New"/>
      <w:kern w:val="0"/>
      <w:sz w:val="20"/>
      <w:szCs w:val="21"/>
    </w:rPr>
  </w:style>
  <w:style w:type="paragraph" w:styleId="11">
    <w:name w:val="footer"/>
    <w:basedOn w:val="1"/>
    <w:unhideWhenUsed/>
    <w:qFormat/>
    <w:uiPriority w:val="99"/>
    <w:pPr>
      <w:tabs>
        <w:tab w:val="center" w:pos="4153"/>
        <w:tab w:val="right" w:pos="8306"/>
      </w:tabs>
      <w:snapToGrid w:val="0"/>
      <w:jc w:val="left"/>
    </w:pPr>
    <w:rPr>
      <w:kern w:val="0"/>
      <w:sz w:val="18"/>
      <w:szCs w:val="18"/>
    </w:rPr>
  </w:style>
  <w:style w:type="paragraph" w:styleId="12">
    <w:name w:val="header"/>
    <w:basedOn w:val="1"/>
    <w:unhideWhenUsed/>
    <w:qFormat/>
    <w:uiPriority w:val="99"/>
    <w:pPr>
      <w:pBdr>
        <w:bottom w:val="single" w:color="auto" w:sz="6" w:space="1"/>
      </w:pBdr>
      <w:tabs>
        <w:tab w:val="center" w:pos="4153"/>
        <w:tab w:val="right" w:pos="8306"/>
      </w:tabs>
      <w:jc w:val="center"/>
    </w:pPr>
    <w:rPr>
      <w:sz w:val="18"/>
      <w:szCs w:val="18"/>
    </w:rPr>
  </w:style>
  <w:style w:type="paragraph" w:styleId="13">
    <w:name w:val="toc 1"/>
    <w:basedOn w:val="1"/>
    <w:next w:val="1"/>
    <w:unhideWhenUsed/>
    <w:qFormat/>
    <w:uiPriority w:val="39"/>
    <w:rPr>
      <w:rFonts w:ascii="Calibri" w:hAnsi="Calibri"/>
    </w:rPr>
  </w:style>
  <w:style w:type="paragraph" w:styleId="14">
    <w:name w:val="toc 9"/>
    <w:basedOn w:val="1"/>
    <w:next w:val="1"/>
    <w:semiHidden/>
    <w:qFormat/>
    <w:uiPriority w:val="0"/>
    <w:pPr>
      <w:ind w:left="3360" w:leftChars="1600"/>
    </w:pPr>
  </w:style>
  <w:style w:type="paragraph" w:styleId="15">
    <w:name w:val="Normal (Web)"/>
    <w:basedOn w:val="1"/>
    <w:unhideWhenUsed/>
    <w:qFormat/>
    <w:uiPriority w:val="0"/>
    <w:pPr>
      <w:jc w:val="left"/>
    </w:pPr>
    <w:rPr>
      <w:rFonts w:ascii="Calibri" w:hAnsi="Calibri"/>
      <w:sz w:val="24"/>
      <w:szCs w:val="24"/>
    </w:rPr>
  </w:style>
  <w:style w:type="paragraph" w:styleId="16">
    <w:name w:val="Body Text First Indent 2"/>
    <w:basedOn w:val="9"/>
    <w:unhideWhenUsed/>
    <w:qFormat/>
    <w:uiPriority w:val="99"/>
    <w:pPr>
      <w:ind w:firstLine="420" w:firstLineChars="200"/>
    </w:pPr>
  </w:style>
  <w:style w:type="table" w:styleId="18">
    <w:name w:val="Table Grid"/>
    <w:basedOn w:val="17"/>
    <w:qFormat/>
    <w:uiPriority w:val="0"/>
    <w:pPr>
      <w:widowControl w:val="0"/>
      <w:jc w:val="both"/>
    </w:pPr>
    <w:tblPr>
      <w:tblCellMar>
        <w:top w:w="0" w:type="dxa"/>
        <w:left w:w="108" w:type="dxa"/>
        <w:bottom w:w="0" w:type="dxa"/>
        <w:right w:w="108" w:type="dxa"/>
      </w:tblCellMar>
    </w:tblPr>
  </w:style>
  <w:style w:type="character" w:styleId="20">
    <w:name w:val="Strong"/>
    <w:qFormat/>
    <w:uiPriority w:val="0"/>
    <w:rPr>
      <w:b/>
    </w:rPr>
  </w:style>
  <w:style w:type="paragraph" w:customStyle="1" w:styleId="21">
    <w:name w:val="正文（缩进）"/>
    <w:basedOn w:val="1"/>
    <w:next w:val="22"/>
    <w:qFormat/>
    <w:uiPriority w:val="0"/>
    <w:pPr>
      <w:ind w:firstLine="480" w:firstLineChars="200"/>
    </w:pPr>
  </w:style>
  <w:style w:type="paragraph" w:customStyle="1" w:styleId="22">
    <w:name w:val="Char Char Char Char Char Char Char Char Char"/>
    <w:basedOn w:val="1"/>
    <w:next w:val="23"/>
    <w:qFormat/>
    <w:uiPriority w:val="99"/>
    <w:pPr>
      <w:ind w:left="360" w:firstLine="5784"/>
    </w:pPr>
  </w:style>
  <w:style w:type="paragraph" w:customStyle="1" w:styleId="23">
    <w:name w:val="正文文本 21"/>
    <w:basedOn w:val="1"/>
    <w:next w:val="24"/>
    <w:qFormat/>
    <w:uiPriority w:val="99"/>
    <w:pPr>
      <w:widowControl/>
      <w:autoSpaceDE w:val="0"/>
      <w:autoSpaceDN w:val="0"/>
      <w:ind w:left="720" w:firstLine="5680"/>
    </w:pPr>
  </w:style>
  <w:style w:type="paragraph" w:customStyle="1" w:styleId="24">
    <w:name w:val="默认段落字体 Para Char Char Char Char Char Char Char"/>
    <w:basedOn w:val="1"/>
    <w:next w:val="25"/>
    <w:qFormat/>
    <w:uiPriority w:val="99"/>
    <w:pPr>
      <w:ind w:firstLine="200" w:firstLineChars="200"/>
    </w:pPr>
    <w:rPr>
      <w:rFonts w:cs="Arial"/>
    </w:rPr>
  </w:style>
  <w:style w:type="paragraph" w:customStyle="1" w:styleId="25">
    <w:name w:val="样式 首行缩进:  2 字符"/>
    <w:basedOn w:val="1"/>
    <w:next w:val="26"/>
    <w:qFormat/>
    <w:uiPriority w:val="99"/>
    <w:pPr>
      <w:spacing w:line="360" w:lineRule="auto"/>
      <w:ind w:left="480" w:firstLine="5856"/>
    </w:pPr>
  </w:style>
  <w:style w:type="paragraph" w:customStyle="1" w:styleId="26">
    <w:name w:val="样式 段后: 0.25 行"/>
    <w:basedOn w:val="1"/>
    <w:next w:val="27"/>
    <w:qFormat/>
    <w:uiPriority w:val="99"/>
    <w:pPr>
      <w:widowControl/>
      <w:spacing w:line="300" w:lineRule="auto"/>
      <w:ind w:left="420" w:firstLine="5796"/>
    </w:pPr>
  </w:style>
  <w:style w:type="paragraph" w:customStyle="1" w:styleId="27">
    <w:name w:val="正文 New New New New New New New New New New New New New New"/>
    <w:next w:val="14"/>
    <w:qFormat/>
    <w:uiPriority w:val="99"/>
    <w:pPr>
      <w:widowControl w:val="0"/>
      <w:ind w:firstLine="2048"/>
      <w:jc w:val="both"/>
    </w:pPr>
    <w:rPr>
      <w:rFonts w:ascii="Calibri" w:hAnsi="Calibri" w:eastAsia="宋体" w:cs="Times New Roman"/>
      <w:lang w:val="en-US" w:eastAsia="zh-CN" w:bidi="ar-SA"/>
    </w:rPr>
  </w:style>
  <w:style w:type="paragraph" w:customStyle="1" w:styleId="28">
    <w:name w:val="纯文本1"/>
    <w:basedOn w:val="1"/>
    <w:qFormat/>
    <w:uiPriority w:val="99"/>
    <w:rPr>
      <w:rFonts w:ascii="宋体" w:hAnsi="Courier New"/>
      <w:sz w:val="20"/>
      <w:szCs w:val="21"/>
    </w:rPr>
  </w:style>
  <w:style w:type="paragraph" w:customStyle="1" w:styleId="29">
    <w:name w:val="普通正文"/>
    <w:basedOn w:val="30"/>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30">
    <w:name w:val="正文11"/>
    <w:next w:val="31"/>
    <w:qFormat/>
    <w:uiPriority w:val="0"/>
    <w:pPr>
      <w:widowControl w:val="0"/>
      <w:jc w:val="both"/>
    </w:pPr>
    <w:rPr>
      <w:rFonts w:ascii="Calibri" w:hAnsi="Calibri" w:eastAsia="宋体" w:cs="Times New Roman"/>
      <w:sz w:val="21"/>
      <w:szCs w:val="21"/>
      <w:lang w:val="en-US" w:eastAsia="zh-CN" w:bidi="ar-SA"/>
    </w:rPr>
  </w:style>
  <w:style w:type="paragraph" w:customStyle="1" w:styleId="31">
    <w:name w:val="正文首行缩进 21"/>
    <w:basedOn w:val="32"/>
    <w:qFormat/>
    <w:uiPriority w:val="0"/>
    <w:pPr>
      <w:ind w:firstLine="420"/>
    </w:pPr>
    <w:rPr>
      <w:sz w:val="20"/>
    </w:rPr>
  </w:style>
  <w:style w:type="paragraph" w:customStyle="1" w:styleId="32">
    <w:name w:val="正文文本缩进1"/>
    <w:basedOn w:val="30"/>
    <w:next w:val="33"/>
    <w:qFormat/>
    <w:uiPriority w:val="0"/>
    <w:pPr>
      <w:spacing w:line="400" w:lineRule="exact"/>
      <w:ind w:firstLine="540"/>
    </w:pPr>
    <w:rPr>
      <w:sz w:val="24"/>
    </w:rPr>
  </w:style>
  <w:style w:type="paragraph" w:customStyle="1" w:styleId="33">
    <w:name w:val="寄信人地址1"/>
    <w:basedOn w:val="30"/>
    <w:qFormat/>
    <w:uiPriority w:val="0"/>
    <w:rPr>
      <w:rFonts w:ascii="Arial" w:hAnsi="Arial"/>
    </w:rPr>
  </w:style>
  <w:style w:type="paragraph" w:customStyle="1" w:styleId="34">
    <w:name w:val="首行缩进"/>
    <w:basedOn w:val="1"/>
    <w:qFormat/>
    <w:uiPriority w:val="0"/>
    <w:pPr>
      <w:ind w:firstLine="480" w:firstLineChars="200"/>
    </w:pPr>
    <w:rPr>
      <w:szCs w:val="20"/>
      <w:lang w:val="zh-CN"/>
    </w:rPr>
  </w:style>
  <w:style w:type="paragraph" w:customStyle="1" w:styleId="35">
    <w:name w:val="列出段落1"/>
    <w:basedOn w:val="1"/>
    <w:qFormat/>
    <w:uiPriority w:val="0"/>
    <w:pPr>
      <w:ind w:firstLine="420" w:firstLineChars="200"/>
    </w:pPr>
    <w:rPr>
      <w:rFonts w:ascii="Times New Roman" w:hAnsi="Times New Roman"/>
      <w:kern w:val="0"/>
      <w:sz w:val="20"/>
      <w:szCs w:val="24"/>
    </w:rPr>
  </w:style>
  <w:style w:type="paragraph" w:customStyle="1" w:styleId="36">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styleId="37">
    <w:name w:val="List Paragraph"/>
    <w:basedOn w:val="1"/>
    <w:unhideWhenUsed/>
    <w:qFormat/>
    <w:uiPriority w:val="99"/>
    <w:pPr>
      <w:ind w:firstLine="420" w:firstLineChars="200"/>
    </w:pPr>
  </w:style>
  <w:style w:type="character" w:customStyle="1" w:styleId="38">
    <w:name w:val="NormalCharacter"/>
    <w:qFormat/>
    <w:uiPriority w:val="0"/>
  </w:style>
  <w:style w:type="paragraph" w:customStyle="1" w:styleId="39">
    <w:name w:val="null3"/>
    <w:hidden/>
    <w:qFormat/>
    <w:uiPriority w:val="0"/>
    <w:rPr>
      <w:rFonts w:hint="eastAsia" w:asciiTheme="minorHAnsi" w:hAnsiTheme="minorHAnsi" w:eastAsiaTheme="minorEastAsia" w:cstheme="minorBidi"/>
      <w:lang w:val="en-US" w:eastAsia="zh-Hans"/>
    </w:rPr>
  </w:style>
  <w:style w:type="paragraph" w:customStyle="1" w:styleId="40">
    <w:name w:val="Table Paragraph"/>
    <w:basedOn w:val="1"/>
    <w:qFormat/>
    <w:uiPriority w:val="1"/>
    <w:pPr>
      <w:autoSpaceDE w:val="0"/>
      <w:autoSpaceDN w:val="0"/>
      <w:jc w:val="left"/>
    </w:pPr>
    <w:rPr>
      <w:rFonts w:ascii="宋体" w:hAnsi="宋体" w:cs="宋体"/>
      <w:kern w:val="0"/>
      <w:sz w:val="22"/>
      <w:lang w:val="zh-CN" w:bidi="zh-CN"/>
    </w:rPr>
  </w:style>
  <w:style w:type="paragraph" w:customStyle="1" w:styleId="41">
    <w:name w:val="正文1"/>
    <w:basedOn w:val="1"/>
    <w:next w:val="42"/>
    <w:qFormat/>
    <w:uiPriority w:val="0"/>
    <w:pPr>
      <w:spacing w:line="360" w:lineRule="atLeast"/>
      <w:jc w:val="left"/>
    </w:pPr>
    <w:rPr>
      <w:rFonts w:ascii="宋体" w:cs="Arial"/>
      <w:sz w:val="24"/>
      <w:szCs w:val="20"/>
    </w:rPr>
  </w:style>
  <w:style w:type="paragraph" w:customStyle="1" w:styleId="42">
    <w:name w:val="正文文本1"/>
    <w:basedOn w:val="41"/>
    <w:next w:val="43"/>
    <w:qFormat/>
    <w:uiPriority w:val="0"/>
    <w:pPr>
      <w:spacing w:after="120"/>
    </w:pPr>
    <w:rPr>
      <w:lang w:eastAsia="en-US"/>
    </w:rPr>
  </w:style>
  <w:style w:type="paragraph" w:customStyle="1" w:styleId="43">
    <w:name w:val="一级条标题"/>
    <w:basedOn w:val="44"/>
    <w:next w:val="45"/>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44">
    <w:name w:val="章标题"/>
    <w:next w:val="1"/>
    <w:qFormat/>
    <w:uiPriority w:val="0"/>
    <w:pPr>
      <w:tabs>
        <w:tab w:val="left" w:pos="810"/>
        <w:tab w:val="left" w:pos="1265"/>
      </w:tabs>
      <w:spacing w:before="50" w:after="50"/>
      <w:ind w:left="810" w:hanging="810"/>
      <w:jc w:val="both"/>
      <w:outlineLvl w:val="1"/>
    </w:pPr>
    <w:rPr>
      <w:rFonts w:hint="default" w:ascii="黑体" w:hAnsi="Calibri" w:eastAsia="黑体" w:cs="Times New Roman"/>
      <w:sz w:val="21"/>
      <w:szCs w:val="22"/>
      <w:lang w:val="en-US" w:eastAsia="zh-CN" w:bidi="ar-SA"/>
    </w:rPr>
  </w:style>
  <w:style w:type="paragraph" w:customStyle="1" w:styleId="45">
    <w:name w:val="段"/>
    <w:basedOn w:val="41"/>
    <w:next w:val="1"/>
    <w:qFormat/>
    <w:uiPriority w:val="0"/>
    <w:pPr>
      <w:widowControl/>
      <w:ind w:firstLine="200"/>
    </w:pPr>
    <w:rPr>
      <w:sz w:val="20"/>
    </w:rPr>
  </w:style>
  <w:style w:type="paragraph" w:customStyle="1" w:styleId="46">
    <w:name w:val="正文_0"/>
    <w:next w:val="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21793</Words>
  <Characters>23242</Characters>
  <Lines>0</Lines>
  <Paragraphs>0</Paragraphs>
  <TotalTime>45</TotalTime>
  <ScaleCrop>false</ScaleCrop>
  <LinksUpToDate>false</LinksUpToDate>
  <CharactersWithSpaces>23925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2024-12-13T08:09:00Z</dcterms:created>
  <dc:creator>^_^旋旋转转*^_^*</dc:creator>
  <cp:lastModifiedBy>空白</cp:lastModifiedBy>
  <dcterms:modified xsi:type="dcterms:W3CDTF">2026-07-16T06:08:26Z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05FAEA67F4BB4EF78C66262770A16B92_11</vt:lpwstr>
  </property>
  <property fmtid="{D5CDD505-2E9C-101B-9397-08002B2CF9AE}" pid="4" name="KSOTemplateDocerSaveRecord">
    <vt:lpwstr>eyJoZGlkIjoiMmI3OWQzZjA3MTA1OTM5NWVjNDc1NmE3ZTNjM2ExMTAiLCJ1c2VySWQiOiI2MjMwOTM4NTMifQ==</vt:lpwstr>
  </property>
</Properties>
</file>