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FDD21">
      <w:pPr>
        <w:jc w:val="right"/>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VCCGDLCS-2026263号</w:t>
      </w:r>
    </w:p>
    <w:p w14:paraId="0F1BCC78">
      <w:pPr>
        <w:jc w:val="left"/>
        <w:rPr>
          <w:b/>
          <w:bCs/>
          <w:color w:val="auto"/>
          <w:sz w:val="36"/>
          <w:highlight w:val="none"/>
        </w:rPr>
      </w:pPr>
    </w:p>
    <w:p w14:paraId="7664FFB0">
      <w:pPr>
        <w:jc w:val="center"/>
        <w:rPr>
          <w:rFonts w:hint="eastAsia"/>
          <w:b/>
          <w:bCs/>
          <w:color w:val="auto"/>
          <w:sz w:val="36"/>
          <w:highlight w:val="none"/>
          <w:lang w:eastAsia="zh-CN"/>
        </w:rPr>
      </w:pPr>
      <w:r>
        <w:rPr>
          <w:rFonts w:hint="eastAsia"/>
          <w:b/>
          <w:bCs/>
          <w:color w:val="auto"/>
          <w:sz w:val="36"/>
          <w:highlight w:val="none"/>
          <w:lang w:eastAsia="zh-CN"/>
        </w:rPr>
        <w:t>扬州大学附属医院</w:t>
      </w:r>
    </w:p>
    <w:p w14:paraId="0B30DFDC">
      <w:pPr>
        <w:jc w:val="center"/>
        <w:rPr>
          <w:rFonts w:hint="eastAsia"/>
          <w:b/>
          <w:bCs/>
          <w:color w:val="auto"/>
          <w:sz w:val="36"/>
          <w:highlight w:val="none"/>
          <w:lang w:eastAsia="zh-CN"/>
        </w:rPr>
      </w:pPr>
      <w:r>
        <w:rPr>
          <w:rFonts w:hint="eastAsia"/>
          <w:b/>
          <w:bCs/>
          <w:color w:val="auto"/>
          <w:sz w:val="36"/>
          <w:highlight w:val="none"/>
          <w:lang w:eastAsia="zh-CN"/>
        </w:rPr>
        <w:t>科教综合楼</w:t>
      </w:r>
      <w:r>
        <w:rPr>
          <w:rFonts w:hint="eastAsia"/>
          <w:b/>
          <w:bCs/>
          <w:color w:val="auto"/>
          <w:sz w:val="36"/>
          <w:highlight w:val="none"/>
          <w:lang w:val="en-US" w:eastAsia="zh-CN"/>
        </w:rPr>
        <w:t>医学</w:t>
      </w:r>
      <w:r>
        <w:rPr>
          <w:rFonts w:hint="eastAsia"/>
          <w:b/>
          <w:bCs/>
          <w:color w:val="auto"/>
          <w:sz w:val="36"/>
          <w:highlight w:val="none"/>
          <w:lang w:eastAsia="zh-CN"/>
        </w:rPr>
        <w:t>检验科</w:t>
      </w:r>
      <w:r>
        <w:rPr>
          <w:rFonts w:hint="eastAsia"/>
          <w:b/>
          <w:bCs/>
          <w:color w:val="auto"/>
          <w:sz w:val="36"/>
          <w:highlight w:val="none"/>
          <w:lang w:val="en-US" w:eastAsia="zh-CN"/>
        </w:rPr>
        <w:t>设置实验室门关</w:t>
      </w:r>
      <w:r>
        <w:rPr>
          <w:rFonts w:hint="eastAsia"/>
          <w:b/>
          <w:bCs/>
          <w:color w:val="auto"/>
          <w:sz w:val="36"/>
          <w:highlight w:val="none"/>
          <w:lang w:eastAsia="zh-CN"/>
        </w:rPr>
        <w:t>项目</w:t>
      </w:r>
    </w:p>
    <w:p w14:paraId="7C86E6C3">
      <w:pPr>
        <w:jc w:val="center"/>
        <w:rPr>
          <w:b/>
          <w:bCs/>
          <w:color w:val="auto"/>
          <w:sz w:val="36"/>
          <w:highlight w:val="none"/>
        </w:rPr>
      </w:pPr>
      <w:r>
        <w:rPr>
          <w:b/>
          <w:bCs/>
          <w:color w:val="auto"/>
          <w:sz w:val="36"/>
          <w:highlight w:val="none"/>
        </w:rPr>
        <w:t>竞争性磋商文件</w:t>
      </w:r>
    </w:p>
    <w:p w14:paraId="3AC2319B">
      <w:pPr>
        <w:jc w:val="center"/>
        <w:rPr>
          <w:color w:val="auto"/>
          <w:sz w:val="36"/>
          <w:highlight w:val="none"/>
        </w:rPr>
      </w:pPr>
    </w:p>
    <w:p w14:paraId="46800F59">
      <w:pPr>
        <w:jc w:val="center"/>
        <w:rPr>
          <w:color w:val="auto"/>
          <w:sz w:val="36"/>
          <w:highlight w:val="none"/>
        </w:rPr>
      </w:pPr>
      <w:r>
        <w:rPr>
          <w:rFonts w:hint="eastAsia"/>
          <w:color w:val="auto"/>
          <w:sz w:val="36"/>
          <w:highlight w:val="none"/>
        </w:rPr>
        <w:drawing>
          <wp:inline distT="0" distB="0" distL="114300" distR="114300">
            <wp:extent cx="5481955" cy="4156075"/>
            <wp:effectExtent l="0" t="0" r="4445"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stretch>
                      <a:fillRect/>
                    </a:stretch>
                  </pic:blipFill>
                  <pic:spPr>
                    <a:xfrm>
                      <a:off x="0" y="0"/>
                      <a:ext cx="5481955" cy="4156075"/>
                    </a:xfrm>
                    <a:prstGeom prst="rect">
                      <a:avLst/>
                    </a:prstGeom>
                  </pic:spPr>
                </pic:pic>
              </a:graphicData>
            </a:graphic>
          </wp:inline>
        </w:drawing>
      </w:r>
    </w:p>
    <w:p w14:paraId="407F4C79">
      <w:pPr>
        <w:jc w:val="center"/>
        <w:rPr>
          <w:color w:val="auto"/>
          <w:sz w:val="36"/>
          <w:highlight w:val="none"/>
        </w:rPr>
      </w:pPr>
    </w:p>
    <w:p w14:paraId="290DF53B">
      <w:pPr>
        <w:rPr>
          <w:color w:val="auto"/>
          <w:highlight w:val="none"/>
        </w:rPr>
      </w:pPr>
    </w:p>
    <w:p w14:paraId="1DA8E299">
      <w:pPr>
        <w:jc w:val="center"/>
        <w:rPr>
          <w:rFonts w:hint="eastAsia" w:eastAsia="宋体"/>
          <w:b/>
          <w:bCs/>
          <w:color w:val="auto"/>
          <w:sz w:val="36"/>
          <w:highlight w:val="none"/>
          <w:lang w:eastAsia="zh-CN"/>
        </w:rPr>
      </w:pPr>
      <w:r>
        <w:rPr>
          <w:rFonts w:hint="eastAsia"/>
          <w:b/>
          <w:bCs/>
          <w:color w:val="auto"/>
          <w:sz w:val="36"/>
          <w:highlight w:val="none"/>
          <w:lang w:eastAsia="zh-CN"/>
        </w:rPr>
        <w:t>江苏唯诚建设咨询有限公司</w:t>
      </w:r>
    </w:p>
    <w:p w14:paraId="5F330365">
      <w:pPr>
        <w:jc w:val="center"/>
        <w:rPr>
          <w:b/>
          <w:bCs/>
          <w:color w:val="auto"/>
          <w:sz w:val="36"/>
          <w:highlight w:val="none"/>
        </w:rPr>
      </w:pPr>
      <w:r>
        <w:rPr>
          <w:b/>
          <w:bCs/>
          <w:color w:val="auto"/>
          <w:sz w:val="36"/>
          <w:highlight w:val="none"/>
        </w:rPr>
        <w:t>202</w:t>
      </w:r>
      <w:r>
        <w:rPr>
          <w:rFonts w:hint="eastAsia"/>
          <w:b/>
          <w:bCs/>
          <w:color w:val="auto"/>
          <w:sz w:val="36"/>
          <w:highlight w:val="none"/>
        </w:rPr>
        <w:t>6</w:t>
      </w:r>
      <w:r>
        <w:rPr>
          <w:b/>
          <w:bCs/>
          <w:color w:val="auto"/>
          <w:sz w:val="36"/>
          <w:highlight w:val="none"/>
        </w:rPr>
        <w:t>年</w:t>
      </w:r>
      <w:r>
        <w:rPr>
          <w:rFonts w:hint="eastAsia"/>
          <w:b/>
          <w:bCs/>
          <w:color w:val="auto"/>
          <w:sz w:val="36"/>
          <w:highlight w:val="none"/>
          <w:lang w:val="en-US" w:eastAsia="zh-CN"/>
        </w:rPr>
        <w:t>8</w:t>
      </w:r>
      <w:r>
        <w:rPr>
          <w:b/>
          <w:bCs/>
          <w:color w:val="auto"/>
          <w:sz w:val="36"/>
          <w:highlight w:val="none"/>
        </w:rPr>
        <w:t>月</w:t>
      </w:r>
    </w:p>
    <w:p w14:paraId="182AF769">
      <w:pPr>
        <w:jc w:val="center"/>
        <w:rPr>
          <w:b/>
          <w:bCs/>
          <w:color w:val="auto"/>
          <w:sz w:val="36"/>
          <w:highlight w:val="none"/>
        </w:rPr>
      </w:pPr>
    </w:p>
    <w:p w14:paraId="303B120B">
      <w:pPr>
        <w:spacing w:line="360" w:lineRule="auto"/>
        <w:jc w:val="center"/>
        <w:rPr>
          <w:color w:val="auto"/>
          <w:sz w:val="44"/>
          <w:szCs w:val="44"/>
          <w:highlight w:val="none"/>
        </w:rPr>
        <w:sectPr>
          <w:headerReference r:id="rId3" w:type="default"/>
          <w:footerReference r:id="rId4" w:type="default"/>
          <w:pgSz w:w="11906" w:h="16838"/>
          <w:pgMar w:top="1440" w:right="1417" w:bottom="1440" w:left="1417" w:header="1191" w:footer="992" w:gutter="0"/>
          <w:pgNumType w:fmt="numberInDash"/>
          <w:cols w:space="720" w:num="1"/>
          <w:docGrid w:type="lines" w:linePitch="319" w:charSpace="0"/>
        </w:sectPr>
      </w:pPr>
    </w:p>
    <w:p w14:paraId="22EAAF36">
      <w:pPr>
        <w:spacing w:line="360" w:lineRule="auto"/>
        <w:jc w:val="center"/>
        <w:rPr>
          <w:color w:val="auto"/>
          <w:sz w:val="44"/>
          <w:szCs w:val="44"/>
          <w:highlight w:val="none"/>
        </w:rPr>
      </w:pPr>
      <w:r>
        <w:rPr>
          <w:color w:val="auto"/>
          <w:sz w:val="44"/>
          <w:szCs w:val="44"/>
          <w:highlight w:val="none"/>
        </w:rPr>
        <w:t>目 录</w:t>
      </w:r>
    </w:p>
    <w:p w14:paraId="00A3454C">
      <w:pPr>
        <w:spacing w:line="360" w:lineRule="auto"/>
        <w:jc w:val="center"/>
        <w:rPr>
          <w:color w:val="auto"/>
          <w:sz w:val="32"/>
          <w:highlight w:val="none"/>
        </w:rPr>
      </w:pPr>
    </w:p>
    <w:p w14:paraId="76CC321A">
      <w:pPr>
        <w:pStyle w:val="22"/>
        <w:tabs>
          <w:tab w:val="right" w:leader="dot" w:pos="9072"/>
        </w:tabs>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\f </w:instrText>
      </w:r>
      <w:r>
        <w:rPr>
          <w:color w:val="auto"/>
          <w:sz w:val="28"/>
          <w:szCs w:val="28"/>
          <w:highlight w:val="none"/>
        </w:rPr>
        <w:fldChar w:fldCharType="separate"/>
      </w:r>
      <w:r>
        <w:rPr>
          <w:color w:val="auto"/>
          <w:sz w:val="28"/>
          <w:szCs w:val="28"/>
          <w:highlight w:val="none"/>
        </w:rPr>
        <w:t>第一章</w:t>
      </w:r>
      <w:r>
        <w:rPr>
          <w:rFonts w:hint="eastAsia"/>
          <w:color w:val="auto"/>
          <w:sz w:val="28"/>
          <w:szCs w:val="28"/>
          <w:highlight w:val="none"/>
          <w:lang w:val="en-US" w:eastAsia="zh-CN"/>
        </w:rPr>
        <w:t xml:space="preserve"> </w:t>
      </w:r>
      <w:r>
        <w:rPr>
          <w:color w:val="auto"/>
          <w:sz w:val="28"/>
          <w:szCs w:val="28"/>
          <w:highlight w:val="none"/>
        </w:rPr>
        <w:t>竞争性磋商采购</w:t>
      </w:r>
      <w:r>
        <w:rPr>
          <w:rFonts w:hint="eastAsia"/>
          <w:color w:val="auto"/>
          <w:sz w:val="28"/>
          <w:szCs w:val="28"/>
          <w:highlight w:val="none"/>
        </w:rPr>
        <w:t>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_Toc14936 \h </w:instrText>
      </w:r>
      <w:r>
        <w:rPr>
          <w:color w:val="auto"/>
          <w:sz w:val="28"/>
          <w:szCs w:val="28"/>
          <w:highlight w:val="none"/>
        </w:rPr>
        <w:fldChar w:fldCharType="separate"/>
      </w:r>
      <w:r>
        <w:rPr>
          <w:color w:val="auto"/>
          <w:sz w:val="28"/>
          <w:szCs w:val="28"/>
          <w:highlight w:val="none"/>
        </w:rPr>
        <w:t>- 1 -</w:t>
      </w:r>
      <w:r>
        <w:rPr>
          <w:color w:val="auto"/>
          <w:sz w:val="28"/>
          <w:szCs w:val="28"/>
          <w:highlight w:val="none"/>
        </w:rPr>
        <w:fldChar w:fldCharType="end"/>
      </w:r>
    </w:p>
    <w:p w14:paraId="4E8EEA6C">
      <w:pPr>
        <w:pStyle w:val="22"/>
        <w:tabs>
          <w:tab w:val="right" w:leader="dot" w:pos="9072"/>
        </w:tabs>
        <w:rPr>
          <w:color w:val="auto"/>
          <w:sz w:val="28"/>
          <w:szCs w:val="28"/>
          <w:highlight w:val="none"/>
        </w:rPr>
      </w:pPr>
      <w:r>
        <w:rPr>
          <w:color w:val="auto"/>
          <w:sz w:val="28"/>
          <w:szCs w:val="28"/>
          <w:highlight w:val="none"/>
        </w:rPr>
        <w:t>第二章 磋商须知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_Toc22962 \h </w:instrText>
      </w:r>
      <w:r>
        <w:rPr>
          <w:color w:val="auto"/>
          <w:sz w:val="28"/>
          <w:szCs w:val="28"/>
          <w:highlight w:val="none"/>
        </w:rPr>
        <w:fldChar w:fldCharType="separate"/>
      </w:r>
      <w:r>
        <w:rPr>
          <w:color w:val="auto"/>
          <w:sz w:val="28"/>
          <w:szCs w:val="28"/>
          <w:highlight w:val="none"/>
        </w:rPr>
        <w:t>- 4 -</w:t>
      </w:r>
      <w:r>
        <w:rPr>
          <w:color w:val="auto"/>
          <w:sz w:val="28"/>
          <w:szCs w:val="28"/>
          <w:highlight w:val="none"/>
        </w:rPr>
        <w:fldChar w:fldCharType="end"/>
      </w:r>
    </w:p>
    <w:p w14:paraId="4D2A4486">
      <w:pPr>
        <w:pStyle w:val="22"/>
        <w:tabs>
          <w:tab w:val="right" w:leader="dot" w:pos="9072"/>
        </w:tabs>
        <w:rPr>
          <w:color w:val="auto"/>
          <w:sz w:val="28"/>
          <w:szCs w:val="28"/>
          <w:highlight w:val="none"/>
        </w:rPr>
      </w:pPr>
      <w:r>
        <w:rPr>
          <w:color w:val="auto"/>
          <w:sz w:val="28"/>
          <w:szCs w:val="28"/>
          <w:highlight w:val="none"/>
        </w:rPr>
        <w:t>第三章 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_Toc16389 \h </w:instrText>
      </w:r>
      <w:r>
        <w:rPr>
          <w:color w:val="auto"/>
          <w:sz w:val="28"/>
          <w:szCs w:val="28"/>
          <w:highlight w:val="none"/>
        </w:rPr>
        <w:fldChar w:fldCharType="separate"/>
      </w:r>
      <w:r>
        <w:rPr>
          <w:color w:val="auto"/>
          <w:sz w:val="28"/>
          <w:szCs w:val="28"/>
          <w:highlight w:val="none"/>
        </w:rPr>
        <w:t>- 15 -</w:t>
      </w:r>
      <w:r>
        <w:rPr>
          <w:color w:val="auto"/>
          <w:sz w:val="28"/>
          <w:szCs w:val="28"/>
          <w:highlight w:val="none"/>
        </w:rPr>
        <w:fldChar w:fldCharType="end"/>
      </w:r>
    </w:p>
    <w:p w14:paraId="65D1F157">
      <w:pPr>
        <w:pStyle w:val="22"/>
        <w:tabs>
          <w:tab w:val="right" w:leader="dot" w:pos="9072"/>
        </w:tabs>
        <w:rPr>
          <w:color w:val="auto"/>
          <w:sz w:val="28"/>
          <w:szCs w:val="28"/>
          <w:highlight w:val="none"/>
        </w:rPr>
      </w:pPr>
      <w:r>
        <w:rPr>
          <w:color w:val="auto"/>
          <w:sz w:val="28"/>
          <w:szCs w:val="28"/>
          <w:highlight w:val="none"/>
        </w:rPr>
        <w:t>第四章 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_Toc2329 \h </w:instrText>
      </w:r>
      <w:r>
        <w:rPr>
          <w:color w:val="auto"/>
          <w:sz w:val="28"/>
          <w:szCs w:val="28"/>
          <w:highlight w:val="none"/>
        </w:rPr>
        <w:fldChar w:fldCharType="separate"/>
      </w:r>
      <w:r>
        <w:rPr>
          <w:color w:val="auto"/>
          <w:sz w:val="28"/>
          <w:szCs w:val="28"/>
          <w:highlight w:val="none"/>
        </w:rPr>
        <w:t>- 46 -</w:t>
      </w:r>
      <w:r>
        <w:rPr>
          <w:color w:val="auto"/>
          <w:sz w:val="28"/>
          <w:szCs w:val="28"/>
          <w:highlight w:val="none"/>
        </w:rPr>
        <w:fldChar w:fldCharType="end"/>
      </w:r>
    </w:p>
    <w:p w14:paraId="1FD06546">
      <w:pPr>
        <w:pStyle w:val="22"/>
        <w:tabs>
          <w:tab w:val="right" w:leader="dot" w:pos="9072"/>
        </w:tabs>
        <w:rPr>
          <w:color w:val="auto"/>
          <w:sz w:val="28"/>
          <w:szCs w:val="28"/>
          <w:highlight w:val="none"/>
        </w:rPr>
      </w:pPr>
      <w:r>
        <w:rPr>
          <w:color w:val="auto"/>
          <w:sz w:val="28"/>
          <w:szCs w:val="28"/>
          <w:highlight w:val="none"/>
        </w:rPr>
        <w:t>第五章 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_Toc7715 \h </w:instrText>
      </w:r>
      <w:r>
        <w:rPr>
          <w:color w:val="auto"/>
          <w:sz w:val="28"/>
          <w:szCs w:val="28"/>
          <w:highlight w:val="none"/>
        </w:rPr>
        <w:fldChar w:fldCharType="separate"/>
      </w:r>
      <w:r>
        <w:rPr>
          <w:color w:val="auto"/>
          <w:sz w:val="28"/>
          <w:szCs w:val="28"/>
          <w:highlight w:val="none"/>
        </w:rPr>
        <w:t>- 51 -</w:t>
      </w:r>
      <w:r>
        <w:rPr>
          <w:color w:val="auto"/>
          <w:sz w:val="28"/>
          <w:szCs w:val="28"/>
          <w:highlight w:val="none"/>
        </w:rPr>
        <w:fldChar w:fldCharType="end"/>
      </w:r>
    </w:p>
    <w:p w14:paraId="66BAAF5F">
      <w:pPr>
        <w:pStyle w:val="22"/>
        <w:tabs>
          <w:tab w:val="right" w:leader="dot" w:pos="9072"/>
        </w:tabs>
        <w:rPr>
          <w:color w:val="auto"/>
          <w:sz w:val="28"/>
          <w:szCs w:val="28"/>
          <w:highlight w:val="none"/>
        </w:rPr>
      </w:pPr>
      <w:r>
        <w:rPr>
          <w:color w:val="auto"/>
          <w:sz w:val="28"/>
          <w:szCs w:val="28"/>
          <w:highlight w:val="none"/>
        </w:rPr>
        <w:t>第六章 竞争性磋商响应文件格式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_Toc8422 \h </w:instrText>
      </w:r>
      <w:r>
        <w:rPr>
          <w:color w:val="auto"/>
          <w:sz w:val="28"/>
          <w:szCs w:val="28"/>
          <w:highlight w:val="none"/>
        </w:rPr>
        <w:fldChar w:fldCharType="separate"/>
      </w:r>
      <w:r>
        <w:rPr>
          <w:color w:val="auto"/>
          <w:sz w:val="28"/>
          <w:szCs w:val="28"/>
          <w:highlight w:val="none"/>
        </w:rPr>
        <w:t>- 54 -</w:t>
      </w:r>
      <w:r>
        <w:rPr>
          <w:color w:val="auto"/>
          <w:sz w:val="28"/>
          <w:szCs w:val="28"/>
          <w:highlight w:val="none"/>
        </w:rPr>
        <w:fldChar w:fldCharType="end"/>
      </w:r>
    </w:p>
    <w:p w14:paraId="22599B74">
      <w:pPr>
        <w:spacing w:line="360" w:lineRule="auto"/>
        <w:jc w:val="center"/>
        <w:rPr>
          <w:color w:val="auto"/>
          <w:sz w:val="28"/>
          <w:szCs w:val="28"/>
          <w:highlight w:val="none"/>
        </w:rPr>
      </w:pPr>
      <w:r>
        <w:rPr>
          <w:color w:val="auto"/>
          <w:sz w:val="28"/>
          <w:szCs w:val="28"/>
          <w:highlight w:val="none"/>
        </w:rPr>
        <w:fldChar w:fldCharType="end"/>
      </w:r>
      <w:bookmarkStart w:id="0" w:name="_Toc14936"/>
      <w:bookmarkStart w:id="1" w:name="_Toc497145839"/>
    </w:p>
    <w:p w14:paraId="542459C5">
      <w:pPr>
        <w:spacing w:line="360" w:lineRule="auto"/>
        <w:jc w:val="center"/>
        <w:rPr>
          <w:color w:val="auto"/>
          <w:sz w:val="28"/>
          <w:szCs w:val="28"/>
          <w:highlight w:val="none"/>
        </w:rPr>
        <w:sectPr>
          <w:footerReference r:id="rId5" w:type="default"/>
          <w:pgSz w:w="11906" w:h="16838"/>
          <w:pgMar w:top="1440" w:right="1417" w:bottom="1440" w:left="1417" w:header="1191" w:footer="992" w:gutter="0"/>
          <w:pgNumType w:fmt="numberInDash" w:start="1"/>
          <w:cols w:space="720" w:num="1"/>
          <w:docGrid w:type="lines" w:linePitch="319" w:charSpace="0"/>
        </w:sectPr>
      </w:pPr>
    </w:p>
    <w:p w14:paraId="3E46A023">
      <w:pPr>
        <w:spacing w:line="360" w:lineRule="auto"/>
        <w:jc w:val="center"/>
        <w:rPr>
          <w:color w:val="auto"/>
          <w:highlight w:val="none"/>
        </w:rPr>
      </w:pPr>
      <w:r>
        <w:rPr>
          <w:b/>
          <w:bCs/>
          <w:color w:val="auto"/>
          <w:kern w:val="44"/>
          <w:sz w:val="44"/>
          <w:szCs w:val="44"/>
          <w:highlight w:val="none"/>
        </w:rPr>
        <w:t>第一章 竞争性磋商采购</w:t>
      </w:r>
      <w:bookmarkEnd w:id="0"/>
      <w:bookmarkEnd w:id="1"/>
      <w:bookmarkStart w:id="2" w:name="_Toc497145840"/>
      <w:r>
        <w:rPr>
          <w:rFonts w:hint="eastAsia"/>
          <w:b/>
          <w:bCs/>
          <w:color w:val="auto"/>
          <w:kern w:val="44"/>
          <w:sz w:val="44"/>
          <w:szCs w:val="44"/>
          <w:highlight w:val="none"/>
        </w:rPr>
        <w:t>公告</w:t>
      </w:r>
    </w:p>
    <w:p w14:paraId="4C6AC8A3">
      <w:pPr>
        <w:spacing w:line="360" w:lineRule="auto"/>
        <w:ind w:firstLine="420" w:firstLineChars="200"/>
        <w:rPr>
          <w:color w:val="auto"/>
          <w:szCs w:val="21"/>
          <w:highlight w:val="none"/>
        </w:rPr>
      </w:pPr>
      <w:r>
        <w:rPr>
          <w:rFonts w:hint="eastAsia"/>
          <w:color w:val="auto"/>
          <w:szCs w:val="21"/>
          <w:highlight w:val="none"/>
          <w:u w:val="single"/>
          <w:lang w:eastAsia="zh-CN"/>
        </w:rPr>
        <w:t>江苏唯诚建设咨询有限公司</w:t>
      </w:r>
      <w:r>
        <w:rPr>
          <w:color w:val="auto"/>
          <w:szCs w:val="21"/>
          <w:highlight w:val="none"/>
        </w:rPr>
        <w:t>受</w:t>
      </w:r>
      <w:r>
        <w:rPr>
          <w:rFonts w:hint="eastAsia"/>
          <w:color w:val="auto"/>
          <w:szCs w:val="21"/>
          <w:highlight w:val="none"/>
          <w:u w:val="single"/>
        </w:rPr>
        <w:t>扬州大学附属医院</w:t>
      </w:r>
      <w:r>
        <w:rPr>
          <w:color w:val="auto"/>
          <w:szCs w:val="21"/>
          <w:highlight w:val="none"/>
        </w:rPr>
        <w:t>的委托，</w:t>
      </w:r>
      <w:r>
        <w:rPr>
          <w:bCs/>
          <w:color w:val="auto"/>
          <w:szCs w:val="21"/>
          <w:highlight w:val="none"/>
        </w:rPr>
        <w:t>就</w:t>
      </w:r>
      <w:r>
        <w:rPr>
          <w:rFonts w:hint="eastAsia"/>
          <w:bCs/>
          <w:color w:val="auto"/>
          <w:szCs w:val="21"/>
          <w:highlight w:val="none"/>
          <w:u w:val="single"/>
          <w:lang w:eastAsia="zh-CN"/>
        </w:rPr>
        <w:t>扬州大学附属医院科教综合楼</w:t>
      </w:r>
      <w:r>
        <w:rPr>
          <w:rFonts w:hint="eastAsia"/>
          <w:bCs/>
          <w:color w:val="auto"/>
          <w:szCs w:val="21"/>
          <w:highlight w:val="none"/>
          <w:u w:val="single"/>
          <w:lang w:val="en-US" w:eastAsia="zh-CN"/>
        </w:rPr>
        <w:t>医学</w:t>
      </w:r>
      <w:r>
        <w:rPr>
          <w:rFonts w:hint="eastAsia"/>
          <w:bCs/>
          <w:color w:val="auto"/>
          <w:szCs w:val="21"/>
          <w:highlight w:val="none"/>
          <w:u w:val="single"/>
          <w:lang w:eastAsia="zh-CN"/>
        </w:rPr>
        <w:t>检验科</w:t>
      </w:r>
      <w:r>
        <w:rPr>
          <w:rFonts w:hint="eastAsia"/>
          <w:bCs/>
          <w:color w:val="auto"/>
          <w:szCs w:val="21"/>
          <w:highlight w:val="none"/>
          <w:u w:val="single"/>
          <w:lang w:val="en-US" w:eastAsia="zh-CN"/>
        </w:rPr>
        <w:t>设置实验室门关</w:t>
      </w:r>
      <w:r>
        <w:rPr>
          <w:rFonts w:hint="eastAsia"/>
          <w:bCs/>
          <w:color w:val="auto"/>
          <w:szCs w:val="21"/>
          <w:highlight w:val="none"/>
          <w:u w:val="single"/>
          <w:lang w:eastAsia="zh-CN"/>
        </w:rPr>
        <w:t>项目</w:t>
      </w:r>
      <w:r>
        <w:rPr>
          <w:color w:val="auto"/>
          <w:szCs w:val="21"/>
          <w:highlight w:val="none"/>
        </w:rPr>
        <w:t>实施竞争性磋商采购，欢迎符合相关条件的供应商参加磋商。</w:t>
      </w:r>
    </w:p>
    <w:p w14:paraId="4B248BBD">
      <w:pPr>
        <w:spacing w:line="360" w:lineRule="auto"/>
        <w:ind w:firstLine="422" w:firstLineChars="200"/>
        <w:rPr>
          <w:b/>
          <w:color w:val="auto"/>
          <w:szCs w:val="21"/>
          <w:highlight w:val="none"/>
        </w:rPr>
      </w:pPr>
      <w:r>
        <w:rPr>
          <w:b/>
          <w:color w:val="auto"/>
          <w:szCs w:val="21"/>
          <w:highlight w:val="none"/>
        </w:rPr>
        <w:t>一、</w:t>
      </w:r>
      <w:r>
        <w:rPr>
          <w:b/>
          <w:bCs/>
          <w:color w:val="auto"/>
          <w:szCs w:val="21"/>
          <w:highlight w:val="none"/>
        </w:rPr>
        <w:t>采购项目名称</w:t>
      </w:r>
      <w:r>
        <w:rPr>
          <w:b/>
          <w:color w:val="auto"/>
          <w:szCs w:val="21"/>
          <w:highlight w:val="none"/>
        </w:rPr>
        <w:t>及编号</w:t>
      </w:r>
    </w:p>
    <w:p w14:paraId="4FABCC79">
      <w:pPr>
        <w:spacing w:line="360" w:lineRule="auto"/>
        <w:ind w:firstLine="420" w:firstLineChars="200"/>
        <w:rPr>
          <w:rFonts w:hint="eastAsia" w:ascii="宋体" w:hAnsi="宋体" w:cs="宋体"/>
          <w:color w:val="auto"/>
          <w:szCs w:val="21"/>
          <w:highlight w:val="none"/>
          <w:lang w:eastAsia="zh-CN"/>
        </w:rPr>
      </w:pPr>
      <w:r>
        <w:rPr>
          <w:color w:val="auto"/>
          <w:szCs w:val="21"/>
          <w:highlight w:val="none"/>
        </w:rPr>
        <w:t>项目名称：</w:t>
      </w:r>
      <w:r>
        <w:rPr>
          <w:rFonts w:hint="eastAsia" w:ascii="宋体" w:hAnsi="宋体" w:cs="宋体"/>
          <w:color w:val="auto"/>
          <w:szCs w:val="21"/>
          <w:highlight w:val="none"/>
          <w:lang w:eastAsia="zh-CN"/>
        </w:rPr>
        <w:t>科教综合楼</w:t>
      </w:r>
      <w:r>
        <w:rPr>
          <w:rFonts w:hint="eastAsia" w:ascii="宋体" w:hAnsi="宋体" w:cs="宋体"/>
          <w:color w:val="auto"/>
          <w:szCs w:val="21"/>
          <w:highlight w:val="none"/>
          <w:lang w:val="en-US" w:eastAsia="zh-CN"/>
        </w:rPr>
        <w:t>医学</w:t>
      </w:r>
      <w:r>
        <w:rPr>
          <w:rFonts w:hint="eastAsia" w:ascii="宋体" w:hAnsi="宋体" w:cs="宋体"/>
          <w:color w:val="auto"/>
          <w:szCs w:val="21"/>
          <w:highlight w:val="none"/>
          <w:lang w:eastAsia="zh-CN"/>
        </w:rPr>
        <w:t>检验科</w:t>
      </w:r>
      <w:r>
        <w:rPr>
          <w:rFonts w:hint="eastAsia" w:ascii="宋体" w:hAnsi="宋体" w:cs="宋体"/>
          <w:color w:val="auto"/>
          <w:szCs w:val="21"/>
          <w:highlight w:val="none"/>
          <w:lang w:val="en-US" w:eastAsia="zh-CN"/>
        </w:rPr>
        <w:t>设置实验室门关</w:t>
      </w:r>
      <w:r>
        <w:rPr>
          <w:rFonts w:hint="eastAsia" w:ascii="宋体" w:hAnsi="宋体" w:cs="宋体"/>
          <w:color w:val="auto"/>
          <w:szCs w:val="21"/>
          <w:highlight w:val="none"/>
          <w:lang w:eastAsia="zh-CN"/>
        </w:rPr>
        <w:t>项目</w:t>
      </w:r>
    </w:p>
    <w:p w14:paraId="73DE5C8A">
      <w:pPr>
        <w:spacing w:line="360" w:lineRule="auto"/>
        <w:ind w:firstLine="420" w:firstLineChars="200"/>
        <w:rPr>
          <w:color w:val="auto"/>
          <w:szCs w:val="21"/>
          <w:highlight w:val="none"/>
        </w:rPr>
      </w:pPr>
      <w:r>
        <w:rPr>
          <w:rFonts w:hint="eastAsia"/>
          <w:color w:val="auto"/>
          <w:szCs w:val="21"/>
          <w:highlight w:val="none"/>
        </w:rPr>
        <w:t>项目</w:t>
      </w:r>
      <w:r>
        <w:rPr>
          <w:color w:val="auto"/>
          <w:szCs w:val="21"/>
          <w:highlight w:val="none"/>
        </w:rPr>
        <w:t>编号：</w:t>
      </w:r>
      <w:r>
        <w:rPr>
          <w:rFonts w:hint="eastAsia" w:ascii="宋体" w:hAnsi="宋体" w:cs="宋体"/>
          <w:color w:val="auto"/>
          <w:szCs w:val="21"/>
          <w:highlight w:val="none"/>
          <w:lang w:eastAsia="zh-CN"/>
        </w:rPr>
        <w:t>VCCGDLCS-2026263号</w:t>
      </w:r>
    </w:p>
    <w:p w14:paraId="4E2E61C5">
      <w:pPr>
        <w:tabs>
          <w:tab w:val="left" w:pos="900"/>
        </w:tabs>
        <w:spacing w:line="360" w:lineRule="auto"/>
        <w:ind w:firstLine="422" w:firstLineChars="200"/>
        <w:rPr>
          <w:color w:val="auto"/>
          <w:szCs w:val="21"/>
          <w:highlight w:val="none"/>
        </w:rPr>
      </w:pPr>
      <w:r>
        <w:rPr>
          <w:b/>
          <w:bCs/>
          <w:color w:val="auto"/>
          <w:szCs w:val="21"/>
          <w:highlight w:val="none"/>
        </w:rPr>
        <w:t>二、采购项目简要说明及预算金额</w:t>
      </w:r>
    </w:p>
    <w:p w14:paraId="5A15A06B">
      <w:pPr>
        <w:tabs>
          <w:tab w:val="left" w:pos="900"/>
        </w:tabs>
        <w:spacing w:line="360" w:lineRule="auto"/>
        <w:ind w:firstLine="420" w:firstLineChars="200"/>
        <w:rPr>
          <w:color w:val="auto"/>
          <w:szCs w:val="21"/>
          <w:highlight w:val="none"/>
        </w:rPr>
      </w:pPr>
      <w:r>
        <w:rPr>
          <w:bCs/>
          <w:color w:val="auto"/>
          <w:szCs w:val="21"/>
          <w:highlight w:val="none"/>
        </w:rPr>
        <w:t>项目简要说明：</w:t>
      </w:r>
      <w:r>
        <w:rPr>
          <w:rFonts w:hint="eastAsia" w:ascii="宋体" w:hAnsi="宋体"/>
          <w:color w:val="000000"/>
          <w:highlight w:val="none"/>
          <w:lang w:eastAsia="zh-CN"/>
        </w:rPr>
        <w:t>科教综合楼</w:t>
      </w:r>
      <w:r>
        <w:rPr>
          <w:rFonts w:hint="eastAsia" w:ascii="宋体" w:hAnsi="宋体"/>
          <w:color w:val="000000"/>
          <w:highlight w:val="none"/>
          <w:lang w:val="en-US" w:eastAsia="zh-CN"/>
        </w:rPr>
        <w:t>医学</w:t>
      </w:r>
      <w:r>
        <w:rPr>
          <w:rFonts w:hint="eastAsia" w:ascii="宋体" w:hAnsi="宋体"/>
          <w:color w:val="000000"/>
          <w:highlight w:val="none"/>
          <w:lang w:eastAsia="zh-CN"/>
        </w:rPr>
        <w:t>检验科</w:t>
      </w:r>
      <w:r>
        <w:rPr>
          <w:rFonts w:hint="eastAsia" w:ascii="宋体" w:hAnsi="宋体"/>
          <w:color w:val="000000"/>
          <w:highlight w:val="none"/>
          <w:lang w:val="en-US" w:eastAsia="zh-CN"/>
        </w:rPr>
        <w:t>设置实验室门关</w:t>
      </w:r>
      <w:r>
        <w:rPr>
          <w:rFonts w:hint="eastAsia" w:ascii="宋体" w:hAnsi="宋体"/>
          <w:color w:val="000000"/>
          <w:highlight w:val="none"/>
          <w:lang w:eastAsia="zh-CN"/>
        </w:rPr>
        <w:t>项目</w:t>
      </w:r>
      <w:r>
        <w:rPr>
          <w:rFonts w:hint="eastAsia"/>
          <w:bCs/>
          <w:color w:val="auto"/>
          <w:szCs w:val="21"/>
          <w:highlight w:val="none"/>
        </w:rPr>
        <w:t>。详见本磋商文件第四章。</w:t>
      </w:r>
    </w:p>
    <w:p w14:paraId="1A13E536">
      <w:pPr>
        <w:tabs>
          <w:tab w:val="left" w:pos="900"/>
        </w:tabs>
        <w:spacing w:line="360" w:lineRule="auto"/>
        <w:ind w:firstLine="420" w:firstLineChars="200"/>
        <w:rPr>
          <w:color w:val="auto"/>
          <w:szCs w:val="21"/>
          <w:highlight w:val="none"/>
        </w:rPr>
      </w:pPr>
      <w:r>
        <w:rPr>
          <w:color w:val="auto"/>
          <w:szCs w:val="21"/>
          <w:highlight w:val="none"/>
        </w:rPr>
        <w:t>预算金额</w:t>
      </w:r>
      <w:r>
        <w:rPr>
          <w:rFonts w:hint="eastAsia"/>
          <w:color w:val="auto"/>
          <w:szCs w:val="21"/>
          <w:highlight w:val="none"/>
        </w:rPr>
        <w:t>：</w:t>
      </w:r>
      <w:r>
        <w:rPr>
          <w:rFonts w:hint="eastAsia"/>
          <w:color w:val="auto"/>
          <w:szCs w:val="21"/>
          <w:highlight w:val="none"/>
          <w:lang w:val="en-US" w:eastAsia="zh-CN"/>
        </w:rPr>
        <w:t>13.76</w:t>
      </w:r>
      <w:r>
        <w:rPr>
          <w:rFonts w:hint="eastAsia"/>
          <w:color w:val="auto"/>
          <w:szCs w:val="21"/>
          <w:highlight w:val="none"/>
          <w:lang w:eastAsia="zh-CN"/>
        </w:rPr>
        <w:t>万</w:t>
      </w:r>
      <w:r>
        <w:rPr>
          <w:rFonts w:hint="eastAsia"/>
          <w:color w:val="auto"/>
          <w:szCs w:val="21"/>
          <w:highlight w:val="none"/>
        </w:rPr>
        <w:t>元</w:t>
      </w:r>
    </w:p>
    <w:p w14:paraId="56045FBC">
      <w:pPr>
        <w:tabs>
          <w:tab w:val="left" w:pos="900"/>
        </w:tabs>
        <w:spacing w:line="360" w:lineRule="auto"/>
        <w:ind w:firstLine="420" w:firstLineChars="200"/>
        <w:rPr>
          <w:color w:val="auto"/>
          <w:szCs w:val="21"/>
          <w:highlight w:val="none"/>
        </w:rPr>
      </w:pPr>
      <w:r>
        <w:rPr>
          <w:color w:val="auto"/>
          <w:szCs w:val="21"/>
          <w:highlight w:val="none"/>
        </w:rPr>
        <w:t>本项目设定最高限价，最高限价为</w:t>
      </w:r>
      <w:r>
        <w:rPr>
          <w:rFonts w:hint="eastAsia"/>
          <w:color w:val="auto"/>
          <w:szCs w:val="21"/>
          <w:highlight w:val="none"/>
          <w:lang w:val="en-US" w:eastAsia="zh-CN"/>
        </w:rPr>
        <w:t>13.76</w:t>
      </w:r>
      <w:r>
        <w:rPr>
          <w:rFonts w:hint="eastAsia"/>
          <w:color w:val="auto"/>
          <w:szCs w:val="21"/>
          <w:highlight w:val="none"/>
          <w:lang w:eastAsia="zh-CN"/>
        </w:rPr>
        <w:t>万</w:t>
      </w:r>
      <w:r>
        <w:rPr>
          <w:rFonts w:hint="eastAsia"/>
          <w:color w:val="auto"/>
          <w:szCs w:val="21"/>
          <w:highlight w:val="none"/>
        </w:rPr>
        <w:t>元，</w:t>
      </w:r>
      <w:r>
        <w:rPr>
          <w:color w:val="auto"/>
          <w:szCs w:val="21"/>
          <w:highlight w:val="none"/>
        </w:rPr>
        <w:t>报价超过最高限价的为无效报价，按照无效响应处理。</w:t>
      </w:r>
    </w:p>
    <w:p w14:paraId="2193EBD2">
      <w:pPr>
        <w:spacing w:line="360" w:lineRule="auto"/>
        <w:ind w:firstLine="422" w:firstLineChars="200"/>
        <w:rPr>
          <w:rFonts w:hint="eastAsia" w:ascii="宋体" w:hAnsi="宋体" w:eastAsia="宋体" w:cs="Times New Roman"/>
          <w:b/>
          <w:bCs/>
          <w:szCs w:val="21"/>
          <w:highlight w:val="none"/>
        </w:rPr>
      </w:pPr>
      <w:r>
        <w:rPr>
          <w:rFonts w:hint="eastAsia"/>
          <w:b/>
          <w:bCs/>
          <w:color w:val="auto"/>
          <w:szCs w:val="21"/>
          <w:highlight w:val="none"/>
        </w:rPr>
        <w:t>付款方式：成交价即为合同价。</w:t>
      </w:r>
      <w:r>
        <w:rPr>
          <w:rFonts w:hint="eastAsia" w:ascii="宋体" w:hAnsi="宋体" w:eastAsia="宋体" w:cs="Times New Roman"/>
          <w:b/>
          <w:bCs/>
          <w:szCs w:val="21"/>
          <w:highlight w:val="none"/>
        </w:rPr>
        <w:t>工程竣工验收合格付至</w:t>
      </w:r>
      <w:r>
        <w:rPr>
          <w:rFonts w:hint="eastAsia" w:ascii="宋体" w:hAnsi="宋体" w:eastAsia="宋体" w:cs="Times New Roman"/>
          <w:b/>
          <w:bCs/>
          <w:szCs w:val="21"/>
          <w:highlight w:val="none"/>
          <w:lang w:val="en-US" w:eastAsia="zh-CN"/>
        </w:rPr>
        <w:t>合同</w:t>
      </w:r>
      <w:r>
        <w:rPr>
          <w:rFonts w:hint="eastAsia" w:ascii="宋体" w:hAnsi="宋体" w:eastAsia="宋体" w:cs="Times New Roman"/>
          <w:b/>
          <w:bCs/>
          <w:szCs w:val="21"/>
          <w:highlight w:val="none"/>
        </w:rPr>
        <w:t>价</w:t>
      </w:r>
      <w:r>
        <w:rPr>
          <w:rFonts w:hint="eastAsia" w:ascii="宋体" w:hAnsi="宋体" w:eastAsia="宋体" w:cs="Times New Roman"/>
          <w:b/>
          <w:bCs/>
          <w:szCs w:val="21"/>
          <w:highlight w:val="none"/>
          <w:lang w:eastAsia="zh-CN"/>
        </w:rPr>
        <w:t>的</w:t>
      </w:r>
      <w:r>
        <w:rPr>
          <w:rFonts w:hint="eastAsia" w:ascii="宋体" w:hAnsi="宋体" w:eastAsia="宋体" w:cs="Times New Roman"/>
          <w:b/>
          <w:bCs/>
          <w:szCs w:val="21"/>
          <w:highlight w:val="none"/>
        </w:rPr>
        <w:t>80%，</w:t>
      </w:r>
      <w:r>
        <w:rPr>
          <w:rFonts w:hint="eastAsia" w:ascii="宋体" w:hAnsi="宋体" w:cs="Times New Roman"/>
          <w:b/>
          <w:bCs/>
          <w:szCs w:val="21"/>
          <w:highlight w:val="none"/>
          <w:lang w:val="en-US" w:eastAsia="zh-CN"/>
        </w:rPr>
        <w:t>质保</w:t>
      </w:r>
      <w:r>
        <w:rPr>
          <w:rFonts w:hint="eastAsia" w:ascii="宋体" w:hAnsi="宋体" w:eastAsia="宋体" w:cs="Times New Roman"/>
          <w:b/>
          <w:bCs/>
          <w:szCs w:val="21"/>
          <w:highlight w:val="none"/>
        </w:rPr>
        <w:t>期满一年付至合同总价款90%，同时退还履约保证金；</w:t>
      </w:r>
      <w:r>
        <w:rPr>
          <w:rFonts w:hint="eastAsia" w:ascii="宋体" w:hAnsi="宋体" w:cs="Times New Roman"/>
          <w:b/>
          <w:bCs/>
          <w:szCs w:val="21"/>
          <w:highlight w:val="none"/>
          <w:lang w:val="en-US" w:eastAsia="zh-CN"/>
        </w:rPr>
        <w:t>质保</w:t>
      </w:r>
      <w:r>
        <w:rPr>
          <w:rFonts w:hint="eastAsia" w:ascii="宋体" w:hAnsi="宋体" w:eastAsia="宋体" w:cs="Times New Roman"/>
          <w:b/>
          <w:bCs/>
          <w:szCs w:val="21"/>
          <w:highlight w:val="none"/>
        </w:rPr>
        <w:t>期满两年无质量问题支付至合同总价款的95%；</w:t>
      </w:r>
      <w:r>
        <w:rPr>
          <w:rFonts w:hint="eastAsia" w:ascii="宋体" w:hAnsi="宋体" w:cs="Times New Roman"/>
          <w:b/>
          <w:bCs/>
          <w:szCs w:val="21"/>
          <w:highlight w:val="none"/>
          <w:lang w:val="en-US" w:eastAsia="zh-CN"/>
        </w:rPr>
        <w:t>质保</w:t>
      </w:r>
      <w:r>
        <w:rPr>
          <w:rFonts w:hint="eastAsia" w:ascii="宋体" w:hAnsi="宋体" w:eastAsia="宋体" w:cs="Times New Roman"/>
          <w:b/>
          <w:bCs/>
          <w:szCs w:val="21"/>
          <w:highlight w:val="none"/>
        </w:rPr>
        <w:t>期满三年无质量问题付清余款。（以上均不计息）</w:t>
      </w:r>
    </w:p>
    <w:p w14:paraId="0A055C3C">
      <w:pPr>
        <w:spacing w:line="360" w:lineRule="auto"/>
        <w:ind w:firstLine="422" w:firstLineChars="200"/>
        <w:rPr>
          <w:rFonts w:hint="eastAsia"/>
          <w:b/>
          <w:bCs/>
          <w:color w:val="auto"/>
          <w:szCs w:val="21"/>
          <w:highlight w:val="none"/>
        </w:rPr>
      </w:pPr>
      <w:r>
        <w:rPr>
          <w:rFonts w:hint="eastAsia" w:ascii="宋体" w:hAnsi="宋体" w:eastAsia="宋体" w:cs="Times New Roman"/>
          <w:b/>
          <w:bCs/>
          <w:szCs w:val="21"/>
          <w:highlight w:val="none"/>
        </w:rPr>
        <w:t>质保期：</w:t>
      </w:r>
      <w:r>
        <w:rPr>
          <w:rFonts w:hint="eastAsia" w:ascii="宋体" w:hAnsi="宋体" w:eastAsia="宋体" w:cs="Times New Roman"/>
          <w:b/>
          <w:bCs/>
          <w:szCs w:val="21"/>
          <w:highlight w:val="none"/>
          <w:lang w:val="en-US" w:eastAsia="zh-CN"/>
        </w:rPr>
        <w:t>三</w:t>
      </w:r>
      <w:r>
        <w:rPr>
          <w:rFonts w:hint="eastAsia" w:ascii="宋体" w:hAnsi="宋体" w:eastAsia="宋体" w:cs="Times New Roman"/>
          <w:b/>
          <w:bCs/>
          <w:szCs w:val="21"/>
          <w:highlight w:val="none"/>
        </w:rPr>
        <w:t>年</w:t>
      </w:r>
    </w:p>
    <w:p w14:paraId="4787B675">
      <w:pPr>
        <w:spacing w:line="360" w:lineRule="auto"/>
        <w:ind w:firstLine="422" w:firstLineChars="200"/>
        <w:rPr>
          <w:rFonts w:hint="eastAsia"/>
          <w:color w:val="auto"/>
          <w:szCs w:val="21"/>
          <w:highlight w:val="none"/>
        </w:rPr>
      </w:pPr>
      <w:r>
        <w:rPr>
          <w:rFonts w:hint="eastAsia"/>
          <w:b/>
          <w:bCs/>
          <w:color w:val="auto"/>
          <w:szCs w:val="21"/>
          <w:highlight w:val="none"/>
        </w:rPr>
        <w:t>工期：</w:t>
      </w:r>
      <w:r>
        <w:rPr>
          <w:rFonts w:hint="eastAsia"/>
          <w:b/>
          <w:bCs/>
          <w:color w:val="auto"/>
          <w:szCs w:val="21"/>
          <w:highlight w:val="none"/>
          <w:lang w:val="en-US" w:eastAsia="zh-CN"/>
        </w:rPr>
        <w:t>合同签订后30日历天；成交单位施工期间，不得以材料设备等订货周期不够等借口要求延长工期，必须采取各种措施保质保量坚决完成本次项目</w:t>
      </w:r>
    </w:p>
    <w:p w14:paraId="64F4D2D1">
      <w:pPr>
        <w:numPr>
          <w:ilvl w:val="0"/>
          <w:numId w:val="3"/>
        </w:numPr>
        <w:tabs>
          <w:tab w:val="left" w:pos="900"/>
        </w:tabs>
        <w:spacing w:line="360" w:lineRule="auto"/>
        <w:ind w:left="420"/>
        <w:rPr>
          <w:color w:val="auto"/>
          <w:szCs w:val="21"/>
          <w:highlight w:val="none"/>
        </w:rPr>
      </w:pPr>
      <w:r>
        <w:rPr>
          <w:rFonts w:hint="eastAsia" w:ascii="宋体" w:hAnsi="宋体" w:cs="宋体"/>
          <w:b/>
          <w:bCs/>
          <w:color w:val="auto"/>
          <w:szCs w:val="21"/>
          <w:highlight w:val="none"/>
        </w:rPr>
        <w:t>申请人的资格要求</w:t>
      </w:r>
    </w:p>
    <w:p w14:paraId="376202AB">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（一）通用资格要求</w:t>
      </w:r>
    </w:p>
    <w:p w14:paraId="74DD94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1.满足《中华人民共和国政府采购法》第二十二条规定，并提供下列材料：</w:t>
      </w:r>
    </w:p>
    <w:p w14:paraId="073E4283">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1.1 法人或者其他组织的营业执照等证明文件，自然人的身份证明</w:t>
      </w:r>
      <w:r>
        <w:rPr>
          <w:rFonts w:hint="eastAsia" w:ascii="宋体" w:hAnsi="宋体" w:cs="宋体"/>
          <w:b/>
          <w:bCs/>
          <w:i/>
          <w:iCs/>
          <w:color w:val="auto"/>
          <w:szCs w:val="21"/>
          <w:highlight w:val="none"/>
          <w:u w:val="single"/>
        </w:rPr>
        <w:t>（身份证为正、反面）</w:t>
      </w:r>
      <w:r>
        <w:rPr>
          <w:rFonts w:hint="eastAsia" w:ascii="宋体" w:hAnsi="宋体" w:cs="宋体"/>
          <w:i/>
          <w:iCs/>
          <w:color w:val="auto"/>
          <w:szCs w:val="21"/>
          <w:highlight w:val="none"/>
          <w:u w:val="single"/>
        </w:rPr>
        <w:t>；</w:t>
      </w:r>
    </w:p>
    <w:p w14:paraId="36ED389D">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1.2若法定代表人参加磋商的，须提供本人身份证复印件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；若授权代表参加的，须提供《法人授权书》原件和授权代表身份证复印件</w:t>
      </w:r>
      <w:r>
        <w:rPr>
          <w:rFonts w:hint="eastAsia" w:ascii="宋体" w:hAnsi="宋体" w:cs="宋体"/>
          <w:b/>
          <w:bCs/>
          <w:i/>
          <w:iCs/>
          <w:color w:val="auto"/>
          <w:szCs w:val="21"/>
          <w:highlight w:val="none"/>
          <w:u w:val="single"/>
        </w:rPr>
        <w:t>（原件备查）</w:t>
      </w:r>
      <w:r>
        <w:rPr>
          <w:rFonts w:hint="eastAsia" w:ascii="宋体" w:hAnsi="宋体" w:cs="宋体"/>
          <w:i/>
          <w:iCs/>
          <w:color w:val="auto"/>
          <w:szCs w:val="21"/>
          <w:highlight w:val="none"/>
          <w:u w:val="single"/>
        </w:rPr>
        <w:t>；</w:t>
      </w:r>
    </w:p>
    <w:p w14:paraId="09355A7B">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1.3</w:t>
      </w:r>
      <w:r>
        <w:rPr>
          <w:rFonts w:hint="eastAsia" w:ascii="宋体" w:hAnsi="宋体" w:cs="宋体"/>
          <w:i/>
          <w:iCs/>
          <w:color w:val="auto"/>
          <w:szCs w:val="21"/>
          <w:highlight w:val="none"/>
          <w:u w:val="single"/>
          <w:lang w:val="en-US" w:eastAsia="zh-CN"/>
        </w:rPr>
        <w:t xml:space="preserve"> 上一</w:t>
      </w:r>
      <w:r>
        <w:rPr>
          <w:rFonts w:hint="eastAsia" w:ascii="宋体" w:hAnsi="宋体" w:cs="宋体"/>
          <w:i/>
          <w:iCs/>
          <w:color w:val="auto"/>
          <w:szCs w:val="21"/>
          <w:highlight w:val="none"/>
          <w:u w:val="single"/>
        </w:rPr>
        <w:t>年度的财务状况报告（成立不满一年无需提供）；</w:t>
      </w:r>
    </w:p>
    <w:p w14:paraId="7CE3138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1.4依法缴纳税收和社会保障资金的相关材料（提供提交响应文件截止时间前一年内至少一个月依法缴纳税收及缴纳社会保障资金的证明材料。供应商依法享受缓缴、免缴税收、社会保障资金的提供证明材料。）；</w:t>
      </w:r>
    </w:p>
    <w:p w14:paraId="00F590F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1.5具备履行合同所必需的设备和专业技术能力的书面声明；</w:t>
      </w:r>
    </w:p>
    <w:p w14:paraId="323B2470">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1.6参加政府采购活动前3年内在经营活动中没有重大违法记录的书面声明；</w:t>
      </w:r>
    </w:p>
    <w:p w14:paraId="3D9BE364">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1.7供应商信用承诺书。</w:t>
      </w:r>
    </w:p>
    <w:p w14:paraId="34206E5E">
      <w:pPr>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1.8未被“信用中国”网站（www.creditchina.gov.cn）、“中国政府采购网"(www.ccgp.gov.cn)列入失信被执行人、重大税收违法案件当事人名单、政府采购严重违法失信行为记录名单（响应文件中无需提供证明材料）。</w:t>
      </w:r>
    </w:p>
    <w:p w14:paraId="274C8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0BA2FD28">
      <w:pPr>
        <w:adjustRightInd w:val="0"/>
        <w:snapToGrid w:val="0"/>
        <w:spacing w:line="360" w:lineRule="auto"/>
        <w:ind w:firstLine="420" w:firstLineChars="200"/>
        <w:rPr>
          <w:rFonts w:ascii="宋体" w:hAnsi="宋体" w:cs="宋体"/>
          <w:i/>
          <w:iCs/>
          <w:color w:val="auto"/>
          <w:szCs w:val="21"/>
          <w:highlight w:val="none"/>
          <w:u w:val="single"/>
        </w:rPr>
      </w:pPr>
      <w:r>
        <w:rPr>
          <w:rFonts w:hint="eastAsia" w:ascii="宋体" w:hAnsi="宋体" w:cs="宋体"/>
          <w:i/>
          <w:iCs/>
          <w:color w:val="auto"/>
          <w:szCs w:val="21"/>
          <w:highlight w:val="none"/>
          <w:u w:val="single"/>
        </w:rPr>
        <w:t>根据《政府采购促进中小企业发展管理办法》的规定，本项目专门面向中小企业采购，供应商磋商时须提供《中小企业声明函》，《中小企业声明函》不符合要求或未提供的，响应文件无效。</w:t>
      </w:r>
    </w:p>
    <w:p w14:paraId="51BA9A28">
      <w:pPr>
        <w:pStyle w:val="97"/>
        <w:spacing w:line="360" w:lineRule="auto"/>
        <w:ind w:firstLine="420" w:firstLineChars="200"/>
        <w:rPr>
          <w:rFonts w:hAnsi="宋体"/>
          <w:color w:val="auto"/>
          <w:sz w:val="21"/>
          <w:szCs w:val="21"/>
          <w:highlight w:val="none"/>
        </w:rPr>
      </w:pPr>
      <w:r>
        <w:rPr>
          <w:rFonts w:hint="eastAsia" w:hAnsi="宋体"/>
          <w:color w:val="auto"/>
          <w:sz w:val="21"/>
          <w:szCs w:val="21"/>
          <w:highlight w:val="none"/>
        </w:rPr>
        <w:t>注：本项目中小企业划分标准参照《关于印发中小企业划型标准规定的通知》（工信部联企[2011]300号）中第（三）条：</w:t>
      </w:r>
      <w:r>
        <w:rPr>
          <w:rFonts w:hint="eastAsia" w:hAnsi="宋体"/>
          <w:b/>
          <w:bCs/>
          <w:color w:val="auto"/>
          <w:sz w:val="21"/>
          <w:szCs w:val="21"/>
          <w:highlight w:val="none"/>
        </w:rPr>
        <w:t>建筑业。</w:t>
      </w:r>
    </w:p>
    <w:p w14:paraId="06E8677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3.本项目</w:t>
      </w:r>
      <w:r>
        <w:rPr>
          <w:rFonts w:hint="eastAsia" w:ascii="宋体" w:hAnsi="宋体" w:cs="宋体"/>
          <w:i/>
          <w:iCs/>
          <w:color w:val="auto"/>
          <w:szCs w:val="21"/>
          <w:highlight w:val="none"/>
          <w:u w:val="single"/>
        </w:rPr>
        <w:t>不接受</w:t>
      </w:r>
      <w:r>
        <w:rPr>
          <w:rFonts w:hint="eastAsia" w:ascii="宋体" w:hAnsi="宋体" w:cs="宋体"/>
          <w:color w:val="auto"/>
          <w:szCs w:val="21"/>
          <w:highlight w:val="none"/>
        </w:rPr>
        <w:t>联合体参与磋商（接受/不接受）</w:t>
      </w:r>
    </w:p>
    <w:p w14:paraId="2574FA58">
      <w:pPr>
        <w:snapToGrid w:val="0"/>
        <w:spacing w:line="360" w:lineRule="auto"/>
        <w:ind w:firstLine="210" w:firstLineChars="100"/>
        <w:rPr>
          <w:rFonts w:ascii="宋体" w:hAnsi="宋体" w:cs="宋体"/>
          <w:b/>
          <w:bCs/>
          <w:i/>
          <w:iCs/>
          <w:color w:val="auto"/>
          <w:szCs w:val="21"/>
          <w:highlight w:val="none"/>
          <w:u w:val="single"/>
        </w:rPr>
      </w:pPr>
      <w:r>
        <w:rPr>
          <w:rFonts w:hint="eastAsia" w:ascii="宋体" w:hAnsi="宋体" w:cs="宋体"/>
          <w:color w:val="auto"/>
          <w:kern w:val="0"/>
          <w:szCs w:val="21"/>
          <w:highlight w:val="none"/>
        </w:rPr>
        <w:t>（二）本项目的特定资格要求：</w:t>
      </w:r>
    </w:p>
    <w:p w14:paraId="4E0C7AD9">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1.1供应商具备有效期内的</w:t>
      </w:r>
      <w:r>
        <w:rPr>
          <w:rFonts w:hint="eastAsia" w:ascii="宋体" w:hAnsi="宋体" w:cs="宋体"/>
          <w:i/>
          <w:iCs/>
          <w:color w:val="auto"/>
          <w:szCs w:val="21"/>
          <w:highlight w:val="none"/>
          <w:u w:val="single"/>
          <w:lang w:val="en-US" w:eastAsia="zh-CN"/>
        </w:rPr>
        <w:t>建筑装修装饰</w:t>
      </w:r>
      <w:r>
        <w:rPr>
          <w:rFonts w:hint="eastAsia" w:ascii="宋体" w:hAnsi="宋体" w:cs="宋体"/>
          <w:i/>
          <w:iCs/>
          <w:color w:val="auto"/>
          <w:szCs w:val="21"/>
          <w:highlight w:val="none"/>
          <w:u w:val="single"/>
          <w:lang w:eastAsia="zh-CN"/>
        </w:rPr>
        <w:t>工程</w:t>
      </w:r>
      <w:r>
        <w:rPr>
          <w:rFonts w:hint="eastAsia" w:ascii="宋体" w:hAnsi="宋体" w:cs="宋体"/>
          <w:i/>
          <w:iCs/>
          <w:color w:val="auto"/>
          <w:szCs w:val="21"/>
          <w:highlight w:val="none"/>
          <w:u w:val="single"/>
          <w:lang w:val="en-US" w:eastAsia="zh-CN"/>
        </w:rPr>
        <w:t>专业</w:t>
      </w:r>
      <w:r>
        <w:rPr>
          <w:rFonts w:hint="eastAsia" w:ascii="宋体" w:hAnsi="宋体" w:cs="宋体"/>
          <w:i/>
          <w:iCs/>
          <w:color w:val="auto"/>
          <w:szCs w:val="21"/>
          <w:highlight w:val="none"/>
          <w:u w:val="single"/>
          <w:lang w:eastAsia="zh-CN"/>
        </w:rPr>
        <w:t>承包</w:t>
      </w:r>
      <w:r>
        <w:rPr>
          <w:rFonts w:hint="eastAsia" w:ascii="宋体" w:hAnsi="宋体" w:cs="宋体"/>
          <w:i/>
          <w:iCs/>
          <w:color w:val="auto"/>
          <w:szCs w:val="21"/>
          <w:highlight w:val="none"/>
          <w:u w:val="single"/>
          <w:lang w:val="en-US" w:eastAsia="zh-CN"/>
        </w:rPr>
        <w:t>贰</w:t>
      </w:r>
      <w:r>
        <w:rPr>
          <w:rFonts w:hint="eastAsia" w:ascii="宋体" w:hAnsi="宋体" w:cs="宋体"/>
          <w:i/>
          <w:iCs/>
          <w:color w:val="auto"/>
          <w:szCs w:val="21"/>
          <w:highlight w:val="none"/>
          <w:u w:val="single"/>
          <w:lang w:eastAsia="zh-CN"/>
        </w:rPr>
        <w:t>级</w:t>
      </w:r>
      <w:r>
        <w:rPr>
          <w:rFonts w:hint="eastAsia" w:ascii="宋体" w:hAnsi="宋体" w:cs="宋体"/>
          <w:i/>
          <w:iCs/>
          <w:color w:val="auto"/>
          <w:szCs w:val="21"/>
          <w:highlight w:val="none"/>
          <w:u w:val="single"/>
        </w:rPr>
        <w:t>及以上资质。</w:t>
      </w:r>
      <w:r>
        <w:rPr>
          <w:rFonts w:hint="eastAsia" w:ascii="宋体" w:hAnsi="宋体" w:cs="宋体"/>
          <w:b/>
          <w:bCs/>
          <w:i/>
          <w:iCs/>
          <w:color w:val="auto"/>
          <w:szCs w:val="21"/>
          <w:highlight w:val="none"/>
          <w:u w:val="single"/>
        </w:rPr>
        <w:t>（复印件加盖供应商公章）</w:t>
      </w:r>
    </w:p>
    <w:p w14:paraId="6362934F">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1.2供应商具备安全生产条件，并取得有效期内的安全生产许可证</w:t>
      </w:r>
      <w:r>
        <w:rPr>
          <w:rFonts w:hint="eastAsia" w:ascii="宋体" w:hAnsi="宋体" w:cs="宋体"/>
          <w:b/>
          <w:bCs/>
          <w:i/>
          <w:iCs/>
          <w:color w:val="auto"/>
          <w:szCs w:val="21"/>
          <w:highlight w:val="none"/>
          <w:u w:val="single"/>
        </w:rPr>
        <w:t>(复印件加盖供应商公章)</w:t>
      </w:r>
    </w:p>
    <w:p w14:paraId="2F868929">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1.3拟派项目负责人为本公司正式员工，正常缴纳社会保险，具备</w:t>
      </w:r>
      <w:r>
        <w:rPr>
          <w:rFonts w:hint="eastAsia" w:ascii="宋体" w:hAnsi="宋体" w:cs="宋体"/>
          <w:i/>
          <w:iCs/>
          <w:color w:val="auto"/>
          <w:szCs w:val="21"/>
          <w:highlight w:val="none"/>
          <w:u w:val="single"/>
          <w:lang w:val="en-US" w:eastAsia="zh-CN"/>
        </w:rPr>
        <w:t>建筑</w:t>
      </w:r>
      <w:r>
        <w:rPr>
          <w:rFonts w:hint="eastAsia" w:ascii="宋体" w:hAnsi="宋体" w:cs="宋体"/>
          <w:i/>
          <w:iCs/>
          <w:color w:val="auto"/>
          <w:szCs w:val="21"/>
          <w:highlight w:val="none"/>
          <w:u w:val="single"/>
          <w:lang w:eastAsia="zh-CN"/>
        </w:rPr>
        <w:t>工程专业二级</w:t>
      </w:r>
      <w:r>
        <w:rPr>
          <w:rFonts w:hint="eastAsia" w:ascii="宋体" w:hAnsi="宋体" w:cs="宋体"/>
          <w:i/>
          <w:iCs/>
          <w:color w:val="auto"/>
          <w:szCs w:val="21"/>
          <w:highlight w:val="none"/>
          <w:u w:val="single"/>
        </w:rPr>
        <w:t>及以上注册建造师执业资格，且具备有效期内的安全生产考核合格证B证(提供拟派项目负责人相关证书及供应商为其缴纳的近</w:t>
      </w:r>
      <w:r>
        <w:rPr>
          <w:rFonts w:hint="eastAsia" w:ascii="宋体" w:hAnsi="宋体" w:cs="宋体"/>
          <w:i/>
          <w:iCs/>
          <w:color w:val="auto"/>
          <w:szCs w:val="21"/>
          <w:highlight w:val="none"/>
          <w:u w:val="single"/>
          <w:lang w:val="en-US" w:eastAsia="zh-CN"/>
        </w:rPr>
        <w:t>一年</w:t>
      </w:r>
      <w:r>
        <w:rPr>
          <w:rFonts w:hint="eastAsia" w:ascii="宋体" w:hAnsi="宋体" w:cs="宋体"/>
          <w:i/>
          <w:iCs/>
          <w:color w:val="auto"/>
          <w:szCs w:val="21"/>
          <w:highlight w:val="none"/>
          <w:u w:val="single"/>
        </w:rPr>
        <w:t>内任意一个月的社保证明</w:t>
      </w:r>
      <w:r>
        <w:rPr>
          <w:rFonts w:hint="eastAsia" w:ascii="宋体" w:hAnsi="宋体" w:cs="宋体"/>
          <w:b/>
          <w:bCs/>
          <w:i/>
          <w:iCs/>
          <w:color w:val="auto"/>
          <w:szCs w:val="21"/>
          <w:highlight w:val="none"/>
          <w:u w:val="single"/>
        </w:rPr>
        <w:t>(复印件加盖供应商公章)</w:t>
      </w:r>
      <w:r>
        <w:rPr>
          <w:rFonts w:hint="eastAsia" w:ascii="宋体" w:hAnsi="宋体" w:cs="宋体"/>
          <w:i/>
          <w:iCs/>
          <w:color w:val="auto"/>
          <w:szCs w:val="21"/>
          <w:highlight w:val="none"/>
          <w:u w:val="single"/>
        </w:rPr>
        <w:t>)</w:t>
      </w:r>
    </w:p>
    <w:p w14:paraId="27ED9107">
      <w:pPr>
        <w:snapToGrid w:val="0"/>
        <w:spacing w:line="360" w:lineRule="auto"/>
        <w:ind w:firstLine="210" w:firstLineChars="100"/>
        <w:rPr>
          <w:rFonts w:ascii="宋体" w:hAnsi="宋体" w:cs="宋体"/>
          <w:i/>
          <w:iCs/>
          <w:color w:val="auto"/>
          <w:szCs w:val="21"/>
          <w:highlight w:val="none"/>
          <w:u w:val="single"/>
        </w:rPr>
      </w:pPr>
      <w:r>
        <w:rPr>
          <w:rFonts w:hint="eastAsia" w:ascii="宋体" w:hAnsi="宋体" w:cs="宋体"/>
          <w:i/>
          <w:iCs/>
          <w:color w:val="auto"/>
          <w:szCs w:val="21"/>
          <w:highlight w:val="none"/>
          <w:u w:val="single"/>
        </w:rPr>
        <w:t>1.4拟派项目负责人无在建工程承诺书</w:t>
      </w:r>
      <w:r>
        <w:rPr>
          <w:rFonts w:hint="eastAsia" w:ascii="宋体" w:hAnsi="宋体" w:cs="宋体"/>
          <w:b/>
          <w:bCs/>
          <w:i/>
          <w:iCs/>
          <w:color w:val="auto"/>
          <w:szCs w:val="21"/>
          <w:highlight w:val="none"/>
          <w:u w:val="single"/>
        </w:rPr>
        <w:t>(复印件加盖供应商公章)</w:t>
      </w:r>
    </w:p>
    <w:p w14:paraId="716D206C">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四、获取采购文件</w:t>
      </w:r>
    </w:p>
    <w:p w14:paraId="5541C815">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rPr>
        <w:t>日至2026年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日</w:t>
      </w:r>
      <w:r>
        <w:rPr>
          <w:rFonts w:hint="eastAsia" w:ascii="宋体" w:hAnsi="宋体" w:cs="宋体"/>
          <w:color w:val="auto"/>
          <w:szCs w:val="21"/>
          <w:highlight w:val="none"/>
        </w:rPr>
        <w:t>（北京时间上午9:30-11:30，下午2:30-5:30，法定节假日除外）</w:t>
      </w:r>
    </w:p>
    <w:p w14:paraId="55952A03">
      <w:pPr>
        <w:spacing w:line="360" w:lineRule="auto"/>
        <w:ind w:firstLine="420" w:firstLineChars="200"/>
        <w:rPr>
          <w:rFonts w:hint="eastAsia" w:ascii="宋体" w:hAnsi="宋体" w:cs="Arial"/>
          <w:highlight w:val="none"/>
        </w:rPr>
      </w:pPr>
      <w:bookmarkStart w:id="3" w:name="_Toc35393624"/>
      <w:r>
        <w:rPr>
          <w:rFonts w:hint="eastAsia" w:ascii="宋体" w:hAnsi="宋体"/>
          <w:highlight w:val="none"/>
        </w:rPr>
        <w:t>本</w:t>
      </w:r>
      <w:bookmarkEnd w:id="3"/>
      <w:r>
        <w:rPr>
          <w:rFonts w:hint="eastAsia" w:ascii="宋体" w:hAnsi="宋体"/>
          <w:highlight w:val="none"/>
          <w:lang w:val="en-US" w:eastAsia="zh-CN"/>
        </w:rPr>
        <w:t>磋商</w:t>
      </w:r>
      <w:r>
        <w:rPr>
          <w:rFonts w:hint="eastAsia" w:ascii="宋体" w:hAnsi="宋体" w:cs="Arial"/>
          <w:highlight w:val="none"/>
        </w:rPr>
        <w:t xml:space="preserve">文件提供及公告期限：自招标公告在 </w:t>
      </w:r>
      <w:r>
        <w:rPr>
          <w:rFonts w:hint="eastAsia" w:ascii="宋体" w:hAnsi="宋体" w:cs="宋体"/>
          <w:color w:val="auto"/>
          <w:szCs w:val="21"/>
          <w:highlight w:val="none"/>
        </w:rPr>
        <w:t>“</w:t>
      </w:r>
      <w:r>
        <w:rPr>
          <w:rFonts w:hint="eastAsia" w:ascii="宋体" w:hAnsi="宋体" w:cs="宋体"/>
          <w:color w:val="auto"/>
          <w:szCs w:val="21"/>
          <w:highlight w:val="none"/>
          <w:lang w:eastAsia="zh-CN"/>
        </w:rPr>
        <w:t>扬州大学附属医院</w:t>
      </w:r>
      <w:r>
        <w:rPr>
          <w:rFonts w:hint="eastAsia" w:ascii="宋体" w:hAnsi="宋体" w:cs="宋体"/>
          <w:color w:val="auto"/>
          <w:szCs w:val="21"/>
          <w:highlight w:val="none"/>
        </w:rPr>
        <w:t>”</w:t>
      </w:r>
      <w:r>
        <w:rPr>
          <w:rFonts w:hint="eastAsia" w:ascii="宋体" w:hAnsi="宋体" w:cs="宋体"/>
          <w:color w:val="auto"/>
          <w:szCs w:val="21"/>
          <w:highlight w:val="none"/>
          <w:lang w:eastAsia="zh-CN"/>
        </w:rPr>
        <w:t>、“江苏招标采购服务平台”</w:t>
      </w:r>
      <w:r>
        <w:rPr>
          <w:rFonts w:hint="eastAsia" w:ascii="宋体" w:hAnsi="宋体" w:cs="Arial"/>
          <w:highlight w:val="none"/>
        </w:rPr>
        <w:t>发布之日起5个工作日。</w:t>
      </w:r>
    </w:p>
    <w:p w14:paraId="57CACEC9">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资料费：</w:t>
      </w:r>
      <w:r>
        <w:rPr>
          <w:rFonts w:hint="eastAsia" w:ascii="宋体" w:hAnsi="宋体" w:cs="宋体"/>
          <w:szCs w:val="21"/>
          <w:highlight w:val="none"/>
          <w:shd w:val="clear" w:color="auto" w:fill="FFFFFF"/>
          <w:lang w:val="en-US" w:eastAsia="zh-CN"/>
        </w:rPr>
        <w:t>3</w:t>
      </w:r>
      <w:r>
        <w:rPr>
          <w:rFonts w:hint="eastAsia" w:ascii="宋体" w:hAnsi="宋体" w:eastAsia="宋体" w:cs="宋体"/>
          <w:szCs w:val="21"/>
          <w:highlight w:val="none"/>
          <w:shd w:val="clear" w:color="auto" w:fill="FFFFFF"/>
        </w:rPr>
        <w:t>00元</w:t>
      </w:r>
    </w:p>
    <w:p w14:paraId="6BAF671D">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户名：江苏唯诚建设咨询有限公司</w:t>
      </w:r>
    </w:p>
    <w:p w14:paraId="42102930">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开户银行：江苏银行扬州广陵支行</w:t>
      </w:r>
    </w:p>
    <w:p w14:paraId="030C82B1">
      <w:pPr>
        <w:spacing w:line="360" w:lineRule="auto"/>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账号：05000140900000685</w:t>
      </w:r>
    </w:p>
    <w:p w14:paraId="70E85D3F">
      <w:pPr>
        <w:spacing w:line="360" w:lineRule="auto"/>
        <w:ind w:firstLine="420" w:firstLineChars="200"/>
        <w:rPr>
          <w:rFonts w:hint="default" w:ascii="宋体" w:hAnsi="宋体" w:eastAsia="宋体" w:cs="宋体"/>
          <w:kern w:val="0"/>
          <w:szCs w:val="21"/>
          <w:highlight w:val="none"/>
          <w:lang w:val="en-US"/>
        </w:rPr>
      </w:pPr>
      <w:r>
        <w:rPr>
          <w:rFonts w:hint="eastAsia" w:ascii="宋体" w:hAnsi="宋体" w:eastAsia="宋体" w:cs="宋体"/>
          <w:kern w:val="0"/>
          <w:szCs w:val="21"/>
          <w:highlight w:val="none"/>
        </w:rPr>
        <w:t>采购文件获取方式：1）、线下获取时携带加盖单位印章的资料费付款回单、加盖单位印章的营业执照复印件、法人代表授权委托书及其身份证复印件至代理公司1910室现场获取； 2）、线上获取时将资料费付款回单、营业执照和授权委托书原件扫描后发送至邮箱：568250225@qq.com（邮件标题为投标人公司全称+所投项目简称）</w:t>
      </w:r>
      <w:r>
        <w:rPr>
          <w:rFonts w:hint="eastAsia" w:ascii="宋体" w:hAnsi="宋体" w:cs="宋体"/>
          <w:kern w:val="0"/>
          <w:szCs w:val="21"/>
          <w:highlight w:val="none"/>
          <w:lang w:eastAsia="zh-CN"/>
        </w:rPr>
        <w:t>。</w:t>
      </w:r>
      <w:bookmarkStart w:id="145" w:name="_GoBack"/>
      <w:bookmarkEnd w:id="145"/>
      <w:r>
        <w:rPr>
          <w:rFonts w:hint="eastAsia" w:ascii="宋体" w:hAnsi="宋体" w:cs="宋体"/>
          <w:bCs/>
          <w:color w:val="auto"/>
          <w:szCs w:val="21"/>
          <w:highlight w:val="none"/>
          <w:lang w:val="en-US" w:eastAsia="zh-CN"/>
        </w:rPr>
        <w:t>磋商文件的附件请联系</w:t>
      </w:r>
      <w:r>
        <w:rPr>
          <w:rFonts w:hint="eastAsia" w:ascii="宋体" w:hAnsi="宋体" w:cs="宋体"/>
          <w:bCs/>
          <w:color w:val="auto"/>
          <w:szCs w:val="21"/>
          <w:highlight w:val="none"/>
          <w:lang w:eastAsia="zh-CN"/>
        </w:rPr>
        <w:t>采购代理机构经办人，联系电话0514-8</w:t>
      </w:r>
      <w:r>
        <w:rPr>
          <w:rFonts w:hint="eastAsia" w:ascii="宋体" w:hAnsi="宋体" w:cs="宋体"/>
          <w:bCs/>
          <w:color w:val="auto"/>
          <w:szCs w:val="21"/>
          <w:highlight w:val="none"/>
          <w:lang w:val="en-US" w:eastAsia="zh-CN"/>
        </w:rPr>
        <w:t>7880638-8010</w:t>
      </w:r>
    </w:p>
    <w:p w14:paraId="4FA53D36">
      <w:pPr>
        <w:spacing w:line="360" w:lineRule="auto"/>
        <w:ind w:firstLine="514" w:firstLineChars="244"/>
        <w:rPr>
          <w:rFonts w:ascii="宋体" w:hAnsi="宋体" w:cs="宋体"/>
          <w:color w:val="auto"/>
          <w:szCs w:val="21"/>
          <w:highlight w:val="none"/>
        </w:rPr>
      </w:pPr>
      <w:r>
        <w:rPr>
          <w:rFonts w:hint="eastAsia" w:ascii="宋体" w:hAnsi="宋体" w:cs="宋体"/>
          <w:b/>
          <w:bCs/>
          <w:color w:val="auto"/>
          <w:szCs w:val="21"/>
          <w:highlight w:val="none"/>
        </w:rPr>
        <w:t>五、磋商响应文件接收截止时间和地点</w:t>
      </w:r>
    </w:p>
    <w:p w14:paraId="3A9FC5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（一）响应文件接收开始时间：2026年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w:t>
      </w:r>
    </w:p>
    <w:p w14:paraId="2CDA413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（二）响应文件接收截止时间：2026年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0，逾期送达将作无效响应处理。</w:t>
      </w:r>
    </w:p>
    <w:p w14:paraId="138514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（三）响应文件接收地点：</w:t>
      </w:r>
      <w:r>
        <w:rPr>
          <w:rFonts w:hint="eastAsia" w:ascii="宋体" w:hAnsi="宋体" w:eastAsia="宋体" w:cs="宋体"/>
          <w:color w:val="000000"/>
          <w:kern w:val="0"/>
          <w:szCs w:val="21"/>
          <w:highlight w:val="none"/>
        </w:rPr>
        <w:t>扬州市维扬路106-1号扬州商城国际大厦19F19</w:t>
      </w:r>
      <w:r>
        <w:rPr>
          <w:rFonts w:hint="eastAsia" w:ascii="宋体" w:hAnsi="宋体" w:cs="宋体"/>
          <w:color w:val="000000"/>
          <w:kern w:val="0"/>
          <w:szCs w:val="21"/>
          <w:highlight w:val="none"/>
          <w:lang w:val="en-US" w:eastAsia="zh-CN"/>
        </w:rPr>
        <w:t>19</w:t>
      </w:r>
      <w:r>
        <w:rPr>
          <w:rFonts w:hint="eastAsia" w:ascii="宋体" w:hAnsi="宋体" w:eastAsia="宋体" w:cs="宋体"/>
          <w:color w:val="000000"/>
          <w:kern w:val="0"/>
          <w:szCs w:val="21"/>
          <w:highlight w:val="none"/>
        </w:rPr>
        <w:t>开标室</w:t>
      </w:r>
      <w:r>
        <w:rPr>
          <w:rFonts w:hint="eastAsia" w:ascii="宋体" w:hAnsi="宋体" w:cs="宋体"/>
          <w:color w:val="auto"/>
          <w:szCs w:val="21"/>
          <w:highlight w:val="none"/>
        </w:rPr>
        <w:t>。</w:t>
      </w:r>
    </w:p>
    <w:p w14:paraId="0E0D20CB">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六、磋商响应文件开启信息</w:t>
      </w:r>
    </w:p>
    <w:p w14:paraId="2B065B02">
      <w:pPr>
        <w:spacing w:line="360" w:lineRule="auto"/>
        <w:ind w:firstLine="420" w:firstLineChars="200"/>
        <w:rPr>
          <w:color w:val="auto"/>
          <w:sz w:val="24"/>
          <w:szCs w:val="24"/>
          <w:highlight w:val="none"/>
        </w:rPr>
      </w:pPr>
      <w:r>
        <w:rPr>
          <w:rFonts w:hint="eastAsia" w:ascii="宋体" w:hAnsi="宋体" w:cs="宋体"/>
          <w:color w:val="auto"/>
          <w:szCs w:val="21"/>
          <w:highlight w:val="none"/>
        </w:rPr>
        <w:t>（一）响应文件开启时间：2026年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w:t>
      </w:r>
    </w:p>
    <w:p w14:paraId="49EA81A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（二）响应文件开启地点：</w:t>
      </w:r>
      <w:r>
        <w:rPr>
          <w:rFonts w:hint="eastAsia" w:ascii="宋体" w:hAnsi="宋体" w:eastAsia="宋体" w:cs="宋体"/>
          <w:color w:val="000000"/>
          <w:kern w:val="0"/>
          <w:szCs w:val="21"/>
          <w:highlight w:val="none"/>
        </w:rPr>
        <w:t>扬州市维扬路106-1号扬州商城国际大厦19F19</w:t>
      </w:r>
      <w:r>
        <w:rPr>
          <w:rFonts w:hint="eastAsia" w:ascii="宋体" w:hAnsi="宋体" w:cs="宋体"/>
          <w:color w:val="000000"/>
          <w:kern w:val="0"/>
          <w:szCs w:val="21"/>
          <w:highlight w:val="none"/>
          <w:lang w:val="en-US" w:eastAsia="zh-CN"/>
        </w:rPr>
        <w:t>19</w:t>
      </w:r>
      <w:r>
        <w:rPr>
          <w:rFonts w:hint="eastAsia" w:ascii="宋体" w:hAnsi="宋体" w:eastAsia="宋体" w:cs="宋体"/>
          <w:color w:val="000000"/>
          <w:kern w:val="0"/>
          <w:szCs w:val="21"/>
          <w:highlight w:val="none"/>
        </w:rPr>
        <w:t>开标室</w:t>
      </w:r>
      <w:r>
        <w:rPr>
          <w:rFonts w:hint="eastAsia" w:ascii="宋体" w:hAnsi="宋体" w:cs="宋体"/>
          <w:color w:val="auto"/>
          <w:szCs w:val="21"/>
          <w:highlight w:val="none"/>
        </w:rPr>
        <w:t>。</w:t>
      </w:r>
    </w:p>
    <w:p w14:paraId="4E1B0C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（三）磋商地点：</w:t>
      </w:r>
      <w:r>
        <w:rPr>
          <w:rFonts w:hint="eastAsia" w:ascii="宋体" w:hAnsi="宋体" w:cs="宋体"/>
          <w:color w:val="auto"/>
          <w:szCs w:val="21"/>
          <w:highlight w:val="none"/>
          <w:lang w:eastAsia="zh-CN"/>
        </w:rPr>
        <w:t>江苏唯诚建设咨询有限公司</w:t>
      </w:r>
      <w:r>
        <w:rPr>
          <w:rFonts w:hint="eastAsia" w:ascii="宋体" w:hAnsi="宋体" w:cs="宋体"/>
          <w:color w:val="auto"/>
          <w:szCs w:val="21"/>
          <w:highlight w:val="none"/>
        </w:rPr>
        <w:t>评标室。</w:t>
      </w:r>
    </w:p>
    <w:p w14:paraId="104C0CAC">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七、本次磋商响应文件制作份数要求</w:t>
      </w:r>
    </w:p>
    <w:p w14:paraId="1B9379C9">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响应文件份数:纸质版一式五份(壹份正本、肆份副本)、电子版壹份(一般应为U盘形式，含完整磋商响应文件的电子版（PDF格式或Word格式），随纸质正本文件一并提交)</w:t>
      </w:r>
      <w:r>
        <w:rPr>
          <w:rFonts w:hint="eastAsia" w:ascii="宋体" w:hAnsi="宋体" w:cs="宋体"/>
          <w:color w:val="auto"/>
          <w:szCs w:val="21"/>
          <w:highlight w:val="none"/>
        </w:rPr>
        <w:t>。当电子版文件和纸质正本文件不一致时，以纸质正本文件为准。电子版文件用于辅助评标和存档，供应商需承担前述不一致造成的不利后果。每份响应文件须清楚标明“正本”或“副本”字样。一旦正本和副本不符，以正本为准。</w:t>
      </w:r>
    </w:p>
    <w:p w14:paraId="58B2918D">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八、本次磋商保证金要求：</w:t>
      </w:r>
    </w:p>
    <w:p w14:paraId="78D8E46B">
      <w:pPr>
        <w:pStyle w:val="29"/>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本项目无磋商保证金。</w:t>
      </w:r>
    </w:p>
    <w:p w14:paraId="1D9229D8">
      <w:pPr>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现场考察或召开答疑会：</w:t>
      </w:r>
    </w:p>
    <w:p w14:paraId="0F394F1F">
      <w:pPr>
        <w:spacing w:line="360" w:lineRule="auto"/>
        <w:ind w:firstLine="411" w:firstLineChars="196"/>
        <w:rPr>
          <w:rFonts w:hint="eastAsia" w:ascii="宋体" w:hAnsi="宋体" w:cs="宋体"/>
          <w:b w:val="0"/>
          <w:bCs w:val="0"/>
          <w:color w:val="auto"/>
          <w:szCs w:val="21"/>
          <w:highlight w:val="none"/>
          <w:lang w:val="zh-CN"/>
        </w:rPr>
      </w:pPr>
      <w:r>
        <w:rPr>
          <w:rFonts w:hint="eastAsia" w:ascii="宋体" w:hAnsi="宋体" w:cs="宋体"/>
          <w:b w:val="0"/>
          <w:bCs w:val="0"/>
          <w:color w:val="auto"/>
          <w:szCs w:val="21"/>
          <w:highlight w:val="none"/>
        </w:rPr>
        <w:t>供应商应彻底自行踏勘现场，以充分了解项目位置、交通状况以及工作范围等任何足以影响其报价的情况。任何忽视或误解项目基本情况，而使采购人在项目实施过程中蒙受的损失，将由供应商进行赔偿。</w:t>
      </w:r>
    </w:p>
    <w:p w14:paraId="052A948D">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联系人：</w:t>
      </w:r>
      <w:r>
        <w:rPr>
          <w:rFonts w:hint="eastAsia" w:ascii="宋体" w:hAnsi="宋体" w:cs="宋体"/>
          <w:b w:val="0"/>
          <w:bCs w:val="0"/>
          <w:color w:val="auto"/>
          <w:szCs w:val="21"/>
          <w:highlight w:val="none"/>
          <w:lang w:val="en-US" w:eastAsia="zh-CN"/>
        </w:rPr>
        <w:t>基建处</w:t>
      </w:r>
      <w:r>
        <w:rPr>
          <w:rFonts w:hint="eastAsia" w:ascii="宋体" w:hAnsi="宋体" w:cs="宋体"/>
          <w:b w:val="0"/>
          <w:bCs w:val="0"/>
          <w:color w:val="auto"/>
          <w:szCs w:val="21"/>
          <w:highlight w:val="none"/>
        </w:rPr>
        <w:t>，电话：0514-82099607</w:t>
      </w:r>
    </w:p>
    <w:p w14:paraId="76516E8A">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cs="宋体"/>
          <w:b/>
          <w:bCs/>
          <w:color w:val="auto"/>
          <w:szCs w:val="21"/>
          <w:highlight w:val="none"/>
        </w:rPr>
        <w:t>、其他说明事项：</w:t>
      </w:r>
    </w:p>
    <w:p w14:paraId="0A3133BB">
      <w:pPr>
        <w:spacing w:line="360" w:lineRule="auto"/>
        <w:ind w:firstLine="420" w:firstLineChars="200"/>
        <w:rPr>
          <w:rFonts w:ascii="宋体" w:hAnsi="宋体" w:cs="宋体"/>
          <w:iCs/>
          <w:color w:val="auto"/>
          <w:szCs w:val="21"/>
          <w:highlight w:val="none"/>
        </w:rPr>
      </w:pPr>
      <w:r>
        <w:rPr>
          <w:rFonts w:hint="eastAsia" w:ascii="宋体" w:hAnsi="宋体" w:cs="宋体"/>
          <w:color w:val="auto"/>
          <w:szCs w:val="21"/>
          <w:highlight w:val="none"/>
        </w:rPr>
        <w:t>（一）</w:t>
      </w:r>
      <w:r>
        <w:rPr>
          <w:rFonts w:hint="eastAsia" w:ascii="宋体" w:hAnsi="宋体" w:cs="宋体"/>
          <w:iCs/>
          <w:color w:val="auto"/>
          <w:szCs w:val="21"/>
          <w:highlight w:val="none"/>
        </w:rPr>
        <w:t>本磋商文件中斜体下划线部分为实质性响应条件，为必须遵守的条件，如不满足将作无效响应文件处理。</w:t>
      </w:r>
    </w:p>
    <w:p w14:paraId="0AD11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（二）公告期限：自磋商公告在 “扬州大学附属医院”、“江苏招标采购服务平台”网站发布之日起5个工作日。未报名（未购买磋商文件）者、超过时限者不得前来磋商。有关本次磋商的事项若存在变动或修改，敬请及时关注“扬州大学附属医院”、“ 江苏招标采购服务平台”网站发布的信息或更正公告。</w:t>
      </w:r>
    </w:p>
    <w:p w14:paraId="6BFF8BB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）为落实好政府采购履约资金扶持政策，中标/成交供应商可凭政府采购合同办理融资贷款，详见江苏政府采购网“政采贷”专栏。</w:t>
      </w:r>
    </w:p>
    <w:p w14:paraId="1A3AB1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本项目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投标/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本项目优先采购节能产品、环境标志产品。</w:t>
      </w:r>
    </w:p>
    <w:p w14:paraId="4229CF02">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）供应商对于所投产品的包装应按照“财办库〔2020〕123号《关于印发《商品包装政府采购需求标准（试行）》、《快递包装政府采购需求标准（试行）》的通知》”执行。</w:t>
      </w:r>
    </w:p>
    <w:p w14:paraId="38594357">
      <w:pPr>
        <w:spacing w:line="360" w:lineRule="auto"/>
        <w:ind w:firstLine="413" w:firstLineChars="196"/>
        <w:rPr>
          <w:rFonts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、本次磋商采购联系事项</w:t>
      </w:r>
    </w:p>
    <w:p w14:paraId="4C8C6914">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(一)采购单位信息：</w:t>
      </w:r>
    </w:p>
    <w:p w14:paraId="01100D1F">
      <w:pPr>
        <w:spacing w:line="360" w:lineRule="auto"/>
        <w:ind w:right="-155" w:firstLine="420" w:firstLineChars="200"/>
        <w:rPr>
          <w:rFonts w:ascii="宋体" w:hAnsi="宋体" w:cs="宋体"/>
          <w:color w:val="auto"/>
          <w:szCs w:val="21"/>
          <w:highlight w:val="none"/>
        </w:rPr>
      </w:pPr>
      <w:r>
        <w:rPr>
          <w:rFonts w:hint="eastAsia" w:ascii="宋体" w:hAnsi="宋体" w:cs="宋体"/>
          <w:color w:val="auto"/>
          <w:szCs w:val="21"/>
          <w:highlight w:val="none"/>
        </w:rPr>
        <w:t>名称：扬州大学附属医院</w:t>
      </w:r>
    </w:p>
    <w:p w14:paraId="329B0411">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联系人：张老师</w:t>
      </w:r>
    </w:p>
    <w:p w14:paraId="033933E6">
      <w:pPr>
        <w:spacing w:line="360" w:lineRule="auto"/>
        <w:ind w:right="-155"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电话：0514-82099552</w:t>
      </w:r>
    </w:p>
    <w:p w14:paraId="0E62D6B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地址：扬州市邗江中路368号</w:t>
      </w:r>
    </w:p>
    <w:p w14:paraId="44475B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(二)采购代理机构信息：</w:t>
      </w:r>
    </w:p>
    <w:p w14:paraId="391EB05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江苏唯诚建设咨询有限公司</w:t>
      </w:r>
    </w:p>
    <w:p w14:paraId="4322B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eastAsia="宋体" w:cs="宋体"/>
          <w:color w:val="000000"/>
          <w:kern w:val="0"/>
          <w:szCs w:val="21"/>
          <w:highlight w:val="none"/>
        </w:rPr>
        <w:t>扬州市维扬路106-1号扬州商城国际大厦19F</w:t>
      </w:r>
    </w:p>
    <w:p w14:paraId="44C66DF7">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王云</w:t>
      </w:r>
    </w:p>
    <w:p w14:paraId="7A5CE3F9">
      <w:pPr>
        <w:spacing w:line="360" w:lineRule="auto"/>
        <w:ind w:firstLine="420" w:firstLineChars="200"/>
        <w:rPr>
          <w:color w:val="auto"/>
          <w:highlight w:val="none"/>
        </w:rPr>
      </w:pPr>
      <w:r>
        <w:rPr>
          <w:rFonts w:hint="eastAsia" w:ascii="宋体" w:hAnsi="宋体" w:cs="宋体"/>
          <w:color w:val="auto"/>
          <w:szCs w:val="21"/>
          <w:highlight w:val="none"/>
        </w:rPr>
        <w:t>电　话：</w:t>
      </w:r>
      <w:bookmarkStart w:id="4" w:name="_Toc22962"/>
      <w:r>
        <w:rPr>
          <w:rFonts w:hint="eastAsia" w:ascii="宋体" w:hAnsi="宋体" w:eastAsia="宋体" w:cs="宋体"/>
          <w:color w:val="000000"/>
          <w:kern w:val="0"/>
          <w:szCs w:val="21"/>
          <w:highlight w:val="none"/>
        </w:rPr>
        <w:t>0514-87880638-8010</w:t>
      </w:r>
    </w:p>
    <w:p w14:paraId="5FB30661">
      <w:pPr>
        <w:rPr>
          <w:color w:val="auto"/>
          <w:highlight w:val="none"/>
        </w:rPr>
      </w:pPr>
      <w:r>
        <w:rPr>
          <w:color w:val="auto"/>
          <w:highlight w:val="none"/>
        </w:rPr>
        <w:br w:type="page"/>
      </w:r>
    </w:p>
    <w:p w14:paraId="389777A7">
      <w:pPr>
        <w:pStyle w:val="2"/>
        <w:jc w:val="center"/>
        <w:rPr>
          <w:color w:val="auto"/>
          <w:highlight w:val="none"/>
        </w:rPr>
      </w:pPr>
      <w:r>
        <w:rPr>
          <w:color w:val="auto"/>
          <w:highlight w:val="none"/>
        </w:rPr>
        <w:t>第二章 磋商须知</w:t>
      </w:r>
      <w:bookmarkEnd w:id="2"/>
      <w:bookmarkEnd w:id="4"/>
    </w:p>
    <w:p w14:paraId="02C5AD4D">
      <w:pPr>
        <w:spacing w:line="360" w:lineRule="auto"/>
        <w:jc w:val="center"/>
        <w:rPr>
          <w:b/>
          <w:bCs/>
          <w:color w:val="auto"/>
          <w:szCs w:val="21"/>
          <w:highlight w:val="none"/>
        </w:rPr>
      </w:pPr>
      <w:bookmarkStart w:id="5" w:name="_Toc16938520"/>
      <w:bookmarkStart w:id="6" w:name="_Toc20823276"/>
      <w:bookmarkStart w:id="7" w:name="_Toc513029204"/>
      <w:bookmarkStart w:id="8" w:name="_Toc458694821"/>
      <w:r>
        <w:rPr>
          <w:bCs/>
          <w:color w:val="auto"/>
          <w:szCs w:val="21"/>
          <w:highlight w:val="none"/>
        </w:rPr>
        <w:t>（参加竞争性磋商的供应商以下简称“磋商供应商”）</w:t>
      </w:r>
    </w:p>
    <w:bookmarkEnd w:id="5"/>
    <w:bookmarkEnd w:id="6"/>
    <w:bookmarkEnd w:id="7"/>
    <w:bookmarkEnd w:id="8"/>
    <w:p w14:paraId="19479BB8">
      <w:pPr>
        <w:tabs>
          <w:tab w:val="left" w:pos="900"/>
        </w:tabs>
        <w:spacing w:afterLines="50" w:line="360" w:lineRule="auto"/>
        <w:ind w:firstLine="422" w:firstLineChars="200"/>
        <w:rPr>
          <w:b/>
          <w:color w:val="auto"/>
          <w:szCs w:val="21"/>
          <w:highlight w:val="none"/>
        </w:rPr>
      </w:pPr>
      <w:bookmarkStart w:id="9" w:name="OLE_LINK69"/>
      <w:bookmarkEnd w:id="9"/>
      <w:r>
        <w:rPr>
          <w:b/>
          <w:color w:val="auto"/>
          <w:szCs w:val="21"/>
          <w:highlight w:val="none"/>
        </w:rPr>
        <w:t>一、总则</w:t>
      </w:r>
    </w:p>
    <w:p w14:paraId="643DD9A7">
      <w:pPr>
        <w:tabs>
          <w:tab w:val="left" w:pos="900"/>
        </w:tabs>
        <w:spacing w:line="360" w:lineRule="auto"/>
        <w:ind w:firstLine="420" w:firstLineChars="200"/>
        <w:rPr>
          <w:color w:val="auto"/>
          <w:szCs w:val="21"/>
          <w:highlight w:val="none"/>
        </w:rPr>
      </w:pPr>
      <w:r>
        <w:rPr>
          <w:color w:val="auto"/>
          <w:szCs w:val="21"/>
          <w:highlight w:val="none"/>
        </w:rPr>
        <w:t>1、适用范围</w:t>
      </w:r>
    </w:p>
    <w:p w14:paraId="1FA54190">
      <w:pPr>
        <w:tabs>
          <w:tab w:val="left" w:pos="900"/>
        </w:tabs>
        <w:spacing w:line="360" w:lineRule="auto"/>
        <w:ind w:firstLine="420" w:firstLineChars="200"/>
        <w:rPr>
          <w:color w:val="auto"/>
          <w:szCs w:val="21"/>
          <w:highlight w:val="none"/>
        </w:rPr>
      </w:pPr>
      <w:r>
        <w:rPr>
          <w:color w:val="auto"/>
          <w:szCs w:val="21"/>
          <w:highlight w:val="none"/>
        </w:rPr>
        <w:t>1.1 本竞争性磋商文件（以下简称磋商文件）仅适用</w:t>
      </w:r>
      <w:r>
        <w:rPr>
          <w:rFonts w:hint="eastAsia"/>
          <w:color w:val="auto"/>
          <w:szCs w:val="21"/>
          <w:highlight w:val="none"/>
        </w:rPr>
        <w:t>于本</w:t>
      </w:r>
      <w:r>
        <w:rPr>
          <w:color w:val="auto"/>
          <w:szCs w:val="21"/>
          <w:highlight w:val="none"/>
        </w:rPr>
        <w:t>项目。</w:t>
      </w:r>
    </w:p>
    <w:p w14:paraId="46AE7F43">
      <w:pPr>
        <w:tabs>
          <w:tab w:val="left" w:pos="900"/>
        </w:tabs>
        <w:spacing w:line="360" w:lineRule="auto"/>
        <w:ind w:firstLine="420" w:firstLineChars="200"/>
        <w:rPr>
          <w:color w:val="auto"/>
          <w:szCs w:val="21"/>
          <w:highlight w:val="none"/>
        </w:rPr>
      </w:pPr>
      <w:r>
        <w:rPr>
          <w:color w:val="auto"/>
          <w:szCs w:val="21"/>
          <w:highlight w:val="none"/>
        </w:rPr>
        <w:t>2、项目采购方式</w:t>
      </w:r>
    </w:p>
    <w:p w14:paraId="47464DBC">
      <w:pPr>
        <w:tabs>
          <w:tab w:val="left" w:pos="900"/>
        </w:tabs>
        <w:spacing w:line="360" w:lineRule="auto"/>
        <w:ind w:firstLine="420" w:firstLineChars="200"/>
        <w:rPr>
          <w:color w:val="auto"/>
          <w:szCs w:val="21"/>
          <w:highlight w:val="none"/>
        </w:rPr>
      </w:pPr>
      <w:r>
        <w:rPr>
          <w:color w:val="auto"/>
          <w:szCs w:val="21"/>
          <w:highlight w:val="none"/>
        </w:rPr>
        <w:t>本次采购采取竞争性磋商的方式。</w:t>
      </w:r>
    </w:p>
    <w:p w14:paraId="500D0DA1">
      <w:pPr>
        <w:tabs>
          <w:tab w:val="left" w:pos="900"/>
        </w:tabs>
        <w:spacing w:line="360" w:lineRule="auto"/>
        <w:ind w:firstLine="420" w:firstLineChars="200"/>
        <w:rPr>
          <w:color w:val="auto"/>
          <w:szCs w:val="21"/>
          <w:highlight w:val="none"/>
        </w:rPr>
      </w:pPr>
      <w:r>
        <w:rPr>
          <w:color w:val="auto"/>
          <w:szCs w:val="21"/>
          <w:highlight w:val="none"/>
        </w:rPr>
        <w:t>3、合格的磋商供应商</w:t>
      </w:r>
    </w:p>
    <w:p w14:paraId="29E99545">
      <w:pPr>
        <w:tabs>
          <w:tab w:val="left" w:pos="900"/>
        </w:tabs>
        <w:spacing w:line="360" w:lineRule="auto"/>
        <w:ind w:firstLine="420" w:firstLineChars="200"/>
        <w:rPr>
          <w:color w:val="auto"/>
          <w:szCs w:val="21"/>
          <w:highlight w:val="none"/>
        </w:rPr>
      </w:pPr>
      <w:r>
        <w:rPr>
          <w:color w:val="auto"/>
          <w:szCs w:val="21"/>
          <w:highlight w:val="none"/>
        </w:rPr>
        <w:t>3.1满足本磋商文件“竞争性磋商采购邀请”中合格磋商供应商资格要求的规定。</w:t>
      </w:r>
    </w:p>
    <w:p w14:paraId="354F326D">
      <w:pPr>
        <w:tabs>
          <w:tab w:val="left" w:pos="900"/>
        </w:tabs>
        <w:spacing w:line="360" w:lineRule="auto"/>
        <w:ind w:firstLine="420" w:firstLineChars="200"/>
        <w:rPr>
          <w:color w:val="auto"/>
          <w:szCs w:val="21"/>
          <w:highlight w:val="none"/>
        </w:rPr>
      </w:pPr>
      <w:r>
        <w:rPr>
          <w:color w:val="auto"/>
          <w:szCs w:val="21"/>
          <w:highlight w:val="none"/>
        </w:rPr>
        <w:t>3.2 满足本磋商文件实质性要求和条件的规定。</w:t>
      </w:r>
    </w:p>
    <w:p w14:paraId="64E80C96">
      <w:pPr>
        <w:tabs>
          <w:tab w:val="left" w:pos="900"/>
        </w:tabs>
        <w:spacing w:line="360" w:lineRule="auto"/>
        <w:ind w:firstLine="420" w:firstLineChars="200"/>
        <w:rPr>
          <w:color w:val="auto"/>
          <w:szCs w:val="21"/>
          <w:highlight w:val="none"/>
        </w:rPr>
      </w:pPr>
      <w:r>
        <w:rPr>
          <w:color w:val="auto"/>
          <w:szCs w:val="21"/>
          <w:highlight w:val="none"/>
        </w:rPr>
        <w:t>4、参加磋商费用</w:t>
      </w:r>
    </w:p>
    <w:p w14:paraId="51D10146">
      <w:pPr>
        <w:tabs>
          <w:tab w:val="left" w:pos="900"/>
        </w:tabs>
        <w:spacing w:line="360" w:lineRule="auto"/>
        <w:ind w:firstLine="420" w:firstLineChars="200"/>
        <w:rPr>
          <w:color w:val="auto"/>
          <w:szCs w:val="21"/>
          <w:highlight w:val="none"/>
        </w:rPr>
      </w:pPr>
      <w:r>
        <w:rPr>
          <w:color w:val="auto"/>
          <w:szCs w:val="21"/>
          <w:highlight w:val="none"/>
        </w:rPr>
        <w:t>4.1参加磋商供应商应自行承担所有与参加磋商有关的费用。不论最终的成交结果如何，</w:t>
      </w:r>
      <w:r>
        <w:rPr>
          <w:rFonts w:hint="eastAsia"/>
          <w:color w:val="auto"/>
          <w:szCs w:val="21"/>
          <w:highlight w:val="none"/>
          <w:lang w:eastAsia="zh-CN"/>
        </w:rPr>
        <w:t>江苏唯诚建设咨询有限公司</w:t>
      </w:r>
      <w:r>
        <w:rPr>
          <w:color w:val="auto"/>
          <w:szCs w:val="21"/>
          <w:highlight w:val="none"/>
        </w:rPr>
        <w:t>（以下简称代理机构） 在任何情况下均无义务和责任承担这些费用。</w:t>
      </w:r>
    </w:p>
    <w:p w14:paraId="480FBAEF">
      <w:pPr>
        <w:spacing w:line="360" w:lineRule="auto"/>
        <w:ind w:firstLine="422" w:firstLineChars="200"/>
        <w:jc w:val="left"/>
        <w:rPr>
          <w:b/>
          <w:bCs/>
          <w:color w:val="auto"/>
          <w:szCs w:val="21"/>
          <w:highlight w:val="none"/>
        </w:rPr>
      </w:pPr>
      <w:r>
        <w:rPr>
          <w:b/>
          <w:bCs/>
          <w:color w:val="auto"/>
          <w:szCs w:val="21"/>
          <w:highlight w:val="none"/>
        </w:rPr>
        <w:t>4.</w:t>
      </w:r>
      <w:r>
        <w:rPr>
          <w:rFonts w:hint="eastAsia"/>
          <w:b/>
          <w:bCs/>
          <w:color w:val="auto"/>
          <w:szCs w:val="21"/>
          <w:highlight w:val="none"/>
          <w:lang w:val="en-US" w:eastAsia="zh-CN"/>
        </w:rPr>
        <w:t>2</w:t>
      </w:r>
      <w:r>
        <w:rPr>
          <w:b/>
          <w:bCs/>
          <w:color w:val="auto"/>
          <w:szCs w:val="21"/>
          <w:highlight w:val="none"/>
        </w:rPr>
        <w:t>本项目</w:t>
      </w:r>
      <w:r>
        <w:rPr>
          <w:rFonts w:hint="eastAsia"/>
          <w:b/>
          <w:bCs/>
          <w:color w:val="auto"/>
          <w:szCs w:val="21"/>
          <w:highlight w:val="none"/>
        </w:rPr>
        <w:t>代理</w:t>
      </w:r>
      <w:r>
        <w:rPr>
          <w:b/>
          <w:bCs/>
          <w:color w:val="auto"/>
          <w:szCs w:val="21"/>
          <w:highlight w:val="none"/>
        </w:rPr>
        <w:t>服务费：</w:t>
      </w:r>
      <w:r>
        <w:rPr>
          <w:rFonts w:hint="eastAsia"/>
          <w:b/>
          <w:bCs/>
          <w:color w:val="auto"/>
          <w:szCs w:val="21"/>
          <w:highlight w:val="none"/>
        </w:rPr>
        <w:t>本次采购由成交人在领取成交通知书前一次性支付给招标代理机构（具体计算方式详见下表）。</w:t>
      </w:r>
    </w:p>
    <w:tbl>
      <w:tblPr>
        <w:tblStyle w:val="30"/>
        <w:tblW w:w="8812" w:type="dxa"/>
        <w:jc w:val="center"/>
        <w:tblLayout w:type="fixed"/>
        <w:tblCellMar>
          <w:top w:w="0" w:type="dxa"/>
          <w:left w:w="108" w:type="dxa"/>
          <w:bottom w:w="0" w:type="dxa"/>
          <w:right w:w="108" w:type="dxa"/>
        </w:tblCellMar>
      </w:tblPr>
      <w:tblGrid>
        <w:gridCol w:w="2178"/>
        <w:gridCol w:w="2214"/>
        <w:gridCol w:w="1879"/>
        <w:gridCol w:w="2541"/>
      </w:tblGrid>
      <w:tr w14:paraId="05484CDE">
        <w:tblPrEx>
          <w:tblCellMar>
            <w:top w:w="0" w:type="dxa"/>
            <w:left w:w="108" w:type="dxa"/>
            <w:bottom w:w="0" w:type="dxa"/>
            <w:right w:w="108" w:type="dxa"/>
          </w:tblCellMar>
        </w:tblPrEx>
        <w:trPr>
          <w:trHeight w:val="795" w:hRule="atLeast"/>
          <w:jc w:val="center"/>
        </w:trPr>
        <w:tc>
          <w:tcPr>
            <w:tcW w:w="2178" w:type="dxa"/>
            <w:vMerge w:val="restart"/>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C68910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项目</w:t>
            </w:r>
          </w:p>
          <w:p w14:paraId="33C4EE4A">
            <w:pPr>
              <w:widowControl/>
              <w:spacing w:line="360" w:lineRule="auto"/>
              <w:jc w:val="center"/>
              <w:rPr>
                <w:rFonts w:ascii="宋体" w:hAnsi="宋体" w:cs="宋体"/>
                <w:color w:val="auto"/>
                <w:spacing w:val="40"/>
                <w:szCs w:val="21"/>
                <w:highlight w:val="none"/>
              </w:rPr>
            </w:pPr>
            <w:r>
              <w:rPr>
                <w:rFonts w:hint="eastAsia" w:ascii="宋体" w:hAnsi="宋体" w:cs="宋体"/>
                <w:color w:val="auto"/>
                <w:spacing w:val="40"/>
                <w:szCs w:val="21"/>
                <w:highlight w:val="none"/>
              </w:rPr>
              <w:t>类型</w:t>
            </w: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03A28F03">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万以下</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64052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万以上</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4B9BDAF">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代理服务费最高限价</w:t>
            </w:r>
          </w:p>
        </w:tc>
      </w:tr>
      <w:tr w14:paraId="6A66439D">
        <w:tblPrEx>
          <w:tblCellMar>
            <w:top w:w="0" w:type="dxa"/>
            <w:left w:w="108" w:type="dxa"/>
            <w:bottom w:w="0" w:type="dxa"/>
            <w:right w:w="108" w:type="dxa"/>
          </w:tblCellMar>
        </w:tblPrEx>
        <w:trPr>
          <w:trHeight w:val="952" w:hRule="atLeast"/>
          <w:jc w:val="center"/>
        </w:trPr>
        <w:tc>
          <w:tcPr>
            <w:tcW w:w="2178" w:type="dxa"/>
            <w:vMerge w:val="continue"/>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5734AD2">
            <w:pPr>
              <w:widowControl/>
              <w:spacing w:line="360" w:lineRule="auto"/>
              <w:jc w:val="center"/>
              <w:rPr>
                <w:rFonts w:ascii="宋体" w:hAnsi="宋体" w:cs="宋体"/>
                <w:color w:val="auto"/>
                <w:spacing w:val="40"/>
                <w:szCs w:val="21"/>
                <w:highlight w:val="none"/>
              </w:rPr>
            </w:pPr>
          </w:p>
        </w:tc>
        <w:tc>
          <w:tcPr>
            <w:tcW w:w="2214"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4985AD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5C8825D6">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46DF05E4">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0050C4A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（折扣率）</w:t>
            </w:r>
          </w:p>
        </w:tc>
        <w:tc>
          <w:tcPr>
            <w:tcW w:w="2541"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FEC88EA">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代理费</w:t>
            </w:r>
          </w:p>
          <w:p w14:paraId="79EEEAA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（单位：元）</w:t>
            </w:r>
          </w:p>
        </w:tc>
      </w:tr>
      <w:tr w14:paraId="5633A513">
        <w:tblPrEx>
          <w:tblCellMar>
            <w:top w:w="0" w:type="dxa"/>
            <w:left w:w="108" w:type="dxa"/>
            <w:bottom w:w="0" w:type="dxa"/>
            <w:right w:w="108" w:type="dxa"/>
          </w:tblCellMar>
        </w:tblPrEx>
        <w:trPr>
          <w:trHeight w:val="431"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35E86B5D">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w:t>
            </w:r>
          </w:p>
        </w:tc>
        <w:tc>
          <w:tcPr>
            <w:tcW w:w="2214"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39295E34">
            <w:pPr>
              <w:widowControl/>
              <w:spacing w:line="360" w:lineRule="auto"/>
              <w:jc w:val="center"/>
              <w:rPr>
                <w:rFonts w:ascii="宋体" w:hAnsi="宋体" w:cs="宋体"/>
                <w:color w:val="auto"/>
                <w:szCs w:val="21"/>
                <w:highlight w:val="none"/>
              </w:rPr>
            </w:pPr>
            <w:r>
              <w:rPr>
                <w:rFonts w:hint="eastAsia" w:cs="宋体"/>
                <w:color w:val="auto"/>
                <w:szCs w:val="21"/>
                <w:highlight w:val="none"/>
              </w:rPr>
              <w:t>1</w:t>
            </w:r>
            <w:r>
              <w:rPr>
                <w:rFonts w:hint="eastAsia" w:cs="宋体"/>
                <w:color w:val="auto"/>
                <w:szCs w:val="21"/>
                <w:highlight w:val="none"/>
                <w:lang w:val="en-US" w:eastAsia="zh-CN"/>
              </w:rPr>
              <w:t>35</w:t>
            </w:r>
            <w:r>
              <w:rPr>
                <w:rFonts w:hint="eastAsia" w:cs="宋体"/>
                <w:color w:val="auto"/>
                <w:szCs w:val="21"/>
                <w:highlight w:val="none"/>
              </w:rPr>
              <w:t>0</w:t>
            </w:r>
            <w:r>
              <w:rPr>
                <w:rFonts w:hint="eastAsia" w:ascii="宋体" w:hAnsi="宋体" w:cs="宋体"/>
                <w:color w:val="auto"/>
                <w:szCs w:val="21"/>
                <w:highlight w:val="none"/>
              </w:rPr>
              <w:t>元</w:t>
            </w:r>
          </w:p>
        </w:tc>
        <w:tc>
          <w:tcPr>
            <w:tcW w:w="1879"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51806B20">
            <w:pPr>
              <w:widowControl/>
              <w:spacing w:line="360" w:lineRule="auto"/>
              <w:jc w:val="center"/>
              <w:rPr>
                <w:rFonts w:ascii="宋体" w:hAnsi="宋体" w:cs="宋体"/>
                <w:color w:val="auto"/>
                <w:szCs w:val="21"/>
                <w:highlight w:val="none"/>
              </w:rPr>
            </w:pPr>
            <w:r>
              <w:rPr>
                <w:rFonts w:hint="eastAsia" w:cs="宋体"/>
                <w:color w:val="auto"/>
                <w:szCs w:val="21"/>
                <w:highlight w:val="none"/>
                <w:u w:val="single"/>
              </w:rPr>
              <w:t>1</w:t>
            </w:r>
            <w:r>
              <w:rPr>
                <w:rFonts w:hint="eastAsia"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restart"/>
            <w:tcBorders>
              <w:top w:val="single" w:color="000000" w:sz="4" w:space="0"/>
              <w:left w:val="single" w:color="000000" w:sz="4" w:space="0"/>
              <w:bottom w:val="nil"/>
              <w:right w:val="single" w:color="000000" w:sz="4" w:space="0"/>
            </w:tcBorders>
            <w:noWrap/>
            <w:tcMar>
              <w:top w:w="0" w:type="dxa"/>
              <w:left w:w="108" w:type="dxa"/>
              <w:bottom w:w="0" w:type="dxa"/>
              <w:right w:w="108" w:type="dxa"/>
            </w:tcMar>
            <w:vAlign w:val="center"/>
          </w:tcPr>
          <w:p w14:paraId="6F999E99">
            <w:pPr>
              <w:widowControl/>
              <w:spacing w:line="360" w:lineRule="auto"/>
              <w:jc w:val="center"/>
              <w:rPr>
                <w:rFonts w:ascii="宋体" w:hAnsi="宋体" w:cs="宋体"/>
                <w:color w:val="auto"/>
                <w:szCs w:val="21"/>
                <w:highlight w:val="none"/>
              </w:rPr>
            </w:pPr>
            <w:r>
              <w:rPr>
                <w:rFonts w:hint="eastAsia" w:cs="宋体"/>
                <w:color w:val="auto"/>
                <w:szCs w:val="21"/>
                <w:highlight w:val="none"/>
                <w:lang w:val="en-US" w:eastAsia="zh-CN"/>
              </w:rPr>
              <w:t>9</w:t>
            </w:r>
            <w:r>
              <w:rPr>
                <w:rFonts w:hint="eastAsia" w:cs="宋体"/>
                <w:color w:val="auto"/>
                <w:szCs w:val="21"/>
                <w:highlight w:val="none"/>
              </w:rPr>
              <w:t>000</w:t>
            </w:r>
            <w:r>
              <w:rPr>
                <w:rFonts w:hint="eastAsia" w:ascii="宋体" w:hAnsi="宋体" w:cs="宋体"/>
                <w:color w:val="auto"/>
                <w:szCs w:val="21"/>
                <w:highlight w:val="none"/>
              </w:rPr>
              <w:t>元</w:t>
            </w:r>
          </w:p>
        </w:tc>
      </w:tr>
      <w:tr w14:paraId="79A3496A">
        <w:tblPrEx>
          <w:tblCellMar>
            <w:top w:w="0" w:type="dxa"/>
            <w:left w:w="108" w:type="dxa"/>
            <w:bottom w:w="0" w:type="dxa"/>
            <w:right w:w="108" w:type="dxa"/>
          </w:tblCellMar>
        </w:tblPrEx>
        <w:trPr>
          <w:trHeight w:val="436"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5871509E">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w:t>
            </w:r>
          </w:p>
        </w:tc>
        <w:tc>
          <w:tcPr>
            <w:tcW w:w="2214"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336B318C">
            <w:pPr>
              <w:widowControl/>
              <w:spacing w:line="360" w:lineRule="auto"/>
              <w:jc w:val="center"/>
              <w:rPr>
                <w:rFonts w:ascii="宋体" w:hAnsi="宋体" w:cs="宋体"/>
                <w:color w:val="auto"/>
                <w:szCs w:val="21"/>
                <w:highlight w:val="none"/>
              </w:rPr>
            </w:pPr>
          </w:p>
        </w:tc>
        <w:tc>
          <w:tcPr>
            <w:tcW w:w="1879"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F973E7A">
            <w:pPr>
              <w:widowControl/>
              <w:spacing w:line="360" w:lineRule="auto"/>
              <w:jc w:val="center"/>
              <w:rPr>
                <w:rFonts w:ascii="宋体" w:hAnsi="宋体" w:cs="宋体"/>
                <w:color w:val="auto"/>
                <w:szCs w:val="21"/>
                <w:highlight w:val="none"/>
              </w:rPr>
            </w:pPr>
          </w:p>
        </w:tc>
        <w:tc>
          <w:tcPr>
            <w:tcW w:w="2541" w:type="dxa"/>
            <w:vMerge w:val="continue"/>
            <w:tcBorders>
              <w:top w:val="nil"/>
              <w:left w:val="single" w:color="000000" w:sz="4" w:space="0"/>
              <w:bottom w:val="nil"/>
              <w:right w:val="single" w:color="000000" w:sz="4" w:space="0"/>
            </w:tcBorders>
            <w:noWrap/>
            <w:tcMar>
              <w:top w:w="0" w:type="dxa"/>
              <w:left w:w="108" w:type="dxa"/>
              <w:bottom w:w="0" w:type="dxa"/>
              <w:right w:w="108" w:type="dxa"/>
            </w:tcMar>
            <w:vAlign w:val="center"/>
          </w:tcPr>
          <w:p w14:paraId="6D00280F">
            <w:pPr>
              <w:widowControl/>
              <w:spacing w:line="360" w:lineRule="auto"/>
              <w:jc w:val="center"/>
              <w:rPr>
                <w:rFonts w:ascii="宋体" w:hAnsi="宋体" w:cs="宋体"/>
                <w:color w:val="auto"/>
                <w:szCs w:val="21"/>
                <w:highlight w:val="none"/>
              </w:rPr>
            </w:pPr>
          </w:p>
        </w:tc>
      </w:tr>
      <w:tr w14:paraId="53352249">
        <w:tblPrEx>
          <w:tblCellMar>
            <w:top w:w="0" w:type="dxa"/>
            <w:left w:w="108" w:type="dxa"/>
            <w:bottom w:w="0" w:type="dxa"/>
            <w:right w:w="108" w:type="dxa"/>
          </w:tblCellMar>
        </w:tblPrEx>
        <w:trPr>
          <w:trHeight w:val="535" w:hRule="atLeast"/>
          <w:jc w:val="center"/>
        </w:trPr>
        <w:tc>
          <w:tcPr>
            <w:tcW w:w="2178"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2554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w:t>
            </w:r>
          </w:p>
        </w:tc>
        <w:tc>
          <w:tcPr>
            <w:tcW w:w="2214"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77035FA2">
            <w:pPr>
              <w:widowControl/>
              <w:spacing w:line="360" w:lineRule="auto"/>
              <w:jc w:val="center"/>
              <w:rPr>
                <w:rFonts w:ascii="宋体" w:hAnsi="宋体" w:cs="宋体"/>
                <w:color w:val="auto"/>
                <w:szCs w:val="21"/>
                <w:highlight w:val="none"/>
              </w:rPr>
            </w:pPr>
          </w:p>
        </w:tc>
        <w:tc>
          <w:tcPr>
            <w:tcW w:w="1879" w:type="dxa"/>
            <w:tcBorders>
              <w:top w:val="single" w:color="000000" w:sz="4" w:space="0"/>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683744C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u w:val="single"/>
              </w:rPr>
              <w:t>1</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rPr>
              <w:t>%</w:t>
            </w:r>
          </w:p>
        </w:tc>
        <w:tc>
          <w:tcPr>
            <w:tcW w:w="2541" w:type="dxa"/>
            <w:vMerge w:val="continue"/>
            <w:tcBorders>
              <w:top w:val="nil"/>
              <w:left w:val="single" w:color="000000" w:sz="4" w:space="0"/>
              <w:bottom w:val="single" w:color="000000" w:sz="4" w:space="0"/>
              <w:right w:val="single" w:color="000000" w:sz="4" w:space="0"/>
            </w:tcBorders>
            <w:noWrap/>
            <w:tcMar>
              <w:top w:w="0" w:type="dxa"/>
              <w:left w:w="108" w:type="dxa"/>
              <w:bottom w:w="0" w:type="dxa"/>
              <w:right w:w="108" w:type="dxa"/>
            </w:tcMar>
            <w:vAlign w:val="center"/>
          </w:tcPr>
          <w:p w14:paraId="146C812E">
            <w:pPr>
              <w:widowControl/>
              <w:spacing w:line="360" w:lineRule="auto"/>
              <w:jc w:val="center"/>
              <w:rPr>
                <w:rFonts w:ascii="宋体" w:hAnsi="宋体" w:cs="宋体"/>
                <w:color w:val="auto"/>
                <w:szCs w:val="21"/>
                <w:highlight w:val="none"/>
              </w:rPr>
            </w:pPr>
          </w:p>
        </w:tc>
      </w:tr>
    </w:tbl>
    <w:p w14:paraId="0FEDC4FF">
      <w:pPr>
        <w:spacing w:line="360" w:lineRule="auto"/>
        <w:ind w:firstLine="420" w:firstLineChars="200"/>
        <w:jc w:val="center"/>
        <w:rPr>
          <w:color w:val="auto"/>
          <w:szCs w:val="21"/>
          <w:highlight w:val="none"/>
        </w:rPr>
      </w:pPr>
      <w:r>
        <w:rPr>
          <w:rFonts w:hint="eastAsia"/>
          <w:color w:val="auto"/>
          <w:szCs w:val="21"/>
          <w:highlight w:val="none"/>
        </w:rPr>
        <w:t>基准费率表</w:t>
      </w:r>
    </w:p>
    <w:tbl>
      <w:tblPr>
        <w:tblStyle w:val="30"/>
        <w:tblW w:w="8790" w:type="dxa"/>
        <w:jc w:val="center"/>
        <w:tblLayout w:type="fixed"/>
        <w:tblCellMar>
          <w:top w:w="0" w:type="dxa"/>
          <w:left w:w="0" w:type="dxa"/>
          <w:bottom w:w="0" w:type="dxa"/>
          <w:right w:w="0" w:type="dxa"/>
        </w:tblCellMar>
      </w:tblPr>
      <w:tblGrid>
        <w:gridCol w:w="3027"/>
        <w:gridCol w:w="1759"/>
        <w:gridCol w:w="1759"/>
        <w:gridCol w:w="2245"/>
      </w:tblGrid>
      <w:tr w14:paraId="7FF3128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4D9CC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中标（成交）金额（万元）</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188BC87B">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货物采购</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D2A1200">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服务采购</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BC28468">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工程采购</w:t>
            </w:r>
          </w:p>
        </w:tc>
      </w:tr>
      <w:tr w14:paraId="50F1CB1E">
        <w:tblPrEx>
          <w:tblCellMar>
            <w:top w:w="0" w:type="dxa"/>
            <w:left w:w="0" w:type="dxa"/>
            <w:bottom w:w="0" w:type="dxa"/>
            <w:right w:w="0" w:type="dxa"/>
          </w:tblCellMar>
        </w:tblPrEx>
        <w:trPr>
          <w:trHeight w:val="374"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5E90D9">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以下</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4C35629">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820159F">
            <w:pPr>
              <w:widowControl/>
              <w:spacing w:line="360" w:lineRule="auto"/>
              <w:jc w:val="center"/>
              <w:rPr>
                <w:rFonts w:ascii="宋体" w:hAnsi="宋体" w:cs="宋体"/>
                <w:color w:val="auto"/>
                <w:szCs w:val="21"/>
                <w:highlight w:val="none"/>
              </w:rPr>
            </w:pPr>
            <w:r>
              <w:rPr>
                <w:rFonts w:hint="eastAsia" w:cs="宋体"/>
                <w:color w:val="auto"/>
                <w:szCs w:val="21"/>
                <w:highlight w:val="none"/>
              </w:rPr>
              <w:t>1.5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6621FC7">
            <w:pPr>
              <w:widowControl/>
              <w:spacing w:line="360" w:lineRule="auto"/>
              <w:jc w:val="center"/>
              <w:rPr>
                <w:rFonts w:ascii="宋体" w:hAnsi="宋体" w:cs="宋体"/>
                <w:color w:val="auto"/>
                <w:szCs w:val="21"/>
                <w:highlight w:val="none"/>
              </w:rPr>
            </w:pPr>
            <w:r>
              <w:rPr>
                <w:rFonts w:hint="eastAsia" w:cs="宋体"/>
                <w:color w:val="auto"/>
                <w:szCs w:val="21"/>
                <w:highlight w:val="none"/>
              </w:rPr>
              <w:t>1.0</w:t>
            </w:r>
            <w:r>
              <w:rPr>
                <w:rFonts w:hint="eastAsia" w:ascii="宋体" w:hAnsi="宋体" w:cs="宋体"/>
                <w:color w:val="auto"/>
                <w:szCs w:val="21"/>
                <w:highlight w:val="none"/>
              </w:rPr>
              <w:t>％</w:t>
            </w:r>
          </w:p>
        </w:tc>
      </w:tr>
      <w:tr w14:paraId="6BCA693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40FFA4C">
            <w:pPr>
              <w:widowControl/>
              <w:spacing w:line="360" w:lineRule="auto"/>
              <w:jc w:val="center"/>
              <w:rPr>
                <w:rFonts w:ascii="宋体" w:hAnsi="宋体" w:cs="宋体"/>
                <w:color w:val="auto"/>
                <w:szCs w:val="21"/>
                <w:highlight w:val="none"/>
              </w:rPr>
            </w:pPr>
            <w:r>
              <w:rPr>
                <w:rFonts w:hint="eastAsia" w:cs="宋体"/>
                <w:color w:val="auto"/>
                <w:szCs w:val="21"/>
                <w:highlight w:val="none"/>
              </w:rPr>
              <w:t>100</w:t>
            </w:r>
            <w:r>
              <w:rPr>
                <w:rFonts w:hint="eastAsia" w:ascii="宋体" w:hAnsi="宋体" w:cs="宋体"/>
                <w:color w:val="auto"/>
                <w:szCs w:val="21"/>
                <w:highlight w:val="none"/>
              </w:rPr>
              <w:t>-</w:t>
            </w:r>
            <w:r>
              <w:rPr>
                <w:rFonts w:hint="eastAsia" w:cs="宋体"/>
                <w:color w:val="auto"/>
                <w:szCs w:val="21"/>
                <w:highlight w:val="none"/>
              </w:rPr>
              <w:t>500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2911A4A">
            <w:pPr>
              <w:widowControl/>
              <w:spacing w:line="360" w:lineRule="auto"/>
              <w:jc w:val="center"/>
              <w:rPr>
                <w:rFonts w:ascii="宋体" w:hAnsi="宋体" w:cs="宋体"/>
                <w:color w:val="auto"/>
                <w:szCs w:val="21"/>
                <w:highlight w:val="none"/>
              </w:rPr>
            </w:pPr>
            <w:r>
              <w:rPr>
                <w:rFonts w:hint="eastAsia" w:cs="宋体"/>
                <w:color w:val="auto"/>
                <w:szCs w:val="21"/>
                <w:highlight w:val="none"/>
              </w:rPr>
              <w:t>1.1</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DF344F9">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659896D">
            <w:pPr>
              <w:widowControl/>
              <w:spacing w:line="360" w:lineRule="auto"/>
              <w:jc w:val="center"/>
              <w:rPr>
                <w:rFonts w:ascii="宋体" w:hAnsi="宋体" w:cs="宋体"/>
                <w:color w:val="auto"/>
                <w:szCs w:val="21"/>
                <w:highlight w:val="none"/>
              </w:rPr>
            </w:pPr>
            <w:r>
              <w:rPr>
                <w:rFonts w:hint="eastAsia" w:cs="宋体"/>
                <w:color w:val="auto"/>
                <w:szCs w:val="21"/>
                <w:highlight w:val="none"/>
              </w:rPr>
              <w:t>0.7</w:t>
            </w:r>
            <w:r>
              <w:rPr>
                <w:rFonts w:hint="eastAsia" w:ascii="宋体" w:hAnsi="宋体" w:cs="宋体"/>
                <w:color w:val="auto"/>
                <w:szCs w:val="21"/>
                <w:highlight w:val="none"/>
              </w:rPr>
              <w:t>％</w:t>
            </w:r>
          </w:p>
        </w:tc>
      </w:tr>
      <w:tr w14:paraId="0F0970B7">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F6C0F85">
            <w:pPr>
              <w:widowControl/>
              <w:spacing w:line="360" w:lineRule="auto"/>
              <w:jc w:val="center"/>
              <w:rPr>
                <w:rFonts w:ascii="宋体" w:hAnsi="宋体" w:cs="宋体"/>
                <w:color w:val="auto"/>
                <w:szCs w:val="21"/>
                <w:highlight w:val="none"/>
              </w:rPr>
            </w:pPr>
            <w:r>
              <w:rPr>
                <w:rFonts w:hint="eastAsia" w:cs="宋体"/>
                <w:color w:val="auto"/>
                <w:szCs w:val="21"/>
                <w:highlight w:val="none"/>
              </w:rPr>
              <w:t>500</w:t>
            </w:r>
            <w:r>
              <w:rPr>
                <w:rFonts w:hint="eastAsia" w:ascii="宋体" w:hAnsi="宋体" w:cs="宋体"/>
                <w:color w:val="auto"/>
                <w:szCs w:val="21"/>
                <w:highlight w:val="none"/>
              </w:rPr>
              <w:t>-</w:t>
            </w:r>
            <w:r>
              <w:rPr>
                <w:rFonts w:hint="eastAsia" w:cs="宋体"/>
                <w:color w:val="auto"/>
                <w:szCs w:val="21"/>
                <w:highlight w:val="none"/>
              </w:rPr>
              <w:t>1000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A2F46">
            <w:pPr>
              <w:widowControl/>
              <w:spacing w:line="360" w:lineRule="auto"/>
              <w:jc w:val="center"/>
              <w:rPr>
                <w:rFonts w:ascii="宋体" w:hAnsi="宋体" w:cs="宋体"/>
                <w:color w:val="auto"/>
                <w:szCs w:val="21"/>
                <w:highlight w:val="none"/>
              </w:rPr>
            </w:pPr>
            <w:r>
              <w:rPr>
                <w:rFonts w:hint="eastAsia" w:cs="宋体"/>
                <w:color w:val="auto"/>
                <w:szCs w:val="21"/>
                <w:highlight w:val="none"/>
              </w:rPr>
              <w:t>0.8</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4159D78">
            <w:pPr>
              <w:widowControl/>
              <w:spacing w:line="360" w:lineRule="auto"/>
              <w:jc w:val="center"/>
              <w:rPr>
                <w:rFonts w:ascii="宋体" w:hAnsi="宋体" w:cs="宋体"/>
                <w:color w:val="auto"/>
                <w:szCs w:val="21"/>
                <w:highlight w:val="none"/>
              </w:rPr>
            </w:pPr>
            <w:r>
              <w:rPr>
                <w:rFonts w:hint="eastAsia" w:cs="宋体"/>
                <w:color w:val="auto"/>
                <w:szCs w:val="21"/>
                <w:highlight w:val="none"/>
              </w:rPr>
              <w:t>0.45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F5D175D">
            <w:pPr>
              <w:widowControl/>
              <w:spacing w:line="360" w:lineRule="auto"/>
              <w:jc w:val="center"/>
              <w:rPr>
                <w:rFonts w:ascii="宋体" w:hAnsi="宋体" w:cs="宋体"/>
                <w:color w:val="auto"/>
                <w:szCs w:val="21"/>
                <w:highlight w:val="none"/>
              </w:rPr>
            </w:pPr>
            <w:r>
              <w:rPr>
                <w:rFonts w:hint="eastAsia" w:cs="宋体"/>
                <w:color w:val="auto"/>
                <w:szCs w:val="21"/>
                <w:highlight w:val="none"/>
              </w:rPr>
              <w:t>0.55</w:t>
            </w:r>
            <w:r>
              <w:rPr>
                <w:rFonts w:hint="eastAsia" w:ascii="宋体" w:hAnsi="宋体" w:cs="宋体"/>
                <w:color w:val="auto"/>
                <w:szCs w:val="21"/>
                <w:highlight w:val="none"/>
              </w:rPr>
              <w:t>％</w:t>
            </w:r>
          </w:p>
        </w:tc>
      </w:tr>
      <w:tr w14:paraId="5E911FC0">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197D1F2">
            <w:pPr>
              <w:widowControl/>
              <w:spacing w:line="360" w:lineRule="auto"/>
              <w:jc w:val="center"/>
              <w:rPr>
                <w:rFonts w:ascii="宋体" w:hAnsi="宋体" w:cs="宋体"/>
                <w:color w:val="auto"/>
                <w:szCs w:val="21"/>
                <w:highlight w:val="none"/>
              </w:rPr>
            </w:pPr>
            <w:r>
              <w:rPr>
                <w:rFonts w:hint="eastAsia" w:cs="宋体"/>
                <w:color w:val="auto"/>
                <w:szCs w:val="21"/>
                <w:highlight w:val="none"/>
              </w:rPr>
              <w:t>1000</w:t>
            </w:r>
            <w:r>
              <w:rPr>
                <w:rFonts w:hint="eastAsia" w:ascii="宋体" w:hAnsi="宋体" w:cs="宋体"/>
                <w:color w:val="auto"/>
                <w:szCs w:val="21"/>
                <w:highlight w:val="none"/>
              </w:rPr>
              <w:t>-</w:t>
            </w:r>
            <w:r>
              <w:rPr>
                <w:rFonts w:hint="eastAsia" w:cs="宋体"/>
                <w:color w:val="auto"/>
                <w:szCs w:val="21"/>
                <w:highlight w:val="none"/>
              </w:rPr>
              <w:t>5000</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0988A7D">
            <w:pPr>
              <w:widowControl/>
              <w:spacing w:line="360" w:lineRule="auto"/>
              <w:jc w:val="center"/>
              <w:rPr>
                <w:rFonts w:ascii="宋体" w:hAnsi="宋体" w:cs="宋体"/>
                <w:color w:val="auto"/>
                <w:szCs w:val="21"/>
                <w:highlight w:val="none"/>
              </w:rPr>
            </w:pPr>
            <w:r>
              <w:rPr>
                <w:rFonts w:hint="eastAsia" w:cs="宋体"/>
                <w:color w:val="auto"/>
                <w:szCs w:val="21"/>
                <w:highlight w:val="none"/>
              </w:rPr>
              <w:t>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0C70BE1">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AC476B3">
            <w:pPr>
              <w:widowControl/>
              <w:spacing w:line="360" w:lineRule="auto"/>
              <w:jc w:val="center"/>
              <w:rPr>
                <w:rFonts w:ascii="宋体" w:hAnsi="宋体" w:cs="宋体"/>
                <w:color w:val="auto"/>
                <w:szCs w:val="21"/>
                <w:highlight w:val="none"/>
              </w:rPr>
            </w:pPr>
            <w:r>
              <w:rPr>
                <w:rFonts w:hint="eastAsia" w:cs="宋体"/>
                <w:color w:val="auto"/>
                <w:szCs w:val="21"/>
                <w:highlight w:val="none"/>
              </w:rPr>
              <w:t>0.35</w:t>
            </w:r>
            <w:r>
              <w:rPr>
                <w:rFonts w:hint="eastAsia" w:ascii="宋体" w:hAnsi="宋体" w:cs="宋体"/>
                <w:color w:val="auto"/>
                <w:szCs w:val="21"/>
                <w:highlight w:val="none"/>
              </w:rPr>
              <w:t>％</w:t>
            </w:r>
          </w:p>
        </w:tc>
      </w:tr>
      <w:tr w14:paraId="36042ADB">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04F915A">
            <w:pPr>
              <w:widowControl/>
              <w:spacing w:line="360" w:lineRule="auto"/>
              <w:jc w:val="center"/>
              <w:rPr>
                <w:rFonts w:ascii="宋体" w:hAnsi="宋体" w:cs="宋体"/>
                <w:color w:val="auto"/>
                <w:szCs w:val="21"/>
                <w:highlight w:val="none"/>
              </w:rPr>
            </w:pPr>
            <w:r>
              <w:rPr>
                <w:rFonts w:hint="eastAsia" w:cs="宋体"/>
                <w:color w:val="auto"/>
                <w:szCs w:val="21"/>
                <w:highlight w:val="none"/>
              </w:rPr>
              <w:t>5000</w:t>
            </w:r>
            <w:r>
              <w:rPr>
                <w:rFonts w:hint="eastAsia" w:ascii="宋体" w:hAnsi="宋体" w:cs="宋体"/>
                <w:color w:val="auto"/>
                <w:szCs w:val="21"/>
                <w:highlight w:val="none"/>
              </w:rPr>
              <w:t>-</w:t>
            </w:r>
            <w:r>
              <w:rPr>
                <w:rFonts w:hint="eastAsia" w:cs="宋体"/>
                <w:color w:val="auto"/>
                <w:szCs w:val="21"/>
                <w:highlight w:val="none"/>
              </w:rPr>
              <w:t>1</w:t>
            </w:r>
            <w:r>
              <w:rPr>
                <w:rFonts w:hint="eastAsia" w:ascii="宋体" w:hAnsi="宋体" w:cs="宋体"/>
                <w:color w:val="auto"/>
                <w:szCs w:val="21"/>
                <w:highlight w:val="none"/>
              </w:rPr>
              <w:t>亿</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1FC47B7">
            <w:pPr>
              <w:widowControl/>
              <w:spacing w:line="360" w:lineRule="auto"/>
              <w:jc w:val="center"/>
              <w:rPr>
                <w:rFonts w:ascii="宋体" w:hAnsi="宋体" w:cs="宋体"/>
                <w:color w:val="auto"/>
                <w:szCs w:val="21"/>
                <w:highlight w:val="none"/>
              </w:rPr>
            </w:pPr>
            <w:r>
              <w:rPr>
                <w:rFonts w:hint="eastAsia" w:cs="宋体"/>
                <w:color w:val="auto"/>
                <w:szCs w:val="21"/>
                <w:highlight w:val="none"/>
              </w:rPr>
              <w:t>0.25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7210FD0">
            <w:pPr>
              <w:widowControl/>
              <w:spacing w:line="360" w:lineRule="auto"/>
              <w:jc w:val="center"/>
              <w:rPr>
                <w:rFonts w:ascii="宋体" w:hAnsi="宋体" w:cs="宋体"/>
                <w:color w:val="auto"/>
                <w:szCs w:val="21"/>
                <w:highlight w:val="none"/>
              </w:rPr>
            </w:pPr>
            <w:r>
              <w:rPr>
                <w:rFonts w:hint="eastAsia" w:cs="宋体"/>
                <w:color w:val="auto"/>
                <w:szCs w:val="21"/>
                <w:highlight w:val="none"/>
              </w:rPr>
              <w:t>0.1</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EBEFDAA">
            <w:pPr>
              <w:widowControl/>
              <w:spacing w:line="360" w:lineRule="auto"/>
              <w:jc w:val="center"/>
              <w:rPr>
                <w:rFonts w:ascii="宋体" w:hAnsi="宋体" w:cs="宋体"/>
                <w:color w:val="auto"/>
                <w:szCs w:val="21"/>
                <w:highlight w:val="none"/>
              </w:rPr>
            </w:pPr>
            <w:r>
              <w:rPr>
                <w:rFonts w:hint="eastAsia" w:cs="宋体"/>
                <w:color w:val="auto"/>
                <w:szCs w:val="21"/>
                <w:highlight w:val="none"/>
              </w:rPr>
              <w:t>0.2</w:t>
            </w:r>
            <w:r>
              <w:rPr>
                <w:rFonts w:hint="eastAsia" w:ascii="宋体" w:hAnsi="宋体" w:cs="宋体"/>
                <w:color w:val="auto"/>
                <w:szCs w:val="21"/>
                <w:highlight w:val="none"/>
              </w:rPr>
              <w:t>％</w:t>
            </w:r>
          </w:p>
        </w:tc>
      </w:tr>
      <w:tr w14:paraId="1EDECEDC">
        <w:tblPrEx>
          <w:tblCellMar>
            <w:top w:w="0" w:type="dxa"/>
            <w:left w:w="0" w:type="dxa"/>
            <w:bottom w:w="0" w:type="dxa"/>
            <w:right w:w="0" w:type="dxa"/>
          </w:tblCellMar>
        </w:tblPrEx>
        <w:trPr>
          <w:trHeight w:val="227" w:hRule="atLeast"/>
          <w:jc w:val="center"/>
        </w:trPr>
        <w:tc>
          <w:tcPr>
            <w:tcW w:w="3027"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6A08DDC">
            <w:pPr>
              <w:widowControl/>
              <w:spacing w:line="360" w:lineRule="auto"/>
              <w:jc w:val="center"/>
              <w:rPr>
                <w:rFonts w:ascii="宋体" w:hAnsi="宋体" w:cs="宋体"/>
                <w:color w:val="auto"/>
                <w:szCs w:val="21"/>
                <w:highlight w:val="none"/>
              </w:rPr>
            </w:pPr>
            <w:r>
              <w:rPr>
                <w:rFonts w:hint="eastAsia" w:cs="宋体"/>
                <w:color w:val="auto"/>
                <w:szCs w:val="21"/>
                <w:highlight w:val="none"/>
              </w:rPr>
              <w:t>1</w:t>
            </w:r>
            <w:r>
              <w:rPr>
                <w:rFonts w:hint="eastAsia" w:ascii="宋体" w:hAnsi="宋体" w:cs="宋体"/>
                <w:color w:val="auto"/>
                <w:szCs w:val="21"/>
                <w:highlight w:val="none"/>
              </w:rPr>
              <w:t>亿以上</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390FBB8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1759"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E32D330">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c>
          <w:tcPr>
            <w:tcW w:w="2245"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2CB58B04">
            <w:pPr>
              <w:widowControl/>
              <w:spacing w:line="360" w:lineRule="auto"/>
              <w:jc w:val="center"/>
              <w:rPr>
                <w:rFonts w:ascii="宋体" w:hAnsi="宋体" w:cs="宋体"/>
                <w:color w:val="auto"/>
                <w:szCs w:val="21"/>
                <w:highlight w:val="none"/>
              </w:rPr>
            </w:pPr>
            <w:r>
              <w:rPr>
                <w:rFonts w:hint="eastAsia" w:cs="宋体"/>
                <w:color w:val="auto"/>
                <w:szCs w:val="21"/>
                <w:highlight w:val="none"/>
              </w:rPr>
              <w:t>0.05</w:t>
            </w:r>
            <w:r>
              <w:rPr>
                <w:rFonts w:hint="eastAsia" w:ascii="宋体" w:hAnsi="宋体" w:cs="宋体"/>
                <w:color w:val="auto"/>
                <w:szCs w:val="21"/>
                <w:highlight w:val="none"/>
              </w:rPr>
              <w:t>％</w:t>
            </w:r>
          </w:p>
        </w:tc>
      </w:tr>
    </w:tbl>
    <w:p w14:paraId="2B1BFE41">
      <w:pPr>
        <w:spacing w:line="360" w:lineRule="auto"/>
        <w:ind w:firstLine="422"/>
        <w:rPr>
          <w:rFonts w:hint="eastAsia" w:ascii="宋体" w:hAnsi="宋体" w:cs="宋体"/>
          <w:b/>
          <w:bCs/>
          <w:color w:val="000000"/>
          <w:szCs w:val="21"/>
          <w:highlight w:val="none"/>
          <w:lang w:eastAsia="zh-CN"/>
        </w:rPr>
      </w:pPr>
      <w:r>
        <w:rPr>
          <w:rFonts w:hint="eastAsia" w:ascii="宋体" w:hAnsi="宋体" w:cs="宋体"/>
          <w:b/>
          <w:bCs/>
          <w:color w:val="000000"/>
          <w:szCs w:val="21"/>
          <w:highlight w:val="none"/>
        </w:rPr>
        <w:t>招标代理服务费开户银行：</w:t>
      </w:r>
      <w:r>
        <w:rPr>
          <w:rFonts w:hint="eastAsia" w:ascii="宋体" w:hAnsi="宋体" w:cs="宋体"/>
          <w:b/>
          <w:bCs/>
          <w:color w:val="000000"/>
          <w:szCs w:val="21"/>
          <w:highlight w:val="none"/>
          <w:lang w:eastAsia="zh-CN"/>
        </w:rPr>
        <w:t>江苏银行扬州广陵支行</w:t>
      </w:r>
    </w:p>
    <w:p w14:paraId="63B72E23">
      <w:pPr>
        <w:spacing w:line="360" w:lineRule="auto"/>
        <w:ind w:firstLine="422"/>
        <w:rPr>
          <w:rFonts w:hint="eastAsia" w:ascii="宋体" w:hAnsi="宋体" w:eastAsia="宋体" w:cs="宋体"/>
          <w:b/>
          <w:bCs/>
          <w:color w:val="000000"/>
          <w:szCs w:val="21"/>
          <w:highlight w:val="none"/>
          <w:lang w:eastAsia="zh-CN"/>
        </w:rPr>
      </w:pPr>
      <w:r>
        <w:rPr>
          <w:rFonts w:hint="eastAsia" w:ascii="宋体" w:hAnsi="宋体" w:cs="宋体"/>
          <w:b/>
          <w:bCs/>
          <w:color w:val="000000"/>
          <w:szCs w:val="21"/>
          <w:highlight w:val="none"/>
        </w:rPr>
        <w:t>    开户名称：</w:t>
      </w:r>
      <w:r>
        <w:rPr>
          <w:rFonts w:hint="eastAsia" w:ascii="宋体" w:hAnsi="宋体" w:cs="宋体"/>
          <w:b/>
          <w:bCs/>
          <w:color w:val="000000"/>
          <w:szCs w:val="21"/>
          <w:highlight w:val="none"/>
          <w:lang w:eastAsia="zh-CN"/>
        </w:rPr>
        <w:t>江苏唯诚建设咨询有限公司</w:t>
      </w:r>
    </w:p>
    <w:p w14:paraId="52305351">
      <w:pPr>
        <w:spacing w:line="360" w:lineRule="auto"/>
        <w:ind w:firstLine="422" w:firstLineChars="200"/>
        <w:rPr>
          <w:rFonts w:hint="eastAsia" w:ascii="宋体" w:hAnsi="宋体" w:cs="宋体"/>
          <w:b/>
          <w:bCs/>
          <w:color w:val="000000"/>
          <w:szCs w:val="21"/>
          <w:highlight w:val="none"/>
          <w:lang w:eastAsia="zh-CN"/>
        </w:rPr>
      </w:pPr>
      <w:r>
        <w:rPr>
          <w:rFonts w:hint="eastAsia" w:ascii="宋体" w:hAnsi="宋体" w:cs="宋体"/>
          <w:b/>
          <w:bCs/>
          <w:color w:val="000000"/>
          <w:szCs w:val="21"/>
          <w:highlight w:val="none"/>
        </w:rPr>
        <w:t>    开户账号：</w:t>
      </w:r>
      <w:r>
        <w:rPr>
          <w:rFonts w:hint="eastAsia" w:ascii="宋体" w:hAnsi="宋体" w:cs="宋体"/>
          <w:b/>
          <w:bCs/>
          <w:color w:val="000000"/>
          <w:szCs w:val="21"/>
          <w:highlight w:val="none"/>
          <w:lang w:eastAsia="zh-CN"/>
        </w:rPr>
        <w:t>05000140900000685</w:t>
      </w:r>
    </w:p>
    <w:p w14:paraId="6365A138">
      <w:pPr>
        <w:spacing w:line="360" w:lineRule="auto"/>
        <w:ind w:firstLine="420" w:firstLineChars="200"/>
        <w:rPr>
          <w:bCs/>
          <w:color w:val="auto"/>
          <w:kern w:val="0"/>
          <w:szCs w:val="21"/>
          <w:highlight w:val="none"/>
        </w:rPr>
      </w:pPr>
      <w:r>
        <w:rPr>
          <w:bCs/>
          <w:color w:val="auto"/>
          <w:kern w:val="0"/>
          <w:szCs w:val="21"/>
          <w:highlight w:val="none"/>
        </w:rPr>
        <w:t>4.</w:t>
      </w:r>
      <w:r>
        <w:rPr>
          <w:rFonts w:hint="eastAsia"/>
          <w:bCs/>
          <w:color w:val="auto"/>
          <w:kern w:val="0"/>
          <w:szCs w:val="21"/>
          <w:highlight w:val="none"/>
          <w:lang w:val="en-US" w:eastAsia="zh-CN"/>
        </w:rPr>
        <w:t>3</w:t>
      </w:r>
      <w:r>
        <w:rPr>
          <w:rFonts w:hint="eastAsia"/>
          <w:bCs/>
          <w:color w:val="auto"/>
          <w:kern w:val="0"/>
          <w:szCs w:val="21"/>
          <w:highlight w:val="none"/>
        </w:rPr>
        <w:t>专家评审费按照《关于规范江苏省政府采购专家评审费标准的通知》（苏财购〔2016〕48号）执行。</w:t>
      </w:r>
    </w:p>
    <w:p w14:paraId="71B537E7">
      <w:pPr>
        <w:tabs>
          <w:tab w:val="left" w:pos="900"/>
        </w:tabs>
        <w:spacing w:line="360" w:lineRule="auto"/>
        <w:ind w:firstLine="420" w:firstLineChars="200"/>
        <w:rPr>
          <w:color w:val="auto"/>
          <w:szCs w:val="21"/>
          <w:highlight w:val="none"/>
        </w:rPr>
      </w:pPr>
      <w:r>
        <w:rPr>
          <w:color w:val="auto"/>
          <w:szCs w:val="21"/>
          <w:highlight w:val="none"/>
        </w:rPr>
        <w:t>5、磋商文件的约束力</w:t>
      </w:r>
    </w:p>
    <w:p w14:paraId="5D6AA396">
      <w:pPr>
        <w:tabs>
          <w:tab w:val="left" w:pos="900"/>
        </w:tabs>
        <w:spacing w:line="360" w:lineRule="auto"/>
        <w:ind w:firstLine="420" w:firstLineChars="200"/>
        <w:rPr>
          <w:color w:val="auto"/>
          <w:szCs w:val="21"/>
          <w:highlight w:val="none"/>
        </w:rPr>
      </w:pPr>
      <w:r>
        <w:rPr>
          <w:color w:val="auto"/>
          <w:szCs w:val="21"/>
          <w:highlight w:val="none"/>
        </w:rPr>
        <w:t>供应商一旦</w:t>
      </w:r>
      <w:r>
        <w:rPr>
          <w:rFonts w:hint="eastAsia"/>
          <w:color w:val="auto"/>
          <w:szCs w:val="21"/>
          <w:highlight w:val="none"/>
        </w:rPr>
        <w:t>获取</w:t>
      </w:r>
      <w:r>
        <w:rPr>
          <w:color w:val="auto"/>
          <w:szCs w:val="21"/>
          <w:highlight w:val="none"/>
        </w:rPr>
        <w:t>本磋商文件并决定参加磋商，即被认为接受了本磋商文件的规定和约束，并且视为自竞争性磋商公告期限届满之日起已经知道或应当知道自身权益是否受到了损害。</w:t>
      </w:r>
    </w:p>
    <w:p w14:paraId="0B5AC112">
      <w:pPr>
        <w:tabs>
          <w:tab w:val="left" w:pos="900"/>
        </w:tabs>
        <w:spacing w:line="360" w:lineRule="auto"/>
        <w:ind w:firstLine="420" w:firstLineChars="200"/>
        <w:rPr>
          <w:color w:val="auto"/>
          <w:szCs w:val="21"/>
          <w:highlight w:val="none"/>
        </w:rPr>
      </w:pPr>
      <w:r>
        <w:rPr>
          <w:color w:val="auto"/>
          <w:szCs w:val="21"/>
          <w:highlight w:val="none"/>
        </w:rPr>
        <w:t>6、</w:t>
      </w:r>
      <w:bookmarkStart w:id="10" w:name="_Toc513029211"/>
      <w:bookmarkStart w:id="11" w:name="_Toc16938527"/>
      <w:bookmarkStart w:id="12" w:name="_Toc20823283"/>
      <w:bookmarkStart w:id="13" w:name="_Toc462564070"/>
      <w:r>
        <w:rPr>
          <w:color w:val="auto"/>
          <w:szCs w:val="21"/>
          <w:highlight w:val="none"/>
        </w:rPr>
        <w:t>磋商文件的</w:t>
      </w:r>
      <w:bookmarkEnd w:id="10"/>
      <w:bookmarkEnd w:id="11"/>
      <w:bookmarkEnd w:id="12"/>
      <w:bookmarkEnd w:id="13"/>
      <w:r>
        <w:rPr>
          <w:color w:val="auto"/>
          <w:szCs w:val="21"/>
          <w:highlight w:val="none"/>
        </w:rPr>
        <w:t>询问及修改</w:t>
      </w:r>
    </w:p>
    <w:p w14:paraId="1F12F886">
      <w:pPr>
        <w:tabs>
          <w:tab w:val="left" w:pos="900"/>
        </w:tabs>
        <w:spacing w:line="360" w:lineRule="auto"/>
        <w:ind w:firstLine="420" w:firstLineChars="200"/>
        <w:rPr>
          <w:color w:val="auto"/>
          <w:szCs w:val="21"/>
          <w:highlight w:val="none"/>
        </w:rPr>
      </w:pPr>
      <w:r>
        <w:rPr>
          <w:color w:val="auto"/>
          <w:szCs w:val="21"/>
          <w:highlight w:val="none"/>
        </w:rPr>
        <w:t>任何要求对磋商文件进行询问的供应商，均应在提交首次响应文件截止时间5日前按采购邀请中的通讯地址，向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color w:val="auto"/>
          <w:szCs w:val="21"/>
          <w:highlight w:val="none"/>
        </w:rPr>
        <w:t>“扬州大学附属医院”、</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上发布更正公告通知所有获取磋商文件的供应商。不足5日的，代理机构应当顺延提交首次响应文件截止时间。</w:t>
      </w:r>
    </w:p>
    <w:p w14:paraId="52283B62">
      <w:pPr>
        <w:tabs>
          <w:tab w:val="left" w:pos="900"/>
        </w:tabs>
        <w:spacing w:line="360" w:lineRule="auto"/>
        <w:ind w:firstLine="420" w:firstLineChars="200"/>
        <w:rPr>
          <w:color w:val="auto"/>
          <w:szCs w:val="21"/>
          <w:highlight w:val="none"/>
        </w:rPr>
      </w:pPr>
      <w:r>
        <w:rPr>
          <w:color w:val="auto"/>
          <w:szCs w:val="21"/>
          <w:highlight w:val="none"/>
        </w:rPr>
        <w:t>7、磋商文件的解释</w:t>
      </w:r>
    </w:p>
    <w:p w14:paraId="2CCDB825">
      <w:pPr>
        <w:spacing w:line="360" w:lineRule="auto"/>
        <w:ind w:firstLine="420" w:firstLineChars="200"/>
        <w:rPr>
          <w:bCs/>
          <w:color w:val="auto"/>
          <w:szCs w:val="21"/>
          <w:highlight w:val="none"/>
        </w:rPr>
      </w:pPr>
      <w:r>
        <w:rPr>
          <w:bCs/>
          <w:color w:val="auto"/>
          <w:szCs w:val="21"/>
          <w:highlight w:val="none"/>
        </w:rPr>
        <w:t>本磋商文件由代理机构负责解释。</w:t>
      </w:r>
    </w:p>
    <w:p w14:paraId="679F6806">
      <w:pPr>
        <w:tabs>
          <w:tab w:val="left" w:pos="900"/>
        </w:tabs>
        <w:spacing w:line="360" w:lineRule="auto"/>
        <w:ind w:firstLine="422" w:firstLineChars="200"/>
        <w:rPr>
          <w:b/>
          <w:color w:val="auto"/>
          <w:szCs w:val="21"/>
          <w:highlight w:val="none"/>
        </w:rPr>
      </w:pPr>
      <w:bookmarkStart w:id="14" w:name="_Hlt26668969"/>
      <w:bookmarkEnd w:id="14"/>
      <w:bookmarkStart w:id="15" w:name="_Hlt26670354"/>
      <w:bookmarkEnd w:id="15"/>
      <w:bookmarkStart w:id="16" w:name="_Hlt26954830"/>
      <w:bookmarkEnd w:id="16"/>
      <w:bookmarkStart w:id="17" w:name="_Hlt26670345"/>
      <w:bookmarkEnd w:id="17"/>
      <w:bookmarkStart w:id="18" w:name="_Hlt26954832"/>
      <w:bookmarkEnd w:id="18"/>
      <w:bookmarkStart w:id="19" w:name="_Hlt26954828"/>
      <w:bookmarkEnd w:id="19"/>
      <w:bookmarkStart w:id="20" w:name="_Hlt26670348"/>
      <w:bookmarkEnd w:id="20"/>
      <w:bookmarkStart w:id="21" w:name="_Toc462564072"/>
      <w:bookmarkStart w:id="22" w:name="_Toc14577351"/>
      <w:bookmarkStart w:id="23" w:name="_Toc513029213"/>
      <w:bookmarkStart w:id="24" w:name="_Toc61149553"/>
      <w:r>
        <w:rPr>
          <w:b/>
          <w:color w:val="auto"/>
          <w:szCs w:val="21"/>
          <w:highlight w:val="none"/>
        </w:rPr>
        <w:t>二、磋商响应文件的编制</w:t>
      </w:r>
      <w:bookmarkEnd w:id="21"/>
      <w:bookmarkEnd w:id="22"/>
      <w:bookmarkEnd w:id="23"/>
      <w:bookmarkEnd w:id="24"/>
    </w:p>
    <w:p w14:paraId="2E6A02E7">
      <w:pPr>
        <w:tabs>
          <w:tab w:val="left" w:pos="900"/>
        </w:tabs>
        <w:spacing w:line="360" w:lineRule="auto"/>
        <w:ind w:firstLine="420" w:firstLineChars="200"/>
        <w:rPr>
          <w:color w:val="auto"/>
          <w:szCs w:val="21"/>
          <w:highlight w:val="none"/>
        </w:rPr>
      </w:pPr>
      <w:bookmarkStart w:id="25" w:name="_Toc513029223"/>
      <w:bookmarkStart w:id="26" w:name="_Toc61149561"/>
      <w:bookmarkStart w:id="27" w:name="_Toc14577361"/>
      <w:r>
        <w:rPr>
          <w:color w:val="auto"/>
          <w:szCs w:val="21"/>
          <w:highlight w:val="none"/>
        </w:rPr>
        <w:t>1、磋商响应文件份数和签署</w:t>
      </w:r>
      <w:bookmarkEnd w:id="25"/>
      <w:bookmarkEnd w:id="26"/>
      <w:bookmarkEnd w:id="27"/>
    </w:p>
    <w:p w14:paraId="672CC62F">
      <w:pPr>
        <w:tabs>
          <w:tab w:val="left" w:pos="900"/>
        </w:tabs>
        <w:spacing w:line="360" w:lineRule="auto"/>
        <w:ind w:firstLine="420" w:firstLineChars="200"/>
        <w:rPr>
          <w:color w:val="auto"/>
          <w:szCs w:val="21"/>
          <w:highlight w:val="none"/>
        </w:rPr>
      </w:pPr>
      <w:r>
        <w:rPr>
          <w:color w:val="auto"/>
          <w:szCs w:val="21"/>
          <w:highlight w:val="none"/>
        </w:rPr>
        <w:t>1.1磋商供应商应严格按照采购邀请要求准备磋商响应文件（以下简称响应文件），每份响应文件须清楚地标明“正本”或“副本”字样。</w:t>
      </w:r>
    </w:p>
    <w:p w14:paraId="574B6E64">
      <w:pPr>
        <w:snapToGrid w:val="0"/>
        <w:spacing w:line="360" w:lineRule="auto"/>
        <w:ind w:firstLine="420" w:firstLineChars="200"/>
        <w:rPr>
          <w:color w:val="auto"/>
          <w:szCs w:val="21"/>
          <w:highlight w:val="none"/>
        </w:rPr>
      </w:pPr>
      <w:r>
        <w:rPr>
          <w:color w:val="auto"/>
          <w:szCs w:val="21"/>
          <w:highlight w:val="none"/>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14:paraId="2313A3C3">
      <w:pPr>
        <w:tabs>
          <w:tab w:val="left" w:pos="900"/>
        </w:tabs>
        <w:spacing w:line="360" w:lineRule="auto"/>
        <w:ind w:firstLine="420" w:firstLineChars="200"/>
        <w:rPr>
          <w:color w:val="auto"/>
          <w:szCs w:val="21"/>
          <w:highlight w:val="none"/>
        </w:rPr>
      </w:pPr>
      <w:r>
        <w:rPr>
          <w:color w:val="auto"/>
          <w:szCs w:val="21"/>
          <w:highlight w:val="none"/>
        </w:rPr>
        <w:t>1.2 除磋商供应商对错处做必要修改外，响应文件不得行间插字、涂改或增删。如有修改错漏处，必须由响应文件签署人签字或盖章。</w:t>
      </w:r>
    </w:p>
    <w:p w14:paraId="41627510">
      <w:pPr>
        <w:tabs>
          <w:tab w:val="left" w:pos="900"/>
        </w:tabs>
        <w:spacing w:line="360" w:lineRule="auto"/>
        <w:ind w:firstLine="420" w:firstLineChars="200"/>
        <w:rPr>
          <w:color w:val="auto"/>
          <w:szCs w:val="21"/>
          <w:highlight w:val="none"/>
        </w:rPr>
      </w:pPr>
      <w:bookmarkStart w:id="28" w:name="_Hlt26954834"/>
      <w:bookmarkEnd w:id="28"/>
      <w:bookmarkStart w:id="29" w:name="_Toc14577353"/>
      <w:bookmarkStart w:id="30" w:name="_Toc462564074"/>
      <w:bookmarkStart w:id="31" w:name="_Toc513029215"/>
      <w:bookmarkStart w:id="32" w:name="_Toc61149555"/>
      <w:bookmarkStart w:id="33" w:name="_Toc462564073"/>
      <w:bookmarkStart w:id="34" w:name="_Toc513029214"/>
      <w:bookmarkStart w:id="35" w:name="_Toc61149554"/>
      <w:bookmarkStart w:id="36" w:name="_Toc14577352"/>
      <w:r>
        <w:rPr>
          <w:color w:val="auto"/>
          <w:szCs w:val="21"/>
          <w:highlight w:val="none"/>
        </w:rPr>
        <w:t>2、响应文件</w:t>
      </w:r>
      <w:bookmarkEnd w:id="29"/>
      <w:bookmarkEnd w:id="30"/>
      <w:bookmarkEnd w:id="31"/>
      <w:bookmarkEnd w:id="32"/>
      <w:r>
        <w:rPr>
          <w:color w:val="auto"/>
          <w:szCs w:val="21"/>
          <w:highlight w:val="none"/>
        </w:rPr>
        <w:t>编制要求</w:t>
      </w:r>
    </w:p>
    <w:bookmarkEnd w:id="33"/>
    <w:bookmarkEnd w:id="34"/>
    <w:bookmarkEnd w:id="35"/>
    <w:bookmarkEnd w:id="36"/>
    <w:p w14:paraId="17BECD64">
      <w:pPr>
        <w:tabs>
          <w:tab w:val="left" w:pos="900"/>
        </w:tabs>
        <w:spacing w:line="360" w:lineRule="auto"/>
        <w:ind w:firstLine="420" w:firstLineChars="200"/>
        <w:rPr>
          <w:color w:val="auto"/>
          <w:szCs w:val="21"/>
          <w:highlight w:val="none"/>
        </w:rPr>
      </w:pPr>
      <w:r>
        <w:rPr>
          <w:color w:val="auto"/>
          <w:szCs w:val="21"/>
          <w:highlight w:val="none"/>
        </w:rPr>
        <w:t>2.1磋商供应商提交的响应文件以及磋商供应商与代理机构及采购人就有关磋商的所有来往函电均应使用简体中文。磋商文件中既有中文也有外文的，以中文意义为准。</w:t>
      </w:r>
    </w:p>
    <w:p w14:paraId="4E7A91D5">
      <w:pPr>
        <w:tabs>
          <w:tab w:val="left" w:pos="900"/>
        </w:tabs>
        <w:spacing w:line="360" w:lineRule="auto"/>
        <w:ind w:firstLine="420" w:firstLineChars="200"/>
        <w:rPr>
          <w:color w:val="auto"/>
          <w:szCs w:val="21"/>
          <w:highlight w:val="none"/>
        </w:rPr>
      </w:pPr>
      <w:r>
        <w:rPr>
          <w:color w:val="auto"/>
          <w:szCs w:val="21"/>
          <w:highlight w:val="none"/>
        </w:rPr>
        <w:t>2.2 除技术性能另有规定外，响应文件所使用的度量衡单位，均须采用国家法定计量单位。</w:t>
      </w:r>
    </w:p>
    <w:p w14:paraId="3B507427">
      <w:pPr>
        <w:tabs>
          <w:tab w:val="left" w:pos="900"/>
        </w:tabs>
        <w:spacing w:line="360" w:lineRule="auto"/>
        <w:ind w:firstLine="420" w:firstLineChars="200"/>
        <w:rPr>
          <w:color w:val="auto"/>
          <w:szCs w:val="21"/>
          <w:highlight w:val="none"/>
        </w:rPr>
      </w:pPr>
      <w:bookmarkStart w:id="37" w:name="_Hlt26670357"/>
      <w:bookmarkEnd w:id="37"/>
      <w:bookmarkStart w:id="38" w:name="_Hlt26954836"/>
      <w:bookmarkEnd w:id="38"/>
      <w:bookmarkStart w:id="39" w:name="_Toc513029219"/>
      <w:bookmarkStart w:id="40" w:name="_Toc61149558"/>
      <w:bookmarkStart w:id="41" w:name="_Toc14577357"/>
      <w:bookmarkStart w:id="42" w:name="_Toc513029217"/>
      <w:bookmarkStart w:id="43" w:name="_Toc14577355"/>
      <w:bookmarkStart w:id="44" w:name="_Toc61149557"/>
      <w:r>
        <w:rPr>
          <w:color w:val="auto"/>
          <w:szCs w:val="21"/>
          <w:highlight w:val="none"/>
        </w:rPr>
        <w:t>3、参加磋商供应商资格的文件</w:t>
      </w:r>
      <w:bookmarkEnd w:id="39"/>
      <w:bookmarkEnd w:id="40"/>
      <w:bookmarkEnd w:id="41"/>
      <w:r>
        <w:rPr>
          <w:color w:val="auto"/>
          <w:szCs w:val="21"/>
          <w:highlight w:val="none"/>
        </w:rPr>
        <w:t>证明</w:t>
      </w:r>
    </w:p>
    <w:p w14:paraId="649001A0">
      <w:pPr>
        <w:tabs>
          <w:tab w:val="left" w:pos="900"/>
        </w:tabs>
        <w:spacing w:line="360" w:lineRule="auto"/>
        <w:ind w:firstLine="420" w:firstLineChars="200"/>
        <w:rPr>
          <w:color w:val="auto"/>
          <w:szCs w:val="21"/>
          <w:highlight w:val="none"/>
        </w:rPr>
      </w:pPr>
      <w:bookmarkStart w:id="45" w:name="_Hlt26668999"/>
      <w:bookmarkEnd w:id="45"/>
      <w:r>
        <w:rPr>
          <w:color w:val="auto"/>
          <w:szCs w:val="21"/>
          <w:highlight w:val="none"/>
        </w:rPr>
        <w:t>3.1磋商供应商应提交证明其有资格参加磋商和成交后有能力独立履行合同的文件，并作为其响应文件的一部分。</w:t>
      </w:r>
    </w:p>
    <w:p w14:paraId="4DC3ED0D">
      <w:pPr>
        <w:tabs>
          <w:tab w:val="left" w:pos="900"/>
        </w:tabs>
        <w:spacing w:line="360" w:lineRule="auto"/>
        <w:ind w:firstLine="420" w:firstLineChars="200"/>
        <w:rPr>
          <w:color w:val="auto"/>
          <w:szCs w:val="21"/>
          <w:highlight w:val="none"/>
        </w:rPr>
      </w:pPr>
      <w:r>
        <w:rPr>
          <w:color w:val="auto"/>
          <w:szCs w:val="21"/>
          <w:highlight w:val="none"/>
        </w:rPr>
        <w:t>3.2磋商供应商除必须具有履行合同所需提供的设备以及服务的能力外，还必须具备相应的财务、技术方面的能力。</w:t>
      </w:r>
    </w:p>
    <w:p w14:paraId="1C0AC254">
      <w:pPr>
        <w:tabs>
          <w:tab w:val="left" w:pos="900"/>
        </w:tabs>
        <w:spacing w:line="360" w:lineRule="auto"/>
        <w:ind w:firstLine="420" w:firstLineChars="200"/>
        <w:rPr>
          <w:color w:val="auto"/>
          <w:szCs w:val="21"/>
          <w:highlight w:val="none"/>
        </w:rPr>
      </w:pPr>
      <w:r>
        <w:rPr>
          <w:color w:val="auto"/>
          <w:szCs w:val="21"/>
          <w:highlight w:val="none"/>
        </w:rPr>
        <w:t>3.3磋商供应商应填写并提交磋商文件所附的“资格证明文件”。</w:t>
      </w:r>
    </w:p>
    <w:p w14:paraId="22C510A9">
      <w:pPr>
        <w:tabs>
          <w:tab w:val="left" w:pos="900"/>
        </w:tabs>
        <w:spacing w:line="360" w:lineRule="auto"/>
        <w:ind w:firstLine="420" w:firstLineChars="200"/>
        <w:rPr>
          <w:color w:val="auto"/>
          <w:szCs w:val="21"/>
          <w:highlight w:val="none"/>
        </w:rPr>
      </w:pPr>
      <w:r>
        <w:rPr>
          <w:color w:val="auto"/>
          <w:szCs w:val="21"/>
          <w:highlight w:val="none"/>
        </w:rPr>
        <w:t>4、磋商响应报价</w:t>
      </w:r>
      <w:bookmarkEnd w:id="42"/>
      <w:bookmarkEnd w:id="43"/>
      <w:bookmarkStart w:id="46" w:name="_Hlt26670373"/>
      <w:bookmarkEnd w:id="46"/>
      <w:r>
        <w:rPr>
          <w:color w:val="auto"/>
          <w:szCs w:val="21"/>
          <w:highlight w:val="none"/>
        </w:rPr>
        <w:t>表</w:t>
      </w:r>
      <w:bookmarkEnd w:id="44"/>
    </w:p>
    <w:p w14:paraId="21EC2A7C">
      <w:pPr>
        <w:tabs>
          <w:tab w:val="left" w:pos="900"/>
        </w:tabs>
        <w:spacing w:line="360" w:lineRule="auto"/>
        <w:ind w:firstLine="420" w:firstLineChars="200"/>
        <w:rPr>
          <w:color w:val="auto"/>
          <w:szCs w:val="21"/>
          <w:highlight w:val="none"/>
        </w:rPr>
      </w:pPr>
      <w:r>
        <w:rPr>
          <w:color w:val="auto"/>
          <w:szCs w:val="21"/>
          <w:highlight w:val="none"/>
        </w:rPr>
        <w:t>4.1磋商供应商应按照磋商文件规定格式填报磋商响应报价表（含分项报价）。每项产品或服务只允许有一个报价，任何有选择的报价将不予接受，磋商文件中另有规定的按规定执行。</w:t>
      </w:r>
    </w:p>
    <w:p w14:paraId="7567ABED">
      <w:pPr>
        <w:tabs>
          <w:tab w:val="left" w:pos="900"/>
        </w:tabs>
        <w:spacing w:line="360" w:lineRule="auto"/>
        <w:ind w:firstLine="420" w:firstLineChars="200"/>
        <w:rPr>
          <w:color w:val="auto"/>
          <w:szCs w:val="21"/>
          <w:highlight w:val="none"/>
        </w:rPr>
      </w:pPr>
      <w:r>
        <w:rPr>
          <w:color w:val="auto"/>
          <w:szCs w:val="21"/>
          <w:highlight w:val="none"/>
        </w:rPr>
        <w:t>4.2标的物</w:t>
      </w:r>
    </w:p>
    <w:p w14:paraId="787F1B6A">
      <w:pPr>
        <w:tabs>
          <w:tab w:val="left" w:pos="900"/>
        </w:tabs>
        <w:spacing w:line="360" w:lineRule="auto"/>
        <w:ind w:firstLine="420" w:firstLineChars="200"/>
        <w:rPr>
          <w:color w:val="auto"/>
          <w:szCs w:val="21"/>
          <w:highlight w:val="none"/>
        </w:rPr>
      </w:pPr>
      <w:r>
        <w:rPr>
          <w:color w:val="auto"/>
          <w:szCs w:val="21"/>
          <w:highlight w:val="none"/>
        </w:rPr>
        <w:t>详见第四章项目需求。</w:t>
      </w:r>
    </w:p>
    <w:p w14:paraId="79406263">
      <w:pPr>
        <w:tabs>
          <w:tab w:val="left" w:pos="900"/>
        </w:tabs>
        <w:spacing w:line="360" w:lineRule="auto"/>
        <w:ind w:firstLine="420" w:firstLineChars="200"/>
        <w:rPr>
          <w:color w:val="auto"/>
          <w:szCs w:val="21"/>
          <w:highlight w:val="none"/>
        </w:rPr>
      </w:pPr>
      <w:r>
        <w:rPr>
          <w:color w:val="auto"/>
          <w:szCs w:val="21"/>
          <w:highlight w:val="none"/>
        </w:rPr>
        <w:t>4.3有关费用处理</w:t>
      </w:r>
    </w:p>
    <w:p w14:paraId="13D4BE54">
      <w:pPr>
        <w:tabs>
          <w:tab w:val="left" w:pos="900"/>
        </w:tabs>
        <w:spacing w:line="360" w:lineRule="auto"/>
        <w:ind w:firstLine="420" w:firstLineChars="200"/>
        <w:rPr>
          <w:color w:val="auto"/>
          <w:szCs w:val="21"/>
          <w:highlight w:val="none"/>
        </w:rPr>
      </w:pPr>
      <w:r>
        <w:rPr>
          <w:color w:val="auto"/>
          <w:szCs w:val="21"/>
          <w:highlight w:val="none"/>
        </w:rPr>
        <w:t>本次采购磋商供应商的总报价应包括为完成本项目发生的所有费用，本磋商文件中另有规定的除外。</w:t>
      </w:r>
    </w:p>
    <w:p w14:paraId="005D98C7">
      <w:pPr>
        <w:tabs>
          <w:tab w:val="left" w:pos="900"/>
        </w:tabs>
        <w:spacing w:line="360" w:lineRule="auto"/>
        <w:ind w:firstLine="420" w:firstLineChars="200"/>
        <w:rPr>
          <w:color w:val="auto"/>
          <w:szCs w:val="21"/>
          <w:highlight w:val="none"/>
        </w:rPr>
      </w:pPr>
      <w:r>
        <w:rPr>
          <w:color w:val="auto"/>
          <w:szCs w:val="21"/>
          <w:highlight w:val="none"/>
        </w:rPr>
        <w:t>4.4其它费用处理</w:t>
      </w:r>
    </w:p>
    <w:p w14:paraId="5140EDC6">
      <w:pPr>
        <w:tabs>
          <w:tab w:val="left" w:pos="900"/>
        </w:tabs>
        <w:spacing w:line="360" w:lineRule="auto"/>
        <w:ind w:firstLine="420" w:firstLineChars="200"/>
        <w:rPr>
          <w:color w:val="auto"/>
          <w:szCs w:val="21"/>
          <w:highlight w:val="none"/>
        </w:rPr>
      </w:pPr>
      <w:r>
        <w:rPr>
          <w:color w:val="auto"/>
          <w:szCs w:val="21"/>
          <w:highlight w:val="none"/>
        </w:rPr>
        <w:t>磋商文件未列明，而磋商供应商认为必须的费用也须列入报价。</w:t>
      </w:r>
    </w:p>
    <w:p w14:paraId="003496C3">
      <w:pPr>
        <w:tabs>
          <w:tab w:val="left" w:pos="900"/>
        </w:tabs>
        <w:spacing w:line="360" w:lineRule="auto"/>
        <w:ind w:firstLine="420" w:firstLineChars="200"/>
        <w:rPr>
          <w:color w:val="auto"/>
          <w:szCs w:val="21"/>
          <w:highlight w:val="none"/>
        </w:rPr>
      </w:pPr>
      <w:r>
        <w:rPr>
          <w:color w:val="auto"/>
          <w:szCs w:val="21"/>
          <w:highlight w:val="none"/>
        </w:rPr>
        <w:t>4.5报价采用的货币</w:t>
      </w:r>
    </w:p>
    <w:p w14:paraId="354AC3FC">
      <w:pPr>
        <w:tabs>
          <w:tab w:val="left" w:pos="900"/>
        </w:tabs>
        <w:spacing w:line="360" w:lineRule="auto"/>
        <w:ind w:firstLine="420" w:firstLineChars="200"/>
        <w:rPr>
          <w:color w:val="auto"/>
          <w:szCs w:val="21"/>
          <w:highlight w:val="none"/>
        </w:rPr>
      </w:pPr>
      <w:r>
        <w:rPr>
          <w:color w:val="auto"/>
          <w:szCs w:val="21"/>
          <w:highlight w:val="none"/>
        </w:rPr>
        <w:t>响应文件中的单价和总价，无特殊规定的采用人民币报价，以元为单位标注。磋商文件中另有规定的按规定执行。</w:t>
      </w:r>
    </w:p>
    <w:p w14:paraId="314037F9">
      <w:pPr>
        <w:tabs>
          <w:tab w:val="left" w:pos="900"/>
        </w:tabs>
        <w:spacing w:line="360" w:lineRule="auto"/>
        <w:ind w:firstLine="420" w:firstLineChars="200"/>
        <w:rPr>
          <w:color w:val="auto"/>
          <w:szCs w:val="21"/>
          <w:highlight w:val="none"/>
        </w:rPr>
      </w:pPr>
      <w:r>
        <w:rPr>
          <w:color w:val="auto"/>
          <w:szCs w:val="21"/>
          <w:highlight w:val="none"/>
        </w:rPr>
        <w:t>4.6 磋商响应报价表上的价格应按磋商文件规定填写。</w:t>
      </w:r>
    </w:p>
    <w:p w14:paraId="594ED21F">
      <w:pPr>
        <w:tabs>
          <w:tab w:val="left" w:pos="900"/>
        </w:tabs>
        <w:spacing w:line="360" w:lineRule="auto"/>
        <w:ind w:firstLine="420" w:firstLineChars="200"/>
        <w:rPr>
          <w:color w:val="auto"/>
          <w:szCs w:val="21"/>
          <w:highlight w:val="none"/>
        </w:rPr>
      </w:pPr>
      <w:bookmarkStart w:id="47" w:name="_Hlt26954844"/>
      <w:bookmarkEnd w:id="47"/>
      <w:bookmarkStart w:id="48" w:name="_Hlt26670482"/>
      <w:bookmarkEnd w:id="48"/>
      <w:bookmarkStart w:id="49" w:name="_Hlt26670425"/>
      <w:bookmarkEnd w:id="49"/>
      <w:bookmarkStart w:id="50" w:name="_Hlt26668983"/>
      <w:bookmarkEnd w:id="50"/>
      <w:bookmarkStart w:id="51" w:name="_Hlt26954731"/>
      <w:bookmarkEnd w:id="51"/>
      <w:bookmarkStart w:id="52" w:name="_Hlt26954846"/>
      <w:bookmarkEnd w:id="52"/>
      <w:bookmarkStart w:id="53" w:name="_Hlt26954848"/>
      <w:bookmarkEnd w:id="53"/>
      <w:bookmarkStart w:id="54" w:name="_Hlt26670486"/>
      <w:bookmarkEnd w:id="54"/>
      <w:bookmarkStart w:id="55" w:name="_Hlt26670403"/>
      <w:bookmarkEnd w:id="55"/>
      <w:bookmarkStart w:id="56" w:name="_Hlt26954842"/>
      <w:bookmarkEnd w:id="56"/>
      <w:bookmarkStart w:id="57" w:name="_Toc14577359"/>
      <w:bookmarkStart w:id="58" w:name="_Toc513029221"/>
      <w:bookmarkStart w:id="59" w:name="_Toc61149559"/>
      <w:r>
        <w:rPr>
          <w:color w:val="auto"/>
          <w:szCs w:val="21"/>
          <w:highlight w:val="none"/>
        </w:rPr>
        <w:t>5、项目需求响应方案</w:t>
      </w:r>
    </w:p>
    <w:p w14:paraId="1596108B">
      <w:pPr>
        <w:tabs>
          <w:tab w:val="left" w:pos="900"/>
        </w:tabs>
        <w:spacing w:line="360" w:lineRule="auto"/>
        <w:ind w:firstLine="420" w:firstLineChars="200"/>
        <w:rPr>
          <w:color w:val="auto"/>
          <w:szCs w:val="21"/>
          <w:highlight w:val="none"/>
        </w:rPr>
      </w:pPr>
      <w:r>
        <w:rPr>
          <w:color w:val="auto"/>
          <w:szCs w:val="21"/>
          <w:highlight w:val="none"/>
        </w:rPr>
        <w:t>5.1提供为完成本项目的总体实施方案。</w:t>
      </w:r>
    </w:p>
    <w:p w14:paraId="5B1B6803">
      <w:pPr>
        <w:tabs>
          <w:tab w:val="left" w:pos="900"/>
        </w:tabs>
        <w:spacing w:line="360" w:lineRule="auto"/>
        <w:ind w:firstLine="420" w:firstLineChars="200"/>
        <w:rPr>
          <w:color w:val="auto"/>
          <w:szCs w:val="21"/>
          <w:highlight w:val="none"/>
        </w:rPr>
      </w:pPr>
      <w:r>
        <w:rPr>
          <w:color w:val="auto"/>
          <w:szCs w:val="21"/>
          <w:highlight w:val="none"/>
        </w:rPr>
        <w:t>5.2对磋商文件中项目需求的技术与商务条款要求逐项作出应答，并提供依据或说明。</w:t>
      </w:r>
    </w:p>
    <w:p w14:paraId="69A6EA2D">
      <w:pPr>
        <w:tabs>
          <w:tab w:val="left" w:pos="900"/>
        </w:tabs>
        <w:spacing w:line="360" w:lineRule="auto"/>
        <w:ind w:firstLine="420" w:firstLineChars="200"/>
        <w:rPr>
          <w:color w:val="auto"/>
          <w:szCs w:val="21"/>
          <w:highlight w:val="none"/>
        </w:rPr>
      </w:pPr>
      <w:r>
        <w:rPr>
          <w:color w:val="auto"/>
          <w:szCs w:val="21"/>
          <w:highlight w:val="none"/>
        </w:rPr>
        <w:t>5.3磋商供应商认为需要的其他技术文件或说明。</w:t>
      </w:r>
    </w:p>
    <w:p w14:paraId="2277D55C">
      <w:pPr>
        <w:tabs>
          <w:tab w:val="left" w:pos="900"/>
        </w:tabs>
        <w:spacing w:line="360" w:lineRule="auto"/>
        <w:ind w:firstLine="420" w:firstLineChars="200"/>
        <w:rPr>
          <w:color w:val="auto"/>
          <w:szCs w:val="21"/>
          <w:highlight w:val="none"/>
        </w:rPr>
      </w:pPr>
      <w:r>
        <w:rPr>
          <w:color w:val="auto"/>
          <w:szCs w:val="21"/>
          <w:highlight w:val="none"/>
        </w:rPr>
        <w:t>6、磋商保证金</w:t>
      </w:r>
      <w:bookmarkEnd w:id="57"/>
      <w:bookmarkEnd w:id="58"/>
      <w:bookmarkEnd w:id="59"/>
    </w:p>
    <w:p w14:paraId="3E44171E">
      <w:pPr>
        <w:tabs>
          <w:tab w:val="left" w:pos="900"/>
        </w:tabs>
        <w:spacing w:line="360" w:lineRule="auto"/>
        <w:ind w:firstLine="420" w:firstLineChars="200"/>
        <w:rPr>
          <w:color w:val="auto"/>
          <w:szCs w:val="21"/>
          <w:highlight w:val="none"/>
        </w:rPr>
      </w:pPr>
      <w:r>
        <w:rPr>
          <w:color w:val="auto"/>
          <w:szCs w:val="21"/>
          <w:highlight w:val="none"/>
        </w:rPr>
        <w:t>无</w:t>
      </w:r>
    </w:p>
    <w:p w14:paraId="006C833B">
      <w:pPr>
        <w:tabs>
          <w:tab w:val="left" w:pos="900"/>
        </w:tabs>
        <w:spacing w:line="360" w:lineRule="auto"/>
        <w:ind w:firstLine="422" w:firstLineChars="200"/>
        <w:rPr>
          <w:b/>
          <w:color w:val="auto"/>
          <w:szCs w:val="21"/>
          <w:highlight w:val="none"/>
        </w:rPr>
      </w:pPr>
      <w:bookmarkStart w:id="60" w:name="_Hlt26954739"/>
      <w:bookmarkEnd w:id="60"/>
      <w:bookmarkStart w:id="61" w:name="_Hlt26670493"/>
      <w:bookmarkEnd w:id="61"/>
      <w:bookmarkStart w:id="62" w:name="_Hlt26670489"/>
      <w:bookmarkEnd w:id="62"/>
      <w:bookmarkStart w:id="63" w:name="_Hlt26954850"/>
      <w:bookmarkEnd w:id="63"/>
      <w:bookmarkStart w:id="64" w:name="_Hlt26954734"/>
      <w:bookmarkEnd w:id="64"/>
      <w:bookmarkStart w:id="65" w:name="_Hlt26954749"/>
      <w:bookmarkEnd w:id="65"/>
      <w:bookmarkStart w:id="66" w:name="_Hlt26954852"/>
      <w:bookmarkEnd w:id="66"/>
      <w:bookmarkStart w:id="67" w:name="_Hlt26954854"/>
      <w:bookmarkEnd w:id="67"/>
      <w:bookmarkStart w:id="68" w:name="_Toc61149562"/>
      <w:bookmarkStart w:id="69" w:name="_Toc513029224"/>
      <w:bookmarkStart w:id="70" w:name="_Toc14577362"/>
      <w:r>
        <w:rPr>
          <w:b/>
          <w:color w:val="auto"/>
          <w:szCs w:val="21"/>
          <w:highlight w:val="none"/>
        </w:rPr>
        <w:t>三、响应文件的递交</w:t>
      </w:r>
      <w:bookmarkEnd w:id="68"/>
      <w:bookmarkEnd w:id="69"/>
      <w:bookmarkEnd w:id="70"/>
    </w:p>
    <w:p w14:paraId="796B2EC8">
      <w:pPr>
        <w:tabs>
          <w:tab w:val="left" w:pos="900"/>
        </w:tabs>
        <w:spacing w:line="360" w:lineRule="auto"/>
        <w:ind w:firstLine="420" w:firstLineChars="200"/>
        <w:rPr>
          <w:color w:val="auto"/>
          <w:szCs w:val="21"/>
          <w:highlight w:val="none"/>
        </w:rPr>
      </w:pPr>
      <w:bookmarkStart w:id="71" w:name="_Hlt26954856"/>
      <w:bookmarkEnd w:id="71"/>
      <w:bookmarkStart w:id="72" w:name="_Toc61149563"/>
      <w:bookmarkStart w:id="73" w:name="_Toc14577363"/>
      <w:bookmarkStart w:id="74" w:name="_Toc462564084"/>
      <w:bookmarkStart w:id="75" w:name="_Toc513029225"/>
      <w:r>
        <w:rPr>
          <w:color w:val="auto"/>
          <w:szCs w:val="21"/>
          <w:highlight w:val="none"/>
        </w:rPr>
        <w:t>1、响应文件</w:t>
      </w:r>
      <w:bookmarkStart w:id="76" w:name="_Hlt26954743"/>
      <w:bookmarkEnd w:id="76"/>
      <w:r>
        <w:rPr>
          <w:color w:val="auto"/>
          <w:szCs w:val="21"/>
          <w:highlight w:val="none"/>
        </w:rPr>
        <w:t>的密封和标记</w:t>
      </w:r>
      <w:bookmarkEnd w:id="72"/>
      <w:bookmarkEnd w:id="73"/>
      <w:bookmarkEnd w:id="74"/>
      <w:bookmarkEnd w:id="75"/>
    </w:p>
    <w:p w14:paraId="4BB4F2AB">
      <w:pPr>
        <w:tabs>
          <w:tab w:val="left" w:pos="900"/>
        </w:tabs>
        <w:spacing w:line="360" w:lineRule="auto"/>
        <w:ind w:firstLine="420" w:firstLineChars="200"/>
        <w:rPr>
          <w:color w:val="auto"/>
          <w:szCs w:val="21"/>
          <w:highlight w:val="none"/>
        </w:rPr>
      </w:pPr>
      <w:r>
        <w:rPr>
          <w:color w:val="auto"/>
          <w:szCs w:val="21"/>
          <w:highlight w:val="none"/>
        </w:rPr>
        <w:t xml:space="preserve">1.1磋商供应商应严格按照采购邀请要求的份数准备响应文件，每份响应文件须清楚地标明“正本”或“副本”字样。一旦正本和副本不符，以正本为准。磋商供应商应将响应文件正本和所有副本密封。 </w:t>
      </w:r>
    </w:p>
    <w:p w14:paraId="5BD40BB8">
      <w:pPr>
        <w:tabs>
          <w:tab w:val="left" w:pos="900"/>
        </w:tabs>
        <w:spacing w:line="360" w:lineRule="auto"/>
        <w:ind w:firstLine="420" w:firstLineChars="200"/>
        <w:rPr>
          <w:color w:val="auto"/>
          <w:szCs w:val="21"/>
          <w:highlight w:val="none"/>
        </w:rPr>
      </w:pPr>
      <w:r>
        <w:rPr>
          <w:color w:val="auto"/>
          <w:szCs w:val="21"/>
          <w:highlight w:val="none"/>
        </w:rPr>
        <w:t>1.2密封的响应文件应：</w:t>
      </w:r>
    </w:p>
    <w:p w14:paraId="3022ADF7">
      <w:pPr>
        <w:tabs>
          <w:tab w:val="left" w:pos="900"/>
        </w:tabs>
        <w:spacing w:line="360" w:lineRule="auto"/>
        <w:ind w:firstLine="420" w:firstLineChars="200"/>
        <w:rPr>
          <w:color w:val="auto"/>
          <w:szCs w:val="21"/>
          <w:highlight w:val="none"/>
        </w:rPr>
      </w:pPr>
      <w:r>
        <w:rPr>
          <w:color w:val="auto"/>
          <w:szCs w:val="21"/>
          <w:highlight w:val="none"/>
        </w:rPr>
        <w:t>（1）按采购邀请中注明的地址送达规定地点；</w:t>
      </w:r>
    </w:p>
    <w:p w14:paraId="683D27BE">
      <w:pPr>
        <w:tabs>
          <w:tab w:val="left" w:pos="900"/>
        </w:tabs>
        <w:spacing w:line="360" w:lineRule="auto"/>
        <w:ind w:firstLine="420" w:firstLineChars="200"/>
        <w:rPr>
          <w:color w:val="auto"/>
          <w:szCs w:val="21"/>
          <w:highlight w:val="none"/>
        </w:rPr>
      </w:pPr>
      <w:r>
        <w:rPr>
          <w:color w:val="auto"/>
          <w:szCs w:val="21"/>
          <w:highlight w:val="none"/>
        </w:rPr>
        <w:t>（2）注明参加磋商项目名称、磋商文件编号；</w:t>
      </w:r>
    </w:p>
    <w:p w14:paraId="7EBAC9B1">
      <w:pPr>
        <w:tabs>
          <w:tab w:val="left" w:pos="900"/>
        </w:tabs>
        <w:spacing w:line="360" w:lineRule="auto"/>
        <w:ind w:firstLine="420" w:firstLineChars="200"/>
        <w:rPr>
          <w:color w:val="auto"/>
          <w:szCs w:val="21"/>
          <w:highlight w:val="none"/>
        </w:rPr>
      </w:pPr>
      <w:r>
        <w:rPr>
          <w:color w:val="auto"/>
          <w:szCs w:val="21"/>
          <w:highlight w:val="none"/>
        </w:rPr>
        <w:t>（3）密封包装上应写明磋商供应商名称和地址。</w:t>
      </w:r>
    </w:p>
    <w:p w14:paraId="7953FE22">
      <w:pPr>
        <w:tabs>
          <w:tab w:val="left" w:pos="900"/>
        </w:tabs>
        <w:spacing w:line="360" w:lineRule="auto"/>
        <w:ind w:firstLine="420" w:firstLineChars="200"/>
        <w:rPr>
          <w:color w:val="auto"/>
          <w:szCs w:val="21"/>
          <w:highlight w:val="none"/>
        </w:rPr>
      </w:pPr>
      <w:r>
        <w:rPr>
          <w:color w:val="auto"/>
          <w:szCs w:val="21"/>
          <w:highlight w:val="none"/>
        </w:rPr>
        <w:t>1.3如果密封包装未按要求密封和加写标记，代理机构对误投或过早启封概不负责。对由此造成提前开封的响应文件，代理机构将予以拒绝，作无效响应处理。</w:t>
      </w:r>
    </w:p>
    <w:p w14:paraId="74D1E4CE">
      <w:pPr>
        <w:tabs>
          <w:tab w:val="left" w:pos="900"/>
        </w:tabs>
        <w:spacing w:line="360" w:lineRule="auto"/>
        <w:ind w:firstLine="420" w:firstLineChars="200"/>
        <w:rPr>
          <w:color w:val="auto"/>
          <w:szCs w:val="21"/>
          <w:highlight w:val="none"/>
        </w:rPr>
      </w:pPr>
      <w:bookmarkStart w:id="77" w:name="_Hlt26670496"/>
      <w:bookmarkEnd w:id="77"/>
      <w:bookmarkStart w:id="78" w:name="_Hlt26954752"/>
      <w:bookmarkEnd w:id="78"/>
      <w:bookmarkStart w:id="79" w:name="_Hlt26954858"/>
      <w:bookmarkEnd w:id="79"/>
      <w:bookmarkStart w:id="80" w:name="_Toc61149564"/>
      <w:bookmarkStart w:id="81" w:name="_Toc14577364"/>
      <w:bookmarkStart w:id="82" w:name="_Toc513029226"/>
      <w:r>
        <w:rPr>
          <w:color w:val="auto"/>
          <w:szCs w:val="21"/>
          <w:highlight w:val="none"/>
        </w:rPr>
        <w:t>2、</w:t>
      </w:r>
      <w:bookmarkEnd w:id="80"/>
      <w:bookmarkEnd w:id="81"/>
      <w:bookmarkEnd w:id="82"/>
      <w:r>
        <w:rPr>
          <w:color w:val="auto"/>
          <w:szCs w:val="21"/>
          <w:highlight w:val="none"/>
        </w:rPr>
        <w:t>响应文件开启时间</w:t>
      </w:r>
    </w:p>
    <w:p w14:paraId="38BA2C77">
      <w:pPr>
        <w:tabs>
          <w:tab w:val="left" w:pos="900"/>
        </w:tabs>
        <w:spacing w:line="360" w:lineRule="auto"/>
        <w:ind w:firstLine="420" w:firstLineChars="200"/>
        <w:rPr>
          <w:color w:val="auto"/>
          <w:szCs w:val="21"/>
          <w:highlight w:val="none"/>
        </w:rPr>
      </w:pPr>
      <w:r>
        <w:rPr>
          <w:color w:val="auto"/>
          <w:szCs w:val="21"/>
          <w:highlight w:val="none"/>
        </w:rPr>
        <w:t>2.1代理机构收到响应文件的时间不得迟于本磋商文件规定的响应文件接收截止时间。</w:t>
      </w:r>
    </w:p>
    <w:p w14:paraId="05EFBFC7">
      <w:pPr>
        <w:tabs>
          <w:tab w:val="left" w:pos="900"/>
        </w:tabs>
        <w:spacing w:line="360" w:lineRule="auto"/>
        <w:ind w:firstLine="420" w:firstLineChars="200"/>
        <w:rPr>
          <w:color w:val="auto"/>
          <w:szCs w:val="21"/>
          <w:highlight w:val="none"/>
        </w:rPr>
      </w:pPr>
      <w:r>
        <w:rPr>
          <w:color w:val="auto"/>
          <w:szCs w:val="21"/>
          <w:highlight w:val="none"/>
        </w:rPr>
        <w:t>2.2代理机构有权通过修改磋商文件推迟响应文件接收截止时间，在此情况下，磋商供应商的所有权利和义务以及受制的响应文件接收截止时间均应以延长后新的响应文件接收截止时间为准。</w:t>
      </w:r>
    </w:p>
    <w:p w14:paraId="3311EC70">
      <w:pPr>
        <w:tabs>
          <w:tab w:val="left" w:pos="900"/>
        </w:tabs>
        <w:spacing w:line="360" w:lineRule="auto"/>
        <w:ind w:firstLine="420" w:firstLineChars="200"/>
        <w:rPr>
          <w:color w:val="auto"/>
          <w:szCs w:val="21"/>
          <w:highlight w:val="none"/>
        </w:rPr>
      </w:pPr>
      <w:bookmarkStart w:id="83" w:name="_Hlt26954860"/>
      <w:bookmarkEnd w:id="83"/>
      <w:bookmarkStart w:id="84" w:name="_Toc14577365"/>
      <w:bookmarkStart w:id="85" w:name="_Toc513029227"/>
      <w:bookmarkStart w:id="86" w:name="_Toc61149565"/>
      <w:r>
        <w:rPr>
          <w:color w:val="auto"/>
          <w:szCs w:val="21"/>
          <w:highlight w:val="none"/>
        </w:rPr>
        <w:t>3、迟交的响应文件</w:t>
      </w:r>
      <w:bookmarkEnd w:id="84"/>
      <w:bookmarkEnd w:id="85"/>
      <w:bookmarkEnd w:id="86"/>
    </w:p>
    <w:p w14:paraId="18A7BAF0">
      <w:pPr>
        <w:tabs>
          <w:tab w:val="left" w:pos="900"/>
        </w:tabs>
        <w:spacing w:line="360" w:lineRule="auto"/>
        <w:ind w:firstLine="420" w:firstLineChars="200"/>
        <w:rPr>
          <w:color w:val="auto"/>
          <w:szCs w:val="21"/>
          <w:highlight w:val="none"/>
        </w:rPr>
      </w:pPr>
      <w:r>
        <w:rPr>
          <w:color w:val="auto"/>
          <w:szCs w:val="21"/>
          <w:highlight w:val="none"/>
        </w:rPr>
        <w:t>3.1代理机构将拒绝在规定的响应文件接收截止时间后接收任何响应文件。</w:t>
      </w:r>
    </w:p>
    <w:p w14:paraId="46F6E963">
      <w:pPr>
        <w:tabs>
          <w:tab w:val="left" w:pos="900"/>
        </w:tabs>
        <w:spacing w:line="360" w:lineRule="auto"/>
        <w:ind w:firstLine="420" w:firstLineChars="200"/>
        <w:rPr>
          <w:color w:val="auto"/>
          <w:szCs w:val="21"/>
          <w:highlight w:val="none"/>
        </w:rPr>
      </w:pPr>
      <w:bookmarkStart w:id="87" w:name="_Hlt26954862"/>
      <w:bookmarkEnd w:id="87"/>
      <w:bookmarkStart w:id="88" w:name="_Hlt26954754"/>
      <w:bookmarkEnd w:id="88"/>
      <w:bookmarkStart w:id="89" w:name="_Toc14577366"/>
      <w:bookmarkStart w:id="90" w:name="_Toc513029228"/>
      <w:bookmarkStart w:id="91" w:name="_Toc61149566"/>
      <w:r>
        <w:rPr>
          <w:color w:val="auto"/>
          <w:szCs w:val="21"/>
          <w:highlight w:val="none"/>
        </w:rPr>
        <w:t>4、响应文件</w:t>
      </w:r>
      <w:bookmarkStart w:id="92" w:name="_Hlt26670588"/>
      <w:r>
        <w:rPr>
          <w:color w:val="auto"/>
          <w:szCs w:val="21"/>
          <w:highlight w:val="none"/>
        </w:rPr>
        <w:t>的修改</w:t>
      </w:r>
      <w:bookmarkEnd w:id="92"/>
      <w:r>
        <w:rPr>
          <w:color w:val="auto"/>
          <w:szCs w:val="21"/>
          <w:highlight w:val="none"/>
        </w:rPr>
        <w:t>和撤回</w:t>
      </w:r>
      <w:bookmarkEnd w:id="89"/>
      <w:bookmarkEnd w:id="90"/>
      <w:bookmarkEnd w:id="91"/>
    </w:p>
    <w:p w14:paraId="1D7CBEC3">
      <w:pPr>
        <w:tabs>
          <w:tab w:val="left" w:pos="900"/>
        </w:tabs>
        <w:spacing w:line="360" w:lineRule="auto"/>
        <w:ind w:firstLine="420" w:firstLineChars="200"/>
        <w:rPr>
          <w:color w:val="auto"/>
          <w:szCs w:val="21"/>
          <w:highlight w:val="none"/>
        </w:rPr>
      </w:pPr>
      <w:r>
        <w:rPr>
          <w:color w:val="auto"/>
          <w:szCs w:val="21"/>
          <w:highlight w:val="none"/>
        </w:rPr>
        <w:t>4.1磋商供应商在递交响应文件后，可以修改或撤回其磋商响应文件，但这种修改和撤回，必须在规定的响应文件接收截止时间前，以书面形式送达指定地点。</w:t>
      </w:r>
    </w:p>
    <w:p w14:paraId="4D365769">
      <w:pPr>
        <w:tabs>
          <w:tab w:val="left" w:pos="900"/>
        </w:tabs>
        <w:spacing w:line="360" w:lineRule="auto"/>
        <w:ind w:firstLine="420" w:firstLineChars="200"/>
        <w:rPr>
          <w:color w:val="auto"/>
          <w:szCs w:val="21"/>
          <w:highlight w:val="none"/>
        </w:rPr>
      </w:pPr>
      <w:r>
        <w:rPr>
          <w:color w:val="auto"/>
          <w:szCs w:val="21"/>
          <w:highlight w:val="none"/>
        </w:rPr>
        <w:t>4.2磋商供应商的修改或撤回通知书，应按本文件规定进行编制、密封、标记和发送，并应在封套上加注“修改”和“撤回”字样。</w:t>
      </w:r>
    </w:p>
    <w:p w14:paraId="61A82FD7">
      <w:pPr>
        <w:tabs>
          <w:tab w:val="left" w:pos="900"/>
        </w:tabs>
        <w:spacing w:line="360" w:lineRule="auto"/>
        <w:ind w:firstLine="420" w:firstLineChars="200"/>
        <w:rPr>
          <w:color w:val="auto"/>
          <w:szCs w:val="21"/>
          <w:highlight w:val="none"/>
        </w:rPr>
      </w:pPr>
      <w:r>
        <w:rPr>
          <w:color w:val="auto"/>
          <w:szCs w:val="21"/>
          <w:highlight w:val="none"/>
        </w:rPr>
        <w:t>4.3 磋商供应商在提交最后报价之前，可以根据磋商情况退出磋商。</w:t>
      </w:r>
    </w:p>
    <w:p w14:paraId="192FFC27">
      <w:pPr>
        <w:tabs>
          <w:tab w:val="left" w:pos="900"/>
        </w:tabs>
        <w:spacing w:line="360" w:lineRule="auto"/>
        <w:ind w:firstLine="420" w:firstLineChars="200"/>
        <w:rPr>
          <w:color w:val="auto"/>
          <w:szCs w:val="21"/>
          <w:highlight w:val="none"/>
        </w:rPr>
      </w:pPr>
      <w:r>
        <w:rPr>
          <w:color w:val="auto"/>
          <w:szCs w:val="21"/>
          <w:highlight w:val="none"/>
        </w:rPr>
        <w:t>5、磋商响应有效期</w:t>
      </w:r>
    </w:p>
    <w:p w14:paraId="61F93D19">
      <w:pPr>
        <w:tabs>
          <w:tab w:val="left" w:pos="900"/>
        </w:tabs>
        <w:spacing w:line="360" w:lineRule="auto"/>
        <w:ind w:firstLine="420" w:firstLineChars="200"/>
        <w:rPr>
          <w:color w:val="auto"/>
          <w:szCs w:val="21"/>
          <w:highlight w:val="none"/>
        </w:rPr>
      </w:pPr>
      <w:r>
        <w:rPr>
          <w:color w:val="auto"/>
          <w:szCs w:val="21"/>
          <w:highlight w:val="none"/>
        </w:rPr>
        <w:t>5.1 磋商响应有效期为代理机构规定的响应文件接收截止时间后三十（30）天。磋商响应有效期比规定短的将被视为非实质性响应性而予以拒绝。</w:t>
      </w:r>
    </w:p>
    <w:p w14:paraId="7E2C4E48">
      <w:pPr>
        <w:tabs>
          <w:tab w:val="left" w:pos="900"/>
        </w:tabs>
        <w:spacing w:line="360" w:lineRule="auto"/>
        <w:ind w:firstLine="420" w:firstLineChars="200"/>
        <w:rPr>
          <w:color w:val="auto"/>
          <w:szCs w:val="21"/>
          <w:highlight w:val="none"/>
        </w:rPr>
      </w:pPr>
      <w:r>
        <w:rPr>
          <w:color w:val="auto"/>
          <w:szCs w:val="21"/>
          <w:highlight w:val="none"/>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受磋商响应有效期约束的所有权利与义务均延长至新的有效期。</w:t>
      </w:r>
    </w:p>
    <w:p w14:paraId="458E41D2">
      <w:pPr>
        <w:tabs>
          <w:tab w:val="left" w:pos="900"/>
        </w:tabs>
        <w:spacing w:line="360" w:lineRule="auto"/>
        <w:ind w:firstLine="422" w:firstLineChars="200"/>
        <w:rPr>
          <w:b/>
          <w:color w:val="auto"/>
          <w:szCs w:val="21"/>
          <w:highlight w:val="none"/>
        </w:rPr>
      </w:pPr>
      <w:bookmarkStart w:id="93" w:name="_Hlt26670523"/>
      <w:bookmarkEnd w:id="93"/>
      <w:bookmarkStart w:id="94" w:name="_Hlt26954864"/>
      <w:bookmarkEnd w:id="94"/>
      <w:r>
        <w:rPr>
          <w:b/>
          <w:color w:val="auto"/>
          <w:szCs w:val="21"/>
          <w:highlight w:val="none"/>
        </w:rPr>
        <w:t>四、磋商与评审</w:t>
      </w:r>
    </w:p>
    <w:p w14:paraId="161FE3A5">
      <w:pPr>
        <w:tabs>
          <w:tab w:val="left" w:pos="900"/>
        </w:tabs>
        <w:spacing w:line="360" w:lineRule="auto"/>
        <w:ind w:firstLine="420" w:firstLineChars="200"/>
        <w:rPr>
          <w:color w:val="auto"/>
          <w:szCs w:val="21"/>
          <w:highlight w:val="none"/>
        </w:rPr>
      </w:pPr>
      <w:bookmarkStart w:id="95" w:name="_Toc20823302"/>
      <w:bookmarkStart w:id="96" w:name="_Toc513029230"/>
      <w:bookmarkStart w:id="97" w:name="_Toc16938546"/>
      <w:r>
        <w:rPr>
          <w:color w:val="auto"/>
          <w:szCs w:val="21"/>
          <w:highlight w:val="none"/>
        </w:rPr>
        <w:t>1、</w:t>
      </w:r>
      <w:bookmarkEnd w:id="95"/>
      <w:bookmarkEnd w:id="96"/>
      <w:bookmarkEnd w:id="97"/>
      <w:r>
        <w:rPr>
          <w:color w:val="auto"/>
          <w:szCs w:val="21"/>
          <w:highlight w:val="none"/>
        </w:rPr>
        <w:t>磋商仪式</w:t>
      </w:r>
    </w:p>
    <w:p w14:paraId="27A41AE0">
      <w:pPr>
        <w:tabs>
          <w:tab w:val="left" w:pos="900"/>
        </w:tabs>
        <w:spacing w:line="360" w:lineRule="auto"/>
        <w:ind w:firstLine="420" w:firstLineChars="200"/>
        <w:rPr>
          <w:color w:val="auto"/>
          <w:szCs w:val="21"/>
          <w:highlight w:val="none"/>
        </w:rPr>
      </w:pPr>
      <w:r>
        <w:rPr>
          <w:color w:val="auto"/>
          <w:szCs w:val="21"/>
          <w:highlight w:val="none"/>
        </w:rPr>
        <w:t>1.1代理机构将在采购邀请中规定的时间和地点组织磋商开始仪式，仪式由代理机构主持，磋商供应商应委派携带有效证件的代表准时参加，参加仪式的代表需签名以证明其出席。</w:t>
      </w:r>
    </w:p>
    <w:p w14:paraId="54D9D815">
      <w:pPr>
        <w:tabs>
          <w:tab w:val="left" w:pos="900"/>
        </w:tabs>
        <w:spacing w:line="360" w:lineRule="auto"/>
        <w:ind w:firstLine="420" w:firstLineChars="200"/>
        <w:rPr>
          <w:color w:val="auto"/>
          <w:szCs w:val="21"/>
          <w:highlight w:val="none"/>
        </w:rPr>
      </w:pPr>
      <w:bookmarkStart w:id="98" w:name="_Toc16938547"/>
      <w:bookmarkStart w:id="99" w:name="_Toc20823303"/>
      <w:bookmarkStart w:id="100" w:name="_Toc513029231"/>
      <w:r>
        <w:rPr>
          <w:color w:val="auto"/>
          <w:szCs w:val="21"/>
          <w:highlight w:val="none"/>
        </w:rPr>
        <w:t>2、磋商小组</w:t>
      </w:r>
    </w:p>
    <w:p w14:paraId="0AF46F70">
      <w:pPr>
        <w:tabs>
          <w:tab w:val="left" w:pos="900"/>
        </w:tabs>
        <w:spacing w:line="360" w:lineRule="auto"/>
        <w:ind w:firstLine="420" w:firstLineChars="200"/>
        <w:rPr>
          <w:color w:val="auto"/>
          <w:szCs w:val="21"/>
          <w:highlight w:val="none"/>
        </w:rPr>
      </w:pPr>
      <w:r>
        <w:rPr>
          <w:color w:val="auto"/>
          <w:szCs w:val="21"/>
          <w:highlight w:val="none"/>
        </w:rPr>
        <w:t>2.1 磋商开始仪式结束后，代理机构将立即组织磋商小组进行评审。</w:t>
      </w:r>
    </w:p>
    <w:p w14:paraId="3192A553">
      <w:pPr>
        <w:tabs>
          <w:tab w:val="left" w:pos="900"/>
        </w:tabs>
        <w:spacing w:line="360" w:lineRule="auto"/>
        <w:ind w:firstLine="420" w:firstLineChars="200"/>
        <w:rPr>
          <w:color w:val="auto"/>
          <w:szCs w:val="21"/>
          <w:highlight w:val="none"/>
        </w:rPr>
      </w:pPr>
      <w:r>
        <w:rPr>
          <w:color w:val="auto"/>
          <w:szCs w:val="21"/>
          <w:highlight w:val="none"/>
        </w:rPr>
        <w:t>2.2 磋商小组由采购评审专家、采购人代表组成，且人员构成符合采购有关规定。</w:t>
      </w:r>
    </w:p>
    <w:p w14:paraId="2102AF7C">
      <w:pPr>
        <w:tabs>
          <w:tab w:val="left" w:pos="900"/>
        </w:tabs>
        <w:spacing w:line="360" w:lineRule="auto"/>
        <w:ind w:firstLine="420" w:firstLineChars="200"/>
        <w:rPr>
          <w:color w:val="auto"/>
          <w:szCs w:val="21"/>
          <w:highlight w:val="none"/>
        </w:rPr>
      </w:pPr>
      <w:r>
        <w:rPr>
          <w:color w:val="auto"/>
          <w:szCs w:val="21"/>
          <w:highlight w:val="none"/>
        </w:rPr>
        <w:t>3、磋商评审过程的保密</w:t>
      </w:r>
      <w:bookmarkEnd w:id="98"/>
      <w:bookmarkEnd w:id="99"/>
      <w:bookmarkEnd w:id="100"/>
      <w:r>
        <w:rPr>
          <w:color w:val="auto"/>
          <w:szCs w:val="21"/>
          <w:highlight w:val="none"/>
        </w:rPr>
        <w:t>与公正</w:t>
      </w:r>
    </w:p>
    <w:p w14:paraId="40CCBA45">
      <w:pPr>
        <w:tabs>
          <w:tab w:val="left" w:pos="900"/>
        </w:tabs>
        <w:spacing w:line="360" w:lineRule="auto"/>
        <w:ind w:firstLine="420" w:firstLineChars="200"/>
        <w:rPr>
          <w:color w:val="auto"/>
          <w:szCs w:val="21"/>
          <w:highlight w:val="none"/>
        </w:rPr>
      </w:pPr>
      <w:r>
        <w:rPr>
          <w:color w:val="auto"/>
          <w:szCs w:val="21"/>
          <w:highlight w:val="none"/>
        </w:rPr>
        <w:t>3.1磋商小组、采购人和代理机构工作人员、相关监督人员等与评审工作有关的人员，对评审情况以及在评审过程中获悉的国家秘密、商业秘密负有保密责任。</w:t>
      </w:r>
    </w:p>
    <w:p w14:paraId="30B4C76C">
      <w:pPr>
        <w:tabs>
          <w:tab w:val="left" w:pos="900"/>
        </w:tabs>
        <w:spacing w:line="360" w:lineRule="auto"/>
        <w:ind w:firstLine="420" w:firstLineChars="200"/>
        <w:rPr>
          <w:color w:val="auto"/>
          <w:szCs w:val="21"/>
          <w:highlight w:val="none"/>
        </w:rPr>
      </w:pPr>
      <w:r>
        <w:rPr>
          <w:color w:val="auto"/>
          <w:szCs w:val="21"/>
          <w:highlight w:val="none"/>
        </w:rPr>
        <w:t>3.2在磋商评审过程中，磋商供应商不得以任何行为影响磋商评审过程，否则其响应文件将被作为无效响应文件。</w:t>
      </w:r>
    </w:p>
    <w:p w14:paraId="5EEB51ED">
      <w:pPr>
        <w:tabs>
          <w:tab w:val="left" w:pos="900"/>
        </w:tabs>
        <w:spacing w:line="360" w:lineRule="auto"/>
        <w:ind w:firstLine="420" w:firstLineChars="200"/>
        <w:rPr>
          <w:color w:val="auto"/>
          <w:szCs w:val="21"/>
          <w:highlight w:val="none"/>
        </w:rPr>
      </w:pPr>
      <w:r>
        <w:rPr>
          <w:color w:val="auto"/>
          <w:szCs w:val="21"/>
          <w:highlight w:val="none"/>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44D2C0E">
      <w:pPr>
        <w:tabs>
          <w:tab w:val="left" w:pos="900"/>
        </w:tabs>
        <w:spacing w:line="360" w:lineRule="auto"/>
        <w:ind w:firstLine="420" w:firstLineChars="200"/>
        <w:rPr>
          <w:color w:val="auto"/>
          <w:szCs w:val="21"/>
          <w:highlight w:val="none"/>
        </w:rPr>
      </w:pPr>
      <w:bookmarkStart w:id="101" w:name="_Toc16938548"/>
      <w:bookmarkStart w:id="102" w:name="_Toc513029232"/>
      <w:bookmarkStart w:id="103" w:name="_Toc20823304"/>
      <w:r>
        <w:rPr>
          <w:color w:val="auto"/>
          <w:szCs w:val="21"/>
          <w:highlight w:val="none"/>
        </w:rPr>
        <w:t>4、评审过程的澄清</w:t>
      </w:r>
      <w:bookmarkEnd w:id="101"/>
      <w:bookmarkEnd w:id="102"/>
      <w:bookmarkEnd w:id="103"/>
      <w:r>
        <w:rPr>
          <w:color w:val="auto"/>
          <w:szCs w:val="21"/>
          <w:highlight w:val="none"/>
        </w:rPr>
        <w:t>、说明和更正</w:t>
      </w:r>
    </w:p>
    <w:p w14:paraId="56EABFEE">
      <w:pPr>
        <w:tabs>
          <w:tab w:val="left" w:pos="900"/>
        </w:tabs>
        <w:spacing w:line="360" w:lineRule="auto"/>
        <w:ind w:firstLine="420" w:firstLineChars="200"/>
        <w:rPr>
          <w:color w:val="auto"/>
          <w:szCs w:val="21"/>
          <w:highlight w:val="none"/>
        </w:rPr>
      </w:pPr>
      <w:r>
        <w:rPr>
          <w:color w:val="auto"/>
          <w:szCs w:val="21"/>
          <w:highlight w:val="none"/>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11C0719">
      <w:pPr>
        <w:tabs>
          <w:tab w:val="left" w:pos="900"/>
        </w:tabs>
        <w:spacing w:line="360" w:lineRule="auto"/>
        <w:ind w:firstLine="420" w:firstLineChars="200"/>
        <w:rPr>
          <w:color w:val="auto"/>
          <w:szCs w:val="21"/>
          <w:highlight w:val="none"/>
        </w:rPr>
      </w:pPr>
      <w:r>
        <w:rPr>
          <w:color w:val="auto"/>
          <w:szCs w:val="21"/>
          <w:highlight w:val="none"/>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342A7F0F">
      <w:pPr>
        <w:tabs>
          <w:tab w:val="left" w:pos="900"/>
        </w:tabs>
        <w:spacing w:line="360" w:lineRule="auto"/>
        <w:ind w:firstLine="420" w:firstLineChars="200"/>
        <w:rPr>
          <w:color w:val="auto"/>
          <w:szCs w:val="21"/>
          <w:highlight w:val="none"/>
        </w:rPr>
      </w:pPr>
      <w:r>
        <w:rPr>
          <w:color w:val="auto"/>
          <w:szCs w:val="21"/>
          <w:highlight w:val="none"/>
        </w:rPr>
        <w:t>4.3 接到磋商小组澄清要求的供应商如未按规定做出澄清，其风险由供应商自行承担。</w:t>
      </w:r>
    </w:p>
    <w:p w14:paraId="69D40FEC">
      <w:pPr>
        <w:tabs>
          <w:tab w:val="left" w:pos="900"/>
        </w:tabs>
        <w:spacing w:line="360" w:lineRule="auto"/>
        <w:ind w:firstLine="420" w:firstLineChars="200"/>
        <w:rPr>
          <w:color w:val="auto"/>
          <w:szCs w:val="21"/>
          <w:highlight w:val="none"/>
        </w:rPr>
      </w:pPr>
      <w:bookmarkStart w:id="104" w:name="_Toc513029233"/>
      <w:bookmarkStart w:id="105" w:name="_Toc20823305"/>
      <w:bookmarkStart w:id="106" w:name="_Toc16938549"/>
      <w:r>
        <w:rPr>
          <w:color w:val="auto"/>
          <w:szCs w:val="21"/>
          <w:highlight w:val="none"/>
        </w:rPr>
        <w:t>5、对响应文件的初审</w:t>
      </w:r>
      <w:bookmarkEnd w:id="104"/>
      <w:bookmarkEnd w:id="105"/>
      <w:bookmarkEnd w:id="106"/>
    </w:p>
    <w:p w14:paraId="697A7C05">
      <w:pPr>
        <w:tabs>
          <w:tab w:val="left" w:pos="900"/>
        </w:tabs>
        <w:spacing w:line="360" w:lineRule="auto"/>
        <w:ind w:firstLine="420" w:firstLineChars="200"/>
        <w:rPr>
          <w:color w:val="auto"/>
          <w:szCs w:val="21"/>
          <w:highlight w:val="none"/>
        </w:rPr>
      </w:pPr>
      <w:r>
        <w:rPr>
          <w:color w:val="auto"/>
          <w:szCs w:val="21"/>
          <w:highlight w:val="none"/>
        </w:rPr>
        <w:t>5.1响应文件初审分为资格性检查和符合性检查。</w:t>
      </w:r>
    </w:p>
    <w:p w14:paraId="33D6AA0F">
      <w:pPr>
        <w:tabs>
          <w:tab w:val="left" w:pos="900"/>
        </w:tabs>
        <w:spacing w:line="360" w:lineRule="auto"/>
        <w:ind w:firstLine="420" w:firstLineChars="200"/>
        <w:rPr>
          <w:color w:val="auto"/>
          <w:szCs w:val="21"/>
          <w:highlight w:val="none"/>
        </w:rPr>
      </w:pPr>
      <w:r>
        <w:rPr>
          <w:color w:val="auto"/>
          <w:szCs w:val="21"/>
          <w:highlight w:val="none"/>
        </w:rPr>
        <w:t>资格性检查：依据法律法规和磋商文件的规定，对响应文件中的资格证明文件等进行审查，以确定供应商是否具备参加磋商的资格。</w:t>
      </w:r>
    </w:p>
    <w:p w14:paraId="42CD1067">
      <w:pPr>
        <w:spacing w:line="360" w:lineRule="auto"/>
        <w:ind w:firstLine="420" w:firstLineChars="200"/>
        <w:jc w:val="left"/>
        <w:rPr>
          <w:bCs/>
          <w:color w:val="auto"/>
          <w:szCs w:val="21"/>
          <w:highlight w:val="none"/>
        </w:rPr>
      </w:pPr>
      <w:r>
        <w:rPr>
          <w:bCs/>
          <w:color w:val="auto"/>
          <w:szCs w:val="21"/>
          <w:highlight w:val="none"/>
        </w:rPr>
        <w:t>采购人在进行资格性审查的同时，应根据查询结果对供应商的不良信用记录逐项甄别确认。以确定供应商是否具备磋商资格。查询结果将以网页打印的形式留存并归档。</w:t>
      </w:r>
    </w:p>
    <w:p w14:paraId="6DB0F0F4">
      <w:pPr>
        <w:spacing w:line="360" w:lineRule="auto"/>
        <w:ind w:firstLine="420" w:firstLineChars="200"/>
        <w:jc w:val="left"/>
        <w:rPr>
          <w:bCs/>
          <w:color w:val="auto"/>
          <w:szCs w:val="21"/>
          <w:highlight w:val="none"/>
        </w:rPr>
      </w:pPr>
      <w:r>
        <w:rPr>
          <w:bCs/>
          <w:color w:val="auto"/>
          <w:szCs w:val="21"/>
          <w:highlight w:val="none"/>
        </w:rPr>
        <w:t>按照《中华人民共和国政府采购法》第二十二条规定，下列信用记录属于应依法拒绝供应商参加采购的失信信息：</w:t>
      </w:r>
      <w:r>
        <w:rPr>
          <w:bCs/>
          <w:color w:val="auto"/>
          <w:szCs w:val="21"/>
          <w:highlight w:val="none"/>
        </w:rPr>
        <w:br w:type="textWrapping"/>
      </w:r>
      <w:r>
        <w:rPr>
          <w:bCs/>
          <w:color w:val="auto"/>
          <w:szCs w:val="21"/>
          <w:highlight w:val="none"/>
        </w:rPr>
        <w:t xml:space="preserve">  （1）采购严重违法记录，即供应商被全国各级财政部门列入“政府采购严重违法失信行为记录名单”，且在处罚有效期内的。</w:t>
      </w:r>
      <w:r>
        <w:rPr>
          <w:bCs/>
          <w:color w:val="auto"/>
          <w:szCs w:val="21"/>
          <w:highlight w:val="none"/>
        </w:rPr>
        <w:br w:type="textWrapping"/>
      </w:r>
      <w:r>
        <w:rPr>
          <w:bCs/>
          <w:color w:val="auto"/>
          <w:szCs w:val="21"/>
          <w:highlight w:val="none"/>
        </w:rPr>
        <w:t xml:space="preserve">  （2）财政部门与法院、工商、税务等部门联合惩戒的失信信息，包括：</w:t>
      </w:r>
      <w:r>
        <w:rPr>
          <w:bCs/>
          <w:color w:val="auto"/>
          <w:szCs w:val="21"/>
          <w:highlight w:val="none"/>
        </w:rPr>
        <w:br w:type="textWrapping"/>
      </w:r>
      <w:r>
        <w:rPr>
          <w:bCs/>
          <w:color w:val="auto"/>
          <w:szCs w:val="21"/>
          <w:highlight w:val="none"/>
        </w:rPr>
        <w:t xml:space="preserve">  1）被列入失信被执行人名单；</w:t>
      </w:r>
      <w:r>
        <w:rPr>
          <w:bCs/>
          <w:color w:val="auto"/>
          <w:szCs w:val="21"/>
          <w:highlight w:val="none"/>
        </w:rPr>
        <w:br w:type="textWrapping"/>
      </w:r>
      <w:r>
        <w:rPr>
          <w:bCs/>
          <w:color w:val="auto"/>
          <w:szCs w:val="21"/>
          <w:highlight w:val="none"/>
        </w:rPr>
        <w:t xml:space="preserve">  2）被列入重大税收违法案件当事人名单；</w:t>
      </w:r>
      <w:r>
        <w:rPr>
          <w:bCs/>
          <w:color w:val="auto"/>
          <w:szCs w:val="21"/>
          <w:highlight w:val="none"/>
        </w:rPr>
        <w:br w:type="textWrapping"/>
      </w:r>
      <w:r>
        <w:rPr>
          <w:bCs/>
          <w:color w:val="auto"/>
          <w:szCs w:val="21"/>
          <w:highlight w:val="none"/>
        </w:rPr>
        <w:t xml:space="preserve">  3）企业经营异常名录中被责令停产停业、暂扣或者吊销许可证或者执照，或者对经营活动中的违法行为处以200万元以上数额罚款的信用记录。处罚生效日至递交响应文件日未满三年的。</w:t>
      </w:r>
    </w:p>
    <w:p w14:paraId="215A0F8B">
      <w:pPr>
        <w:tabs>
          <w:tab w:val="left" w:pos="900"/>
        </w:tabs>
        <w:spacing w:line="360" w:lineRule="auto"/>
        <w:ind w:firstLine="420" w:firstLineChars="200"/>
        <w:rPr>
          <w:color w:val="auto"/>
          <w:szCs w:val="21"/>
          <w:highlight w:val="none"/>
        </w:rPr>
      </w:pPr>
      <w:r>
        <w:rPr>
          <w:color w:val="auto"/>
          <w:szCs w:val="21"/>
          <w:highlight w:val="none"/>
        </w:rPr>
        <w:t>符合性检查：依据磋商文件的规定，从响应文件的有效性、完整性和对磋商文件的响应程度进行审查，以确定是否对磋商文件的实质性要求作出响应。</w:t>
      </w:r>
    </w:p>
    <w:p w14:paraId="4D968456">
      <w:pPr>
        <w:tabs>
          <w:tab w:val="left" w:pos="900"/>
        </w:tabs>
        <w:spacing w:line="360" w:lineRule="auto"/>
        <w:ind w:firstLine="420" w:firstLineChars="200"/>
        <w:rPr>
          <w:color w:val="auto"/>
          <w:szCs w:val="21"/>
          <w:highlight w:val="none"/>
        </w:rPr>
      </w:pPr>
      <w:r>
        <w:rPr>
          <w:color w:val="auto"/>
          <w:szCs w:val="21"/>
          <w:highlight w:val="none"/>
        </w:rPr>
        <w:t>5.2在正式磋商之前，磋商小组将首先审查每份响应文件是否实质性响应了磋商文件的要求。实质性响应的响应文件应该是与磋商文件要求的条款、条件和规格相符，没有重大偏离或保留。</w:t>
      </w:r>
    </w:p>
    <w:p w14:paraId="3A76FB09">
      <w:pPr>
        <w:tabs>
          <w:tab w:val="left" w:pos="900"/>
        </w:tabs>
        <w:spacing w:line="360" w:lineRule="auto"/>
        <w:ind w:firstLine="420" w:firstLineChars="200"/>
        <w:rPr>
          <w:color w:val="auto"/>
          <w:szCs w:val="21"/>
          <w:highlight w:val="none"/>
        </w:rPr>
      </w:pPr>
      <w:r>
        <w:rPr>
          <w:rFonts w:hint="eastAsia"/>
          <w:color w:val="auto"/>
          <w:szCs w:val="21"/>
          <w:highlight w:val="none"/>
          <w:lang w:val="en-US" w:eastAsia="zh-CN"/>
        </w:rPr>
        <w:t>5.3</w:t>
      </w:r>
      <w:r>
        <w:rPr>
          <w:color w:val="auto"/>
          <w:szCs w:val="21"/>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14:paraId="3986C710">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lang w:val="en-US" w:eastAsia="zh-CN"/>
        </w:rPr>
        <w:t>4</w:t>
      </w:r>
      <w:r>
        <w:rPr>
          <w:rFonts w:hint="eastAsia"/>
          <w:color w:val="auto"/>
          <w:szCs w:val="21"/>
          <w:highlight w:val="none"/>
        </w:rPr>
        <w:t xml:space="preserve"> </w:t>
      </w:r>
      <w:r>
        <w:rPr>
          <w:color w:val="auto"/>
          <w:szCs w:val="21"/>
          <w:highlight w:val="none"/>
        </w:rPr>
        <w:t>被认定为未实质性响应磋商文件的响应文件的情形</w:t>
      </w:r>
    </w:p>
    <w:p w14:paraId="39D9CC13">
      <w:pPr>
        <w:tabs>
          <w:tab w:val="left" w:pos="900"/>
        </w:tabs>
        <w:spacing w:line="360" w:lineRule="auto"/>
        <w:ind w:firstLine="420" w:firstLineChars="200"/>
        <w:rPr>
          <w:color w:val="auto"/>
          <w:szCs w:val="21"/>
          <w:highlight w:val="none"/>
        </w:rPr>
      </w:pPr>
      <w:r>
        <w:rPr>
          <w:color w:val="auto"/>
          <w:szCs w:val="21"/>
          <w:highlight w:val="none"/>
        </w:rPr>
        <w:t>（1）未按照磋商文件规定要求密封、签署、盖章的；</w:t>
      </w:r>
    </w:p>
    <w:p w14:paraId="4194F5B0">
      <w:pPr>
        <w:tabs>
          <w:tab w:val="left" w:pos="900"/>
        </w:tabs>
        <w:spacing w:line="360" w:lineRule="auto"/>
        <w:ind w:firstLine="420" w:firstLineChars="200"/>
        <w:rPr>
          <w:color w:val="auto"/>
          <w:szCs w:val="21"/>
          <w:highlight w:val="none"/>
        </w:rPr>
      </w:pPr>
      <w:r>
        <w:rPr>
          <w:color w:val="auto"/>
          <w:szCs w:val="21"/>
          <w:highlight w:val="none"/>
        </w:rPr>
        <w:t>（2）供应商在报价时采用选择性报价；</w:t>
      </w:r>
    </w:p>
    <w:p w14:paraId="73A91C77">
      <w:pPr>
        <w:tabs>
          <w:tab w:val="left" w:pos="900"/>
        </w:tabs>
        <w:spacing w:line="360" w:lineRule="auto"/>
        <w:ind w:firstLine="420" w:firstLineChars="200"/>
        <w:rPr>
          <w:color w:val="auto"/>
          <w:szCs w:val="21"/>
          <w:highlight w:val="none"/>
        </w:rPr>
      </w:pPr>
      <w:r>
        <w:rPr>
          <w:color w:val="auto"/>
          <w:szCs w:val="21"/>
          <w:highlight w:val="none"/>
        </w:rPr>
        <w:t>（3）供应商不具备磋商文件中规定资格要求的；</w:t>
      </w:r>
    </w:p>
    <w:p w14:paraId="22B2A99C">
      <w:pPr>
        <w:tabs>
          <w:tab w:val="left" w:pos="900"/>
        </w:tabs>
        <w:spacing w:line="360" w:lineRule="auto"/>
        <w:ind w:firstLine="420" w:firstLineChars="200"/>
        <w:rPr>
          <w:color w:val="auto"/>
          <w:szCs w:val="21"/>
          <w:highlight w:val="none"/>
        </w:rPr>
      </w:pPr>
      <w:r>
        <w:rPr>
          <w:color w:val="auto"/>
          <w:szCs w:val="21"/>
          <w:highlight w:val="none"/>
        </w:rPr>
        <w:t>（4）不符合法律、法规和磋商文件中规定的其他实质性要求和条件的（本磋商文件中斜体且有下划线部分为实质性要求和条件）；</w:t>
      </w:r>
    </w:p>
    <w:p w14:paraId="2124BF97">
      <w:pPr>
        <w:tabs>
          <w:tab w:val="left" w:pos="900"/>
        </w:tabs>
        <w:spacing w:line="360" w:lineRule="auto"/>
        <w:ind w:firstLine="420" w:firstLineChars="200"/>
        <w:rPr>
          <w:color w:val="auto"/>
          <w:szCs w:val="21"/>
          <w:highlight w:val="none"/>
        </w:rPr>
      </w:pPr>
      <w:r>
        <w:rPr>
          <w:color w:val="auto"/>
          <w:szCs w:val="21"/>
          <w:highlight w:val="none"/>
        </w:rPr>
        <w:t>（5）其他法律、法规及本磋商文件规定的属未实质性响应的响应文件的情形。</w:t>
      </w:r>
    </w:p>
    <w:p w14:paraId="26989094">
      <w:pPr>
        <w:tabs>
          <w:tab w:val="left" w:pos="900"/>
        </w:tabs>
        <w:spacing w:line="360" w:lineRule="auto"/>
        <w:ind w:firstLine="420" w:firstLineChars="200"/>
        <w:rPr>
          <w:color w:val="auto"/>
          <w:szCs w:val="21"/>
          <w:highlight w:val="none"/>
        </w:rPr>
      </w:pPr>
      <w:r>
        <w:rPr>
          <w:color w:val="auto"/>
          <w:szCs w:val="21"/>
          <w:highlight w:val="none"/>
        </w:rPr>
        <w:t>5.</w:t>
      </w:r>
      <w:r>
        <w:rPr>
          <w:rFonts w:hint="eastAsia"/>
          <w:color w:val="auto"/>
          <w:szCs w:val="21"/>
          <w:highlight w:val="none"/>
          <w:lang w:val="en-US" w:eastAsia="zh-CN"/>
        </w:rPr>
        <w:t>5</w:t>
      </w:r>
      <w:r>
        <w:rPr>
          <w:color w:val="auto"/>
          <w:szCs w:val="21"/>
          <w:highlight w:val="none"/>
        </w:rPr>
        <w:t xml:space="preserve"> 未实质性响应磋商文件的响应文件按无效响应处理，磋商小组将予以拒绝，供应商不得通过修改或撤销不合要求的偏离或保留而使其响应文件成为实质性响应的文件。</w:t>
      </w:r>
    </w:p>
    <w:p w14:paraId="776F6E45">
      <w:pPr>
        <w:tabs>
          <w:tab w:val="left" w:pos="900"/>
        </w:tabs>
        <w:spacing w:line="360" w:lineRule="auto"/>
        <w:ind w:firstLine="420" w:firstLineChars="200"/>
        <w:rPr>
          <w:color w:val="auto"/>
          <w:szCs w:val="21"/>
          <w:highlight w:val="none"/>
        </w:rPr>
      </w:pPr>
      <w:bookmarkStart w:id="107" w:name="_Toc16938550"/>
      <w:bookmarkStart w:id="108" w:name="_Toc20823306"/>
      <w:bookmarkStart w:id="109" w:name="_Toc513029234"/>
      <w:r>
        <w:rPr>
          <w:color w:val="auto"/>
          <w:szCs w:val="21"/>
          <w:highlight w:val="none"/>
        </w:rPr>
        <w:t>6、</w:t>
      </w:r>
      <w:bookmarkEnd w:id="107"/>
      <w:bookmarkEnd w:id="108"/>
      <w:bookmarkEnd w:id="109"/>
      <w:r>
        <w:rPr>
          <w:color w:val="auto"/>
          <w:szCs w:val="21"/>
          <w:highlight w:val="none"/>
        </w:rPr>
        <w:t>磋商程序及评审方法和标准</w:t>
      </w:r>
    </w:p>
    <w:p w14:paraId="2E051091">
      <w:pPr>
        <w:tabs>
          <w:tab w:val="left" w:pos="900"/>
        </w:tabs>
        <w:spacing w:line="360" w:lineRule="auto"/>
        <w:ind w:firstLine="420" w:firstLineChars="200"/>
        <w:rPr>
          <w:color w:val="auto"/>
          <w:szCs w:val="21"/>
          <w:highlight w:val="none"/>
        </w:rPr>
      </w:pPr>
      <w:bookmarkStart w:id="110" w:name="_Toc513029235"/>
      <w:bookmarkStart w:id="111" w:name="_Toc16938551"/>
      <w:bookmarkStart w:id="112" w:name="_Toc20823307"/>
      <w:r>
        <w:rPr>
          <w:color w:val="auto"/>
          <w:szCs w:val="21"/>
          <w:highlight w:val="none"/>
        </w:rPr>
        <w:t>6.1磋商程序</w:t>
      </w:r>
    </w:p>
    <w:p w14:paraId="48F5D438">
      <w:pPr>
        <w:tabs>
          <w:tab w:val="left" w:pos="900"/>
        </w:tabs>
        <w:spacing w:line="360" w:lineRule="auto"/>
        <w:ind w:firstLine="420" w:firstLineChars="200"/>
        <w:rPr>
          <w:color w:val="auto"/>
          <w:szCs w:val="21"/>
          <w:highlight w:val="none"/>
        </w:rPr>
      </w:pPr>
      <w:r>
        <w:rPr>
          <w:color w:val="auto"/>
          <w:szCs w:val="21"/>
          <w:highlight w:val="none"/>
        </w:rPr>
        <w:t>6.1.1 对于通过资格性和符合性审查的供应商，磋商小组所有成员将集中与单一供应商分别进行磋商。</w:t>
      </w:r>
    </w:p>
    <w:p w14:paraId="29C619F0">
      <w:pPr>
        <w:tabs>
          <w:tab w:val="left" w:pos="900"/>
        </w:tabs>
        <w:spacing w:line="360" w:lineRule="auto"/>
        <w:ind w:firstLine="420" w:firstLineChars="200"/>
        <w:rPr>
          <w:color w:val="auto"/>
          <w:szCs w:val="21"/>
          <w:highlight w:val="none"/>
        </w:rPr>
      </w:pPr>
      <w:r>
        <w:rPr>
          <w:color w:val="auto"/>
          <w:szCs w:val="21"/>
          <w:highlight w:val="none"/>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14:paraId="445BE49E">
      <w:pPr>
        <w:tabs>
          <w:tab w:val="left" w:pos="900"/>
        </w:tabs>
        <w:spacing w:line="360" w:lineRule="auto"/>
        <w:ind w:firstLine="420" w:firstLineChars="200"/>
        <w:rPr>
          <w:color w:val="auto"/>
          <w:szCs w:val="21"/>
          <w:highlight w:val="none"/>
        </w:rPr>
      </w:pPr>
      <w:r>
        <w:rPr>
          <w:color w:val="auto"/>
          <w:szCs w:val="21"/>
          <w:highlight w:val="none"/>
        </w:rPr>
        <w:t xml:space="preserve"> 6.1.2 磋商文件能够详细列明采购标的的技术、服务要求的，磋商结束后，磋商小组将要求所有实质性响应的供应商在规定时间内提交最后报价。</w:t>
      </w:r>
    </w:p>
    <w:p w14:paraId="00494AE1">
      <w:pPr>
        <w:tabs>
          <w:tab w:val="left" w:pos="900"/>
        </w:tabs>
        <w:spacing w:line="360" w:lineRule="auto"/>
        <w:ind w:firstLine="420" w:firstLineChars="200"/>
        <w:rPr>
          <w:color w:val="auto"/>
          <w:szCs w:val="21"/>
          <w:highlight w:val="none"/>
        </w:rPr>
      </w:pPr>
      <w:r>
        <w:rPr>
          <w:color w:val="auto"/>
          <w:szCs w:val="21"/>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3F9C2402">
      <w:pPr>
        <w:tabs>
          <w:tab w:val="left" w:pos="900"/>
        </w:tabs>
        <w:spacing w:line="360" w:lineRule="auto"/>
        <w:ind w:firstLine="420" w:firstLineChars="200"/>
        <w:rPr>
          <w:color w:val="auto"/>
          <w:szCs w:val="21"/>
          <w:highlight w:val="none"/>
        </w:rPr>
      </w:pPr>
      <w:r>
        <w:rPr>
          <w:color w:val="auto"/>
          <w:szCs w:val="21"/>
          <w:highlight w:val="none"/>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52563099">
      <w:pPr>
        <w:tabs>
          <w:tab w:val="left" w:pos="900"/>
        </w:tabs>
        <w:spacing w:line="360" w:lineRule="auto"/>
        <w:ind w:firstLine="420" w:firstLineChars="200"/>
        <w:rPr>
          <w:color w:val="auto"/>
          <w:szCs w:val="21"/>
          <w:highlight w:val="none"/>
        </w:rPr>
      </w:pPr>
      <w:r>
        <w:rPr>
          <w:color w:val="auto"/>
          <w:szCs w:val="21"/>
          <w:highlight w:val="none"/>
        </w:rPr>
        <w:t>6.1.3 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p w14:paraId="4CA20EF6">
      <w:pPr>
        <w:tabs>
          <w:tab w:val="left" w:pos="900"/>
        </w:tabs>
        <w:spacing w:line="360" w:lineRule="auto"/>
        <w:ind w:firstLine="420" w:firstLineChars="200"/>
        <w:rPr>
          <w:color w:val="auto"/>
          <w:szCs w:val="21"/>
          <w:highlight w:val="none"/>
        </w:rPr>
      </w:pPr>
      <w:r>
        <w:rPr>
          <w:color w:val="auto"/>
          <w:szCs w:val="21"/>
          <w:highlight w:val="none"/>
        </w:rPr>
        <w:t>6.2 评审方法和标准</w:t>
      </w:r>
    </w:p>
    <w:p w14:paraId="07C73841">
      <w:pPr>
        <w:tabs>
          <w:tab w:val="left" w:pos="900"/>
        </w:tabs>
        <w:spacing w:line="360" w:lineRule="auto"/>
        <w:ind w:firstLine="420" w:firstLineChars="200"/>
        <w:rPr>
          <w:color w:val="auto"/>
          <w:szCs w:val="21"/>
          <w:highlight w:val="none"/>
        </w:rPr>
      </w:pPr>
      <w:r>
        <w:rPr>
          <w:color w:val="auto"/>
          <w:szCs w:val="21"/>
          <w:highlight w:val="none"/>
        </w:rPr>
        <w:t>6.2.1评审方法。经磋商确定最终采购需求和提交最后报价的供应商后，由磋商小组采用综合评分法对提交最后报价的供应商的响应文件和最后报价进行综合评分。</w:t>
      </w:r>
    </w:p>
    <w:p w14:paraId="35D08D10">
      <w:pPr>
        <w:tabs>
          <w:tab w:val="left" w:pos="900"/>
        </w:tabs>
        <w:spacing w:line="360" w:lineRule="auto"/>
        <w:ind w:firstLine="420" w:firstLineChars="200"/>
        <w:rPr>
          <w:color w:val="auto"/>
          <w:szCs w:val="21"/>
          <w:highlight w:val="none"/>
        </w:rPr>
      </w:pPr>
      <w:r>
        <w:rPr>
          <w:color w:val="auto"/>
          <w:szCs w:val="21"/>
          <w:highlight w:val="none"/>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757244D8">
      <w:pPr>
        <w:tabs>
          <w:tab w:val="left" w:pos="900"/>
        </w:tabs>
        <w:spacing w:line="360" w:lineRule="auto"/>
        <w:ind w:firstLine="420" w:firstLineChars="200"/>
        <w:rPr>
          <w:color w:val="auto"/>
          <w:szCs w:val="21"/>
          <w:highlight w:val="none"/>
        </w:rPr>
      </w:pPr>
      <w:r>
        <w:rPr>
          <w:color w:val="auto"/>
          <w:szCs w:val="21"/>
          <w:highlight w:val="none"/>
        </w:rPr>
        <w:t>6.2.2评审标准</w:t>
      </w:r>
    </w:p>
    <w:p w14:paraId="5437E3E2">
      <w:pPr>
        <w:tabs>
          <w:tab w:val="left" w:pos="900"/>
        </w:tabs>
        <w:spacing w:line="360" w:lineRule="auto"/>
        <w:ind w:firstLine="420" w:firstLineChars="200"/>
        <w:rPr>
          <w:color w:val="auto"/>
          <w:szCs w:val="21"/>
          <w:highlight w:val="none"/>
        </w:rPr>
      </w:pPr>
      <w:r>
        <w:rPr>
          <w:color w:val="auto"/>
          <w:szCs w:val="21"/>
          <w:highlight w:val="none"/>
        </w:rPr>
        <w:t>见本磋商文件第五章规定。</w:t>
      </w:r>
    </w:p>
    <w:p w14:paraId="17FBCDD6">
      <w:pPr>
        <w:tabs>
          <w:tab w:val="left" w:pos="900"/>
        </w:tabs>
        <w:spacing w:line="360" w:lineRule="auto"/>
        <w:ind w:firstLine="420" w:firstLineChars="200"/>
        <w:rPr>
          <w:color w:val="auto"/>
          <w:szCs w:val="21"/>
          <w:highlight w:val="none"/>
        </w:rPr>
      </w:pPr>
      <w:r>
        <w:rPr>
          <w:color w:val="auto"/>
          <w:szCs w:val="21"/>
          <w:highlight w:val="none"/>
        </w:rPr>
        <w:t>6.3采购活动终止的情况</w:t>
      </w:r>
    </w:p>
    <w:p w14:paraId="4C69EB40">
      <w:pPr>
        <w:tabs>
          <w:tab w:val="left" w:pos="900"/>
        </w:tabs>
        <w:spacing w:line="360" w:lineRule="auto"/>
        <w:ind w:firstLine="420" w:firstLineChars="200"/>
        <w:rPr>
          <w:color w:val="auto"/>
          <w:szCs w:val="21"/>
          <w:highlight w:val="none"/>
        </w:rPr>
      </w:pPr>
      <w:r>
        <w:rPr>
          <w:color w:val="auto"/>
          <w:szCs w:val="21"/>
          <w:highlight w:val="none"/>
        </w:rPr>
        <w:t>出现下列情形之一的，本次竞争性磋商采购活动将被终止：</w:t>
      </w:r>
    </w:p>
    <w:p w14:paraId="0BFA9401">
      <w:pPr>
        <w:tabs>
          <w:tab w:val="left" w:pos="900"/>
        </w:tabs>
        <w:spacing w:line="360" w:lineRule="auto"/>
        <w:ind w:firstLine="420" w:firstLineChars="200"/>
        <w:rPr>
          <w:color w:val="auto"/>
          <w:szCs w:val="21"/>
          <w:highlight w:val="none"/>
        </w:rPr>
      </w:pPr>
      <w:r>
        <w:rPr>
          <w:color w:val="auto"/>
          <w:szCs w:val="21"/>
          <w:highlight w:val="none"/>
        </w:rPr>
        <w:t>（1）因情况变化，不再符合规定的竞争性磋商采购方式适用情形的；</w:t>
      </w:r>
    </w:p>
    <w:p w14:paraId="6093EA73">
      <w:pPr>
        <w:tabs>
          <w:tab w:val="left" w:pos="900"/>
        </w:tabs>
        <w:spacing w:line="360" w:lineRule="auto"/>
        <w:ind w:firstLine="420" w:firstLineChars="200"/>
        <w:rPr>
          <w:color w:val="auto"/>
          <w:szCs w:val="21"/>
          <w:highlight w:val="none"/>
        </w:rPr>
      </w:pPr>
      <w:r>
        <w:rPr>
          <w:color w:val="auto"/>
          <w:szCs w:val="21"/>
          <w:highlight w:val="none"/>
        </w:rPr>
        <w:t>（2）出现影响采购公正的违法、违规行为的；</w:t>
      </w:r>
    </w:p>
    <w:bookmarkEnd w:id="110"/>
    <w:bookmarkEnd w:id="111"/>
    <w:bookmarkEnd w:id="112"/>
    <w:p w14:paraId="4580BCE3">
      <w:pPr>
        <w:tabs>
          <w:tab w:val="left" w:pos="900"/>
        </w:tabs>
        <w:spacing w:line="360" w:lineRule="auto"/>
        <w:ind w:firstLine="420" w:firstLineChars="200"/>
        <w:rPr>
          <w:rFonts w:hint="eastAsia" w:eastAsia="宋体"/>
          <w:color w:val="auto"/>
          <w:szCs w:val="21"/>
          <w:highlight w:val="none"/>
          <w:lang w:val="en-US" w:eastAsia="zh-CN"/>
        </w:rPr>
      </w:pPr>
      <w:r>
        <w:rPr>
          <w:color w:val="auto"/>
          <w:szCs w:val="21"/>
          <w:highlight w:val="none"/>
        </w:rPr>
        <w:t>（3）除本磋商文件第6.1.2条第三款规定的情形外，在采购过程中符合要求的供应商或者报价未超过采购预算的供应商不足3家的。</w:t>
      </w:r>
      <w:r>
        <w:rPr>
          <w:rFonts w:hint="eastAsia"/>
          <w:color w:val="auto"/>
          <w:szCs w:val="21"/>
          <w:highlight w:val="none"/>
          <w:lang w:val="en-US" w:eastAsia="zh-CN"/>
        </w:rPr>
        <w:tab/>
      </w:r>
    </w:p>
    <w:p w14:paraId="11C83B14">
      <w:pPr>
        <w:tabs>
          <w:tab w:val="left" w:pos="900"/>
        </w:tabs>
        <w:spacing w:line="360" w:lineRule="auto"/>
        <w:ind w:firstLine="422" w:firstLineChars="200"/>
        <w:rPr>
          <w:b/>
          <w:color w:val="auto"/>
          <w:szCs w:val="21"/>
          <w:highlight w:val="none"/>
        </w:rPr>
      </w:pPr>
      <w:r>
        <w:rPr>
          <w:b/>
          <w:color w:val="auto"/>
          <w:szCs w:val="21"/>
          <w:highlight w:val="none"/>
        </w:rPr>
        <w:t>五、成交</w:t>
      </w:r>
    </w:p>
    <w:p w14:paraId="357E6EFA">
      <w:pPr>
        <w:tabs>
          <w:tab w:val="left" w:pos="900"/>
        </w:tabs>
        <w:spacing w:line="360" w:lineRule="auto"/>
        <w:ind w:firstLine="420" w:firstLineChars="200"/>
        <w:rPr>
          <w:color w:val="auto"/>
          <w:szCs w:val="21"/>
          <w:highlight w:val="none"/>
        </w:rPr>
      </w:pPr>
      <w:bookmarkStart w:id="113" w:name="_Toc513029238"/>
      <w:bookmarkStart w:id="114" w:name="_Toc16938554"/>
      <w:bookmarkStart w:id="115" w:name="_Toc20823310"/>
      <w:r>
        <w:rPr>
          <w:color w:val="auto"/>
          <w:szCs w:val="21"/>
          <w:highlight w:val="none"/>
        </w:rPr>
        <w:t>1、</w:t>
      </w:r>
      <w:bookmarkEnd w:id="113"/>
      <w:r>
        <w:rPr>
          <w:color w:val="auto"/>
          <w:szCs w:val="21"/>
          <w:highlight w:val="none"/>
        </w:rPr>
        <w:t>确定</w:t>
      </w:r>
      <w:bookmarkEnd w:id="114"/>
      <w:bookmarkEnd w:id="115"/>
      <w:r>
        <w:rPr>
          <w:color w:val="auto"/>
          <w:szCs w:val="21"/>
          <w:highlight w:val="none"/>
        </w:rPr>
        <w:t>成交单位</w:t>
      </w:r>
    </w:p>
    <w:p w14:paraId="03A374C4">
      <w:pPr>
        <w:tabs>
          <w:tab w:val="left" w:pos="900"/>
        </w:tabs>
        <w:spacing w:line="360" w:lineRule="auto"/>
        <w:ind w:firstLine="420" w:firstLineChars="200"/>
        <w:rPr>
          <w:color w:val="auto"/>
          <w:szCs w:val="21"/>
          <w:highlight w:val="none"/>
        </w:rPr>
      </w:pPr>
      <w:r>
        <w:rPr>
          <w:color w:val="auto"/>
          <w:szCs w:val="21"/>
          <w:highlight w:val="none"/>
        </w:rPr>
        <w:t>1.1磋商小组根据综合评分情况，按照评审得分由高到低顺序</w:t>
      </w:r>
      <w:r>
        <w:rPr>
          <w:rFonts w:hint="eastAsia"/>
          <w:color w:val="auto"/>
          <w:szCs w:val="21"/>
          <w:highlight w:val="none"/>
        </w:rPr>
        <w:t>，得分最高者为成交候选供应商。</w:t>
      </w:r>
      <w:r>
        <w:rPr>
          <w:color w:val="auto"/>
          <w:szCs w:val="21"/>
          <w:highlight w:val="none"/>
        </w:rPr>
        <w:t>评审得分且最后报价相同的，按照技术指标优劣顺序推荐。</w:t>
      </w:r>
    </w:p>
    <w:p w14:paraId="66C0D088">
      <w:pPr>
        <w:tabs>
          <w:tab w:val="left" w:pos="900"/>
        </w:tabs>
        <w:spacing w:line="360" w:lineRule="auto"/>
        <w:ind w:firstLine="420" w:firstLineChars="200"/>
        <w:rPr>
          <w:color w:val="auto"/>
          <w:szCs w:val="21"/>
          <w:highlight w:val="none"/>
        </w:rPr>
      </w:pPr>
      <w:r>
        <w:rPr>
          <w:color w:val="auto"/>
          <w:szCs w:val="21"/>
          <w:highlight w:val="none"/>
        </w:rPr>
        <w:t>1.2采购人根据磋商小组推荐的成交候选人确定成交人。采购人确定成交人后，代理机构将在</w:t>
      </w:r>
      <w:r>
        <w:rPr>
          <w:rFonts w:hint="eastAsia"/>
          <w:color w:val="auto"/>
          <w:szCs w:val="21"/>
          <w:highlight w:val="none"/>
        </w:rPr>
        <w:t>“扬州大学附属医院”、</w:t>
      </w:r>
      <w:r>
        <w:rPr>
          <w:rFonts w:hint="eastAsia" w:ascii="宋体" w:hAnsi="宋体" w:cs="宋体"/>
          <w:color w:val="auto"/>
          <w:szCs w:val="21"/>
          <w:highlight w:val="none"/>
        </w:rPr>
        <w:t>“ 江苏招标采购服务平台”</w:t>
      </w:r>
      <w:r>
        <w:rPr>
          <w:rFonts w:hint="eastAsia"/>
          <w:color w:val="auto"/>
          <w:szCs w:val="21"/>
          <w:highlight w:val="none"/>
        </w:rPr>
        <w:t>网站</w:t>
      </w:r>
      <w:r>
        <w:rPr>
          <w:color w:val="auto"/>
          <w:szCs w:val="21"/>
          <w:highlight w:val="none"/>
        </w:rPr>
        <w:t>发布成交结果公告，公告期限为1个工作日。</w:t>
      </w:r>
    </w:p>
    <w:p w14:paraId="71AE5D01">
      <w:pPr>
        <w:tabs>
          <w:tab w:val="left" w:pos="900"/>
        </w:tabs>
        <w:spacing w:line="360" w:lineRule="auto"/>
        <w:ind w:firstLine="420" w:firstLineChars="200"/>
        <w:rPr>
          <w:color w:val="auto"/>
          <w:szCs w:val="21"/>
          <w:highlight w:val="none"/>
        </w:rPr>
      </w:pPr>
      <w:r>
        <w:rPr>
          <w:color w:val="auto"/>
          <w:szCs w:val="21"/>
          <w:highlight w:val="none"/>
        </w:rPr>
        <w:t>1.3若有充分证据证明，成交人出现下列情况之一的，一经查实，将被取消成交资格：</w:t>
      </w:r>
    </w:p>
    <w:p w14:paraId="6BA80341">
      <w:pPr>
        <w:tabs>
          <w:tab w:val="left" w:pos="900"/>
        </w:tabs>
        <w:spacing w:line="360" w:lineRule="auto"/>
        <w:ind w:firstLine="420" w:firstLineChars="200"/>
        <w:rPr>
          <w:color w:val="auto"/>
          <w:szCs w:val="21"/>
          <w:highlight w:val="none"/>
        </w:rPr>
      </w:pPr>
      <w:r>
        <w:rPr>
          <w:color w:val="auto"/>
          <w:szCs w:val="21"/>
          <w:highlight w:val="none"/>
        </w:rPr>
        <w:t>（1）提供虚假材料谋取成交的；</w:t>
      </w:r>
    </w:p>
    <w:p w14:paraId="4407372F">
      <w:pPr>
        <w:tabs>
          <w:tab w:val="left" w:pos="900"/>
        </w:tabs>
        <w:spacing w:line="360" w:lineRule="auto"/>
        <w:ind w:firstLine="420" w:firstLineChars="200"/>
        <w:rPr>
          <w:color w:val="auto"/>
          <w:szCs w:val="21"/>
          <w:highlight w:val="none"/>
        </w:rPr>
      </w:pPr>
      <w:r>
        <w:rPr>
          <w:color w:val="auto"/>
          <w:szCs w:val="21"/>
          <w:highlight w:val="none"/>
        </w:rPr>
        <w:t>（2）与评审专家、采购人、其他供应商或者代理机构工作人员恶意串通的；</w:t>
      </w:r>
    </w:p>
    <w:p w14:paraId="1C1BD5B7">
      <w:pPr>
        <w:tabs>
          <w:tab w:val="left" w:pos="900"/>
        </w:tabs>
        <w:spacing w:line="360" w:lineRule="auto"/>
        <w:ind w:firstLine="420" w:firstLineChars="200"/>
        <w:rPr>
          <w:color w:val="auto"/>
          <w:szCs w:val="21"/>
          <w:highlight w:val="none"/>
        </w:rPr>
      </w:pPr>
      <w:r>
        <w:rPr>
          <w:color w:val="auto"/>
          <w:szCs w:val="21"/>
          <w:highlight w:val="none"/>
        </w:rPr>
        <w:t>（3）向评审专家、采购人或代理机构工作人员行贿或者提供其他不正当利益的；</w:t>
      </w:r>
    </w:p>
    <w:p w14:paraId="58F4A1FD">
      <w:pPr>
        <w:tabs>
          <w:tab w:val="left" w:pos="900"/>
        </w:tabs>
        <w:spacing w:line="360" w:lineRule="auto"/>
        <w:ind w:firstLine="420" w:firstLineChars="200"/>
        <w:rPr>
          <w:color w:val="auto"/>
          <w:szCs w:val="21"/>
          <w:highlight w:val="none"/>
        </w:rPr>
      </w:pPr>
      <w:r>
        <w:rPr>
          <w:color w:val="auto"/>
          <w:szCs w:val="21"/>
          <w:highlight w:val="none"/>
        </w:rPr>
        <w:t>（4）恶意竞争，最终总报价明显低于其自身合理成本且又无法提供证明的；</w:t>
      </w:r>
    </w:p>
    <w:p w14:paraId="4DCC8818">
      <w:pPr>
        <w:tabs>
          <w:tab w:val="left" w:pos="900"/>
        </w:tabs>
        <w:spacing w:line="360" w:lineRule="auto"/>
        <w:ind w:firstLine="420" w:firstLineChars="200"/>
        <w:rPr>
          <w:color w:val="auto"/>
          <w:szCs w:val="21"/>
          <w:highlight w:val="none"/>
        </w:rPr>
      </w:pPr>
      <w:r>
        <w:rPr>
          <w:color w:val="auto"/>
          <w:szCs w:val="21"/>
          <w:highlight w:val="none"/>
        </w:rPr>
        <w:t>（5）不满足本磋商文件规定的实质性要求，但在评审过程中又未被磋商小组发现的；</w:t>
      </w:r>
    </w:p>
    <w:p w14:paraId="17AB3AF3">
      <w:pPr>
        <w:tabs>
          <w:tab w:val="left" w:pos="900"/>
        </w:tabs>
        <w:spacing w:line="360" w:lineRule="auto"/>
        <w:ind w:firstLine="420" w:firstLineChars="200"/>
        <w:rPr>
          <w:color w:val="auto"/>
          <w:szCs w:val="21"/>
          <w:highlight w:val="none"/>
        </w:rPr>
      </w:pPr>
      <w:r>
        <w:rPr>
          <w:color w:val="auto"/>
          <w:szCs w:val="21"/>
          <w:highlight w:val="none"/>
        </w:rPr>
        <w:t>（6）成交后无正当理由拒不与采购人签订采购合同或者未按照磋商文件确定的事项签订采购合同；</w:t>
      </w:r>
    </w:p>
    <w:p w14:paraId="4750904F">
      <w:pPr>
        <w:tabs>
          <w:tab w:val="left" w:pos="900"/>
        </w:tabs>
        <w:spacing w:line="360" w:lineRule="auto"/>
        <w:ind w:firstLine="420" w:firstLineChars="200"/>
        <w:rPr>
          <w:color w:val="auto"/>
          <w:szCs w:val="21"/>
          <w:highlight w:val="none"/>
        </w:rPr>
      </w:pPr>
      <w:r>
        <w:rPr>
          <w:color w:val="auto"/>
          <w:szCs w:val="21"/>
          <w:highlight w:val="none"/>
        </w:rPr>
        <w:t>（7）将采购合同转包；</w:t>
      </w:r>
    </w:p>
    <w:p w14:paraId="5266A7E3">
      <w:pPr>
        <w:tabs>
          <w:tab w:val="left" w:pos="900"/>
        </w:tabs>
        <w:spacing w:line="360" w:lineRule="auto"/>
        <w:ind w:firstLine="420" w:firstLineChars="200"/>
        <w:rPr>
          <w:color w:val="auto"/>
          <w:szCs w:val="21"/>
          <w:highlight w:val="none"/>
        </w:rPr>
      </w:pPr>
      <w:r>
        <w:rPr>
          <w:color w:val="auto"/>
          <w:szCs w:val="21"/>
          <w:highlight w:val="none"/>
        </w:rPr>
        <w:t>（8）法律、法规、规章规定的属于成交无效的其他情形。</w:t>
      </w:r>
    </w:p>
    <w:p w14:paraId="5A06DFBE">
      <w:pPr>
        <w:tabs>
          <w:tab w:val="left" w:pos="900"/>
        </w:tabs>
        <w:spacing w:line="360" w:lineRule="auto"/>
        <w:ind w:firstLine="420" w:firstLineChars="200"/>
        <w:rPr>
          <w:color w:val="auto"/>
          <w:szCs w:val="21"/>
          <w:highlight w:val="none"/>
        </w:rPr>
      </w:pPr>
      <w:r>
        <w:rPr>
          <w:color w:val="auto"/>
          <w:szCs w:val="21"/>
          <w:highlight w:val="none"/>
        </w:rPr>
        <w:t>2、质疑处理</w:t>
      </w:r>
    </w:p>
    <w:p w14:paraId="31600FC9">
      <w:pPr>
        <w:spacing w:line="360" w:lineRule="auto"/>
        <w:ind w:firstLine="420" w:firstLineChars="200"/>
        <w:rPr>
          <w:snapToGrid w:val="0"/>
          <w:color w:val="auto"/>
          <w:szCs w:val="21"/>
          <w:highlight w:val="none"/>
        </w:rPr>
      </w:pPr>
      <w:r>
        <w:rPr>
          <w:color w:val="auto"/>
          <w:szCs w:val="21"/>
          <w:highlight w:val="none"/>
        </w:rPr>
        <w:t>2.1磋商供应商认为磋商文件、采购过程和采购结果使自己的权益受到损害的，可以在知道或应知其权益受到损害之日起七个工作日内，一次性以书面形式（原件送达）向代理机构提出质疑。</w:t>
      </w:r>
      <w:r>
        <w:rPr>
          <w:snapToGrid w:val="0"/>
          <w:color w:val="auto"/>
          <w:szCs w:val="21"/>
          <w:highlight w:val="none"/>
        </w:rPr>
        <w:t>《质疑申请书》及《授权委托书》格式见网址：</w:t>
      </w:r>
    </w:p>
    <w:p w14:paraId="27AA19C9">
      <w:pPr>
        <w:spacing w:line="360" w:lineRule="auto"/>
        <w:ind w:firstLine="420" w:firstLineChars="200"/>
        <w:rPr>
          <w:snapToGrid w:val="0"/>
          <w:color w:val="auto"/>
          <w:szCs w:val="21"/>
          <w:highlight w:val="none"/>
        </w:rPr>
      </w:pPr>
      <w:r>
        <w:rPr>
          <w:color w:val="auto"/>
          <w:highlight w:val="none"/>
        </w:rPr>
        <w:fldChar w:fldCharType="begin"/>
      </w:r>
      <w:r>
        <w:rPr>
          <w:color w:val="auto"/>
          <w:highlight w:val="none"/>
        </w:rPr>
        <w:instrText xml:space="preserve"> HYPERLINK "https://zfcg.yangzhou.gov.cn/xzzx/art/2018/art_11e6cbeb5d404fc4b98a49bd037c34b4.html" </w:instrText>
      </w:r>
      <w:r>
        <w:rPr>
          <w:color w:val="auto"/>
          <w:highlight w:val="none"/>
        </w:rPr>
        <w:fldChar w:fldCharType="separate"/>
      </w:r>
      <w:r>
        <w:rPr>
          <w:rStyle w:val="39"/>
          <w:rFonts w:hint="eastAsia"/>
          <w:snapToGrid w:val="0"/>
          <w:color w:val="auto"/>
          <w:szCs w:val="21"/>
          <w:highlight w:val="none"/>
        </w:rPr>
        <w:t>https://zfcg.yangzhou.gov.cn</w:t>
      </w:r>
      <w:r>
        <w:rPr>
          <w:rStyle w:val="39"/>
          <w:rFonts w:hint="eastAsia"/>
          <w:snapToGrid w:val="0"/>
          <w:color w:val="auto"/>
          <w:szCs w:val="21"/>
          <w:highlight w:val="none"/>
        </w:rPr>
        <w:fldChar w:fldCharType="end"/>
      </w:r>
    </w:p>
    <w:p w14:paraId="10CA9613">
      <w:pPr>
        <w:tabs>
          <w:tab w:val="left" w:pos="900"/>
        </w:tabs>
        <w:spacing w:line="360" w:lineRule="auto"/>
        <w:ind w:firstLine="420" w:firstLineChars="200"/>
        <w:rPr>
          <w:color w:val="auto"/>
          <w:szCs w:val="21"/>
          <w:highlight w:val="none"/>
        </w:rPr>
      </w:pPr>
      <w:r>
        <w:rPr>
          <w:color w:val="auto"/>
          <w:szCs w:val="21"/>
          <w:highlight w:val="none"/>
        </w:rPr>
        <w:t>2.1.1对采购文件提出质疑的，应当在获取采购文件之日或者采购文件公告期限届满之日起7个工作日内提出。</w:t>
      </w:r>
    </w:p>
    <w:p w14:paraId="4A26F504">
      <w:pPr>
        <w:tabs>
          <w:tab w:val="left" w:pos="900"/>
        </w:tabs>
        <w:spacing w:line="360" w:lineRule="auto"/>
        <w:ind w:firstLine="420" w:firstLineChars="200"/>
        <w:rPr>
          <w:color w:val="auto"/>
          <w:szCs w:val="21"/>
          <w:highlight w:val="none"/>
        </w:rPr>
      </w:pPr>
      <w:r>
        <w:rPr>
          <w:color w:val="auto"/>
          <w:szCs w:val="21"/>
          <w:highlight w:val="none"/>
        </w:rPr>
        <w:t>2.1.2对采购过程提出质疑的，为各采购程序环节结束之日起7个工作日内提出。</w:t>
      </w:r>
      <w:r>
        <w:rPr>
          <w:color w:val="auto"/>
          <w:szCs w:val="21"/>
          <w:highlight w:val="none"/>
        </w:rPr>
        <w:br w:type="textWrapping"/>
      </w:r>
      <w:r>
        <w:rPr>
          <w:color w:val="auto"/>
          <w:szCs w:val="21"/>
          <w:highlight w:val="none"/>
        </w:rPr>
        <w:t>　　2.1.3对</w:t>
      </w:r>
      <w:r>
        <w:rPr>
          <w:rFonts w:hint="eastAsia"/>
          <w:color w:val="auto"/>
          <w:szCs w:val="21"/>
          <w:highlight w:val="none"/>
        </w:rPr>
        <w:t>成交</w:t>
      </w:r>
      <w:r>
        <w:rPr>
          <w:color w:val="auto"/>
          <w:szCs w:val="21"/>
          <w:highlight w:val="none"/>
        </w:rPr>
        <w:t>结果提出质疑的，为</w:t>
      </w:r>
      <w:r>
        <w:rPr>
          <w:rFonts w:hint="eastAsia"/>
          <w:color w:val="auto"/>
          <w:szCs w:val="21"/>
          <w:highlight w:val="none"/>
        </w:rPr>
        <w:t>成交</w:t>
      </w:r>
      <w:r>
        <w:rPr>
          <w:color w:val="auto"/>
          <w:szCs w:val="21"/>
          <w:highlight w:val="none"/>
        </w:rPr>
        <w:t>结果公告期限届满之日起7个工作日内提出。</w:t>
      </w:r>
    </w:p>
    <w:p w14:paraId="1814826B">
      <w:pPr>
        <w:spacing w:line="360" w:lineRule="auto"/>
        <w:ind w:firstLine="420" w:firstLineChars="200"/>
        <w:rPr>
          <w:snapToGrid w:val="0"/>
          <w:color w:val="auto"/>
          <w:szCs w:val="21"/>
          <w:highlight w:val="none"/>
        </w:rPr>
      </w:pPr>
      <w:r>
        <w:rPr>
          <w:color w:val="auto"/>
          <w:szCs w:val="21"/>
          <w:highlight w:val="none"/>
        </w:rPr>
        <w:t>2.2供应商应在法定质疑期内一次性提出针对同一采购程序环节的质疑。质疑必须按《政府采购法》、《政府采购法实施条例》及《政府采购质疑和投诉办法》等相关规定提交</w:t>
      </w:r>
      <w:r>
        <w:rPr>
          <w:color w:val="auto"/>
          <w:spacing w:val="-20"/>
          <w:szCs w:val="21"/>
          <w:highlight w:val="none"/>
        </w:rPr>
        <w:t>。</w:t>
      </w:r>
    </w:p>
    <w:p w14:paraId="7088DA4F">
      <w:pPr>
        <w:spacing w:line="360" w:lineRule="auto"/>
        <w:ind w:firstLine="409" w:firstLineChars="195"/>
        <w:rPr>
          <w:color w:val="auto"/>
          <w:szCs w:val="21"/>
          <w:highlight w:val="none"/>
        </w:rPr>
      </w:pPr>
      <w:r>
        <w:rPr>
          <w:color w:val="auto"/>
          <w:szCs w:val="21"/>
          <w:highlight w:val="none"/>
        </w:rPr>
        <w:t>2.3提出质疑的供应商（以下简称质疑供应商）应当是参与所质疑项目采购活动的供应商。</w:t>
      </w:r>
    </w:p>
    <w:p w14:paraId="230BBB1E">
      <w:pPr>
        <w:spacing w:line="360" w:lineRule="auto"/>
        <w:ind w:firstLine="409" w:firstLineChars="195"/>
        <w:rPr>
          <w:color w:val="auto"/>
          <w:kern w:val="0"/>
          <w:szCs w:val="21"/>
          <w:highlight w:val="none"/>
        </w:rPr>
      </w:pPr>
      <w:r>
        <w:rPr>
          <w:color w:val="auto"/>
          <w:szCs w:val="21"/>
          <w:highlight w:val="none"/>
        </w:rPr>
        <w:t>潜在供应商已依法获取其可质疑的采购文件的，可以对该文件提出质疑。对采购文件提出质疑的，应当在获取采购文件或者采购文件公告期限届满之日起7个工作日内提出。</w:t>
      </w:r>
    </w:p>
    <w:p w14:paraId="502D7109">
      <w:pPr>
        <w:spacing w:line="360" w:lineRule="auto"/>
        <w:ind w:firstLine="409" w:firstLineChars="195"/>
        <w:rPr>
          <w:color w:val="auto"/>
          <w:szCs w:val="21"/>
          <w:highlight w:val="none"/>
        </w:rPr>
      </w:pPr>
      <w:r>
        <w:rPr>
          <w:color w:val="auto"/>
          <w:szCs w:val="21"/>
          <w:highlight w:val="none"/>
        </w:rPr>
        <w:t>2.4供应商提出质疑应当提交质疑函和必要的证明材料。质疑函应当包括下列内容：</w:t>
      </w:r>
    </w:p>
    <w:p w14:paraId="76E30415">
      <w:pPr>
        <w:spacing w:line="360" w:lineRule="auto"/>
        <w:rPr>
          <w:color w:val="auto"/>
          <w:szCs w:val="21"/>
          <w:highlight w:val="none"/>
        </w:rPr>
      </w:pPr>
      <w:r>
        <w:rPr>
          <w:color w:val="auto"/>
          <w:szCs w:val="21"/>
          <w:highlight w:val="none"/>
        </w:rPr>
        <w:t>　　2.4.1供应商的姓名或者名称、地址、邮编、联系人及联系电话；</w:t>
      </w:r>
    </w:p>
    <w:p w14:paraId="56DC1C94">
      <w:pPr>
        <w:spacing w:line="360" w:lineRule="auto"/>
        <w:rPr>
          <w:color w:val="auto"/>
          <w:szCs w:val="21"/>
          <w:highlight w:val="none"/>
        </w:rPr>
      </w:pPr>
      <w:r>
        <w:rPr>
          <w:color w:val="auto"/>
          <w:szCs w:val="21"/>
          <w:highlight w:val="none"/>
        </w:rPr>
        <w:t>　　2.4.2质疑项目的名称、编号；</w:t>
      </w:r>
    </w:p>
    <w:p w14:paraId="25BDDFF9">
      <w:pPr>
        <w:spacing w:line="360" w:lineRule="auto"/>
        <w:rPr>
          <w:color w:val="auto"/>
          <w:szCs w:val="21"/>
          <w:highlight w:val="none"/>
        </w:rPr>
      </w:pPr>
      <w:r>
        <w:rPr>
          <w:color w:val="auto"/>
          <w:szCs w:val="21"/>
          <w:highlight w:val="none"/>
        </w:rPr>
        <w:t>　　2.4.3具体、明确的质疑事项和与质疑事项相关的请求；</w:t>
      </w:r>
    </w:p>
    <w:p w14:paraId="73C0592B">
      <w:pPr>
        <w:spacing w:line="360" w:lineRule="auto"/>
        <w:rPr>
          <w:color w:val="auto"/>
          <w:szCs w:val="21"/>
          <w:highlight w:val="none"/>
        </w:rPr>
      </w:pPr>
      <w:r>
        <w:rPr>
          <w:color w:val="auto"/>
          <w:szCs w:val="21"/>
          <w:highlight w:val="none"/>
        </w:rPr>
        <w:t>　　2.4.4事实依据；</w:t>
      </w:r>
    </w:p>
    <w:p w14:paraId="6D0469F0">
      <w:pPr>
        <w:spacing w:line="360" w:lineRule="auto"/>
        <w:rPr>
          <w:color w:val="auto"/>
          <w:szCs w:val="21"/>
          <w:highlight w:val="none"/>
        </w:rPr>
      </w:pPr>
      <w:r>
        <w:rPr>
          <w:color w:val="auto"/>
          <w:szCs w:val="21"/>
          <w:highlight w:val="none"/>
        </w:rPr>
        <w:t>　　2.4.5必要的法律依据；</w:t>
      </w:r>
    </w:p>
    <w:p w14:paraId="25D679A0">
      <w:pPr>
        <w:spacing w:line="360" w:lineRule="auto"/>
        <w:rPr>
          <w:color w:val="auto"/>
          <w:szCs w:val="21"/>
          <w:highlight w:val="none"/>
        </w:rPr>
      </w:pPr>
      <w:r>
        <w:rPr>
          <w:color w:val="auto"/>
          <w:szCs w:val="21"/>
          <w:highlight w:val="none"/>
        </w:rPr>
        <w:t>　　2.4.6提出质疑的日期。</w:t>
      </w:r>
    </w:p>
    <w:p w14:paraId="6091ADBE">
      <w:pPr>
        <w:spacing w:line="360" w:lineRule="auto"/>
        <w:ind w:firstLine="409" w:firstLineChars="195"/>
        <w:rPr>
          <w:color w:val="auto"/>
          <w:szCs w:val="21"/>
          <w:highlight w:val="none"/>
        </w:rPr>
      </w:pPr>
      <w:r>
        <w:rPr>
          <w:color w:val="auto"/>
          <w:szCs w:val="21"/>
          <w:highlight w:val="none"/>
        </w:rPr>
        <w:t>供应商为自然人的，应当由本人签字；供应商为法人或者其他组织的，应当由法定代表人、主要负责人，或者其授权代表签字或者盖章，并加盖公章。</w:t>
      </w:r>
    </w:p>
    <w:p w14:paraId="220B27DA">
      <w:pPr>
        <w:tabs>
          <w:tab w:val="left" w:pos="900"/>
        </w:tabs>
        <w:spacing w:line="360" w:lineRule="auto"/>
        <w:ind w:firstLine="420" w:firstLineChars="200"/>
        <w:rPr>
          <w:color w:val="auto"/>
          <w:szCs w:val="21"/>
          <w:highlight w:val="none"/>
        </w:rPr>
      </w:pPr>
      <w:r>
        <w:rPr>
          <w:color w:val="auto"/>
          <w:szCs w:val="21"/>
          <w:highlight w:val="none"/>
        </w:rPr>
        <w:t>2.5代理机构收到质疑函后，将对质疑的形式和内容进行审查，如质疑函内容、格式不符合规定，代理机构将告知质疑人进行补正。</w:t>
      </w:r>
    </w:p>
    <w:p w14:paraId="369523E5">
      <w:pPr>
        <w:tabs>
          <w:tab w:val="left" w:pos="900"/>
        </w:tabs>
        <w:spacing w:line="360" w:lineRule="auto"/>
        <w:ind w:firstLine="420" w:firstLineChars="200"/>
        <w:rPr>
          <w:color w:val="auto"/>
          <w:szCs w:val="21"/>
          <w:highlight w:val="none"/>
        </w:rPr>
      </w:pPr>
      <w:r>
        <w:rPr>
          <w:color w:val="auto"/>
          <w:szCs w:val="21"/>
          <w:highlight w:val="none"/>
        </w:rPr>
        <w:t>2.6质疑人应当在法定质疑期限内进行补正并重新提交质疑函，拒不补正或者在法定期限内未重新提交质疑函的，为无效质疑，代理机构有权不予受理。</w:t>
      </w:r>
    </w:p>
    <w:p w14:paraId="78F50B1C">
      <w:pPr>
        <w:tabs>
          <w:tab w:val="left" w:pos="900"/>
        </w:tabs>
        <w:spacing w:line="360" w:lineRule="auto"/>
        <w:ind w:firstLine="420" w:firstLineChars="200"/>
        <w:rPr>
          <w:color w:val="auto"/>
          <w:szCs w:val="21"/>
          <w:highlight w:val="none"/>
        </w:rPr>
      </w:pPr>
      <w:r>
        <w:rPr>
          <w:color w:val="auto"/>
          <w:szCs w:val="21"/>
          <w:highlight w:val="none"/>
        </w:rPr>
        <w:t>2.7对于内容、格式符合规定的质疑函，代理机构将在收到参加磋商供应商的书面质疑后七个工作日内作出答复，并以书面形式通知质疑供应商和其他相关供应商，答复的内容不涉及商业秘密。</w:t>
      </w:r>
    </w:p>
    <w:p w14:paraId="2E9D0410">
      <w:pPr>
        <w:spacing w:line="360" w:lineRule="auto"/>
        <w:ind w:firstLine="409" w:firstLineChars="195"/>
        <w:rPr>
          <w:color w:val="auto"/>
          <w:szCs w:val="21"/>
          <w:highlight w:val="none"/>
        </w:rPr>
      </w:pPr>
      <w:r>
        <w:rPr>
          <w:color w:val="auto"/>
          <w:szCs w:val="21"/>
          <w:highlight w:val="none"/>
        </w:rPr>
        <w:t>2.8 诚实信用</w:t>
      </w:r>
    </w:p>
    <w:p w14:paraId="05C091FC">
      <w:pPr>
        <w:spacing w:line="360" w:lineRule="auto"/>
        <w:ind w:firstLine="409" w:firstLineChars="195"/>
        <w:rPr>
          <w:color w:val="auto"/>
          <w:szCs w:val="21"/>
          <w:highlight w:val="none"/>
        </w:rPr>
      </w:pPr>
      <w:r>
        <w:rPr>
          <w:color w:val="auto"/>
          <w:szCs w:val="21"/>
          <w:highlight w:val="none"/>
        </w:rPr>
        <w:t>2.8.1 供应商之间不得相互串通报价，不得妨碍其他供应商的公平竞争，不得损害采购人和其他供应商的合法权益。</w:t>
      </w:r>
    </w:p>
    <w:p w14:paraId="39D8F9DE">
      <w:pPr>
        <w:spacing w:line="360" w:lineRule="auto"/>
        <w:ind w:firstLine="409" w:firstLineChars="195"/>
        <w:rPr>
          <w:color w:val="auto"/>
          <w:szCs w:val="21"/>
          <w:highlight w:val="none"/>
        </w:rPr>
      </w:pPr>
      <w:r>
        <w:rPr>
          <w:color w:val="auto"/>
          <w:szCs w:val="21"/>
          <w:highlight w:val="none"/>
        </w:rPr>
        <w:t>2.8.2 供应商不得以向代理机构工作人员、评标委员会成员行贿或者采取其他不正当手段谋取中标。经查实供应商有此行为的，采购管理部门将供应商列入不良行为记录名单。</w:t>
      </w:r>
    </w:p>
    <w:p w14:paraId="71551903">
      <w:pPr>
        <w:spacing w:line="360" w:lineRule="auto"/>
        <w:ind w:firstLine="409" w:firstLineChars="195"/>
        <w:rPr>
          <w:color w:val="auto"/>
          <w:szCs w:val="21"/>
          <w:highlight w:val="none"/>
        </w:rPr>
      </w:pPr>
      <w:r>
        <w:rPr>
          <w:color w:val="auto"/>
          <w:szCs w:val="21"/>
          <w:highlight w:val="none"/>
        </w:rPr>
        <w:t>2.8.3 供应商提出书面质疑必须有理、有据，不得虚假质疑和恶意质疑，并对质疑内容的真实性承担责任。一经查实，代理机构有权参照政府采购的有关规定，报请监管部门对该供应商进行相应的行政处罚并在网站上予以公示。如果供应商或者其他利害关系人通过捏造事实、伪造证明材料等方式提出质疑，干扰采购活动正常进行的，属于严重不良行为，将其列入不良行为记录名单。</w:t>
      </w:r>
    </w:p>
    <w:p w14:paraId="4F66899A">
      <w:pPr>
        <w:spacing w:line="360" w:lineRule="auto"/>
        <w:ind w:firstLine="409" w:firstLineChars="195"/>
        <w:rPr>
          <w:color w:val="auto"/>
          <w:szCs w:val="21"/>
          <w:highlight w:val="none"/>
        </w:rPr>
      </w:pPr>
      <w:r>
        <w:rPr>
          <w:color w:val="auto"/>
          <w:szCs w:val="21"/>
          <w:highlight w:val="none"/>
        </w:rPr>
        <w:t>2.8.4 供应商不得虚假承诺，否则，按照提供虚假材料谋取</w:t>
      </w:r>
      <w:r>
        <w:rPr>
          <w:rFonts w:hint="eastAsia"/>
          <w:color w:val="auto"/>
          <w:szCs w:val="21"/>
          <w:highlight w:val="none"/>
        </w:rPr>
        <w:t>中标</w:t>
      </w:r>
      <w:r>
        <w:rPr>
          <w:color w:val="auto"/>
          <w:szCs w:val="21"/>
          <w:highlight w:val="none"/>
        </w:rPr>
        <w:t>处理。</w:t>
      </w:r>
    </w:p>
    <w:p w14:paraId="7FB6E4C4">
      <w:pPr>
        <w:spacing w:line="360" w:lineRule="auto"/>
        <w:ind w:firstLine="409" w:firstLineChars="195"/>
        <w:rPr>
          <w:color w:val="auto"/>
          <w:szCs w:val="21"/>
          <w:highlight w:val="none"/>
        </w:rPr>
      </w:pPr>
      <w:r>
        <w:rPr>
          <w:color w:val="auto"/>
          <w:szCs w:val="21"/>
          <w:highlight w:val="none"/>
        </w:rPr>
        <w:t>2.8.5 供应商应自觉遵守开标、评标纪律，扰乱开标评标现场秩序的，属于失信行为，</w:t>
      </w:r>
    </w:p>
    <w:p w14:paraId="67FB3725">
      <w:pPr>
        <w:tabs>
          <w:tab w:val="left" w:pos="900"/>
        </w:tabs>
        <w:spacing w:line="360" w:lineRule="auto"/>
        <w:ind w:firstLine="422" w:firstLineChars="200"/>
        <w:rPr>
          <w:b/>
          <w:color w:val="auto"/>
          <w:szCs w:val="21"/>
          <w:highlight w:val="none"/>
        </w:rPr>
      </w:pPr>
      <w:r>
        <w:rPr>
          <w:b/>
          <w:color w:val="auto"/>
          <w:szCs w:val="21"/>
          <w:highlight w:val="none"/>
        </w:rPr>
        <w:t>六、合同签订相关事项</w:t>
      </w:r>
    </w:p>
    <w:p w14:paraId="4DF63829">
      <w:pPr>
        <w:tabs>
          <w:tab w:val="left" w:pos="900"/>
        </w:tabs>
        <w:spacing w:line="360" w:lineRule="auto"/>
        <w:ind w:firstLine="420" w:firstLineChars="200"/>
        <w:rPr>
          <w:color w:val="auto"/>
          <w:szCs w:val="21"/>
          <w:highlight w:val="none"/>
        </w:rPr>
      </w:pPr>
      <w:r>
        <w:rPr>
          <w:color w:val="auto"/>
          <w:szCs w:val="21"/>
          <w:highlight w:val="none"/>
        </w:rPr>
        <w:t>1、签订合同</w:t>
      </w:r>
    </w:p>
    <w:p w14:paraId="28634639">
      <w:pPr>
        <w:tabs>
          <w:tab w:val="left" w:pos="900"/>
        </w:tabs>
        <w:spacing w:line="360" w:lineRule="auto"/>
        <w:ind w:firstLine="420" w:firstLineChars="200"/>
        <w:rPr>
          <w:color w:val="auto"/>
          <w:szCs w:val="21"/>
          <w:highlight w:val="none"/>
        </w:rPr>
      </w:pPr>
      <w:r>
        <w:rPr>
          <w:color w:val="auto"/>
          <w:szCs w:val="21"/>
          <w:highlight w:val="none"/>
        </w:rPr>
        <w:t>1.l成交人确定后，代理机构将向成交人发出成交通知书。成交人应按成交通知书规定的时间、地点,按照磋商文件确定的事项与采购人签订采购合同，且不得迟于成交通知书发出之日起</w:t>
      </w:r>
      <w:r>
        <w:rPr>
          <w:rFonts w:hint="eastAsia"/>
          <w:color w:val="auto"/>
          <w:szCs w:val="21"/>
          <w:highlight w:val="none"/>
        </w:rPr>
        <w:t>三十</w:t>
      </w:r>
      <w:r>
        <w:rPr>
          <w:color w:val="auto"/>
          <w:szCs w:val="21"/>
          <w:highlight w:val="none"/>
        </w:rPr>
        <w:t>日内，由此给采购人造成损失的，成交人还应承担赔偿责任。</w:t>
      </w:r>
    </w:p>
    <w:p w14:paraId="5EB412D4">
      <w:pPr>
        <w:tabs>
          <w:tab w:val="left" w:pos="900"/>
        </w:tabs>
        <w:spacing w:line="360" w:lineRule="auto"/>
        <w:ind w:firstLine="420" w:firstLineChars="200"/>
        <w:rPr>
          <w:color w:val="auto"/>
          <w:szCs w:val="21"/>
          <w:highlight w:val="none"/>
        </w:rPr>
      </w:pPr>
      <w:r>
        <w:rPr>
          <w:color w:val="auto"/>
          <w:szCs w:val="21"/>
          <w:highlight w:val="none"/>
        </w:rPr>
        <w:t>1.2 磋商文件、成交人的响应文件及磋商采购过程中有关澄清、承诺文件均应作为合同附件。</w:t>
      </w:r>
    </w:p>
    <w:p w14:paraId="536F60BB">
      <w:pPr>
        <w:tabs>
          <w:tab w:val="left" w:pos="900"/>
        </w:tabs>
        <w:spacing w:line="360" w:lineRule="auto"/>
        <w:ind w:firstLine="420" w:firstLineChars="200"/>
        <w:rPr>
          <w:color w:val="auto"/>
          <w:szCs w:val="21"/>
          <w:highlight w:val="none"/>
        </w:rPr>
      </w:pPr>
      <w:r>
        <w:rPr>
          <w:color w:val="auto"/>
          <w:szCs w:val="21"/>
          <w:highlight w:val="none"/>
        </w:rPr>
        <w:t>1.3 签订合同后，</w:t>
      </w:r>
      <w:r>
        <w:rPr>
          <w:i/>
          <w:color w:val="auto"/>
          <w:szCs w:val="21"/>
          <w:highlight w:val="none"/>
          <w:u w:val="single"/>
        </w:rPr>
        <w:t>成交人不得将</w:t>
      </w:r>
      <w:r>
        <w:rPr>
          <w:rFonts w:hint="eastAsia"/>
          <w:i/>
          <w:color w:val="auto"/>
          <w:szCs w:val="21"/>
          <w:highlight w:val="none"/>
          <w:u w:val="single"/>
        </w:rPr>
        <w:t>工程</w:t>
      </w:r>
      <w:r>
        <w:rPr>
          <w:i/>
          <w:color w:val="auto"/>
          <w:szCs w:val="21"/>
          <w:highlight w:val="none"/>
          <w:u w:val="single"/>
        </w:rPr>
        <w:t>进行转包，</w:t>
      </w:r>
      <w:r>
        <w:rPr>
          <w:color w:val="auto"/>
          <w:szCs w:val="21"/>
          <w:highlight w:val="none"/>
        </w:rPr>
        <w:t>否则采购人有权终止合同。造成采购人损失的，成交人应承担相应赔偿责任。</w:t>
      </w:r>
    </w:p>
    <w:p w14:paraId="77912F30">
      <w:pPr>
        <w:tabs>
          <w:tab w:val="left" w:pos="900"/>
        </w:tabs>
        <w:spacing w:line="360" w:lineRule="auto"/>
        <w:ind w:firstLine="420" w:firstLineChars="200"/>
        <w:rPr>
          <w:color w:val="auto"/>
          <w:szCs w:val="21"/>
          <w:highlight w:val="none"/>
        </w:rPr>
      </w:pPr>
      <w:r>
        <w:rPr>
          <w:color w:val="auto"/>
          <w:szCs w:val="21"/>
          <w:highlight w:val="none"/>
        </w:rPr>
        <w:t>2、履约保证金</w:t>
      </w:r>
      <w:r>
        <w:rPr>
          <w:rFonts w:hint="eastAsia"/>
          <w:color w:val="auto"/>
          <w:szCs w:val="21"/>
          <w:highlight w:val="none"/>
        </w:rPr>
        <w:t>：详见合同条款。</w:t>
      </w:r>
    </w:p>
    <w:p w14:paraId="7DCBB421">
      <w:pPr>
        <w:pStyle w:val="2"/>
        <w:spacing w:before="0" w:after="0" w:line="579" w:lineRule="auto"/>
        <w:jc w:val="center"/>
        <w:rPr>
          <w:bCs w:val="0"/>
          <w:color w:val="auto"/>
          <w:highlight w:val="none"/>
        </w:rPr>
      </w:pPr>
      <w:bookmarkStart w:id="116" w:name="_Toc497145841"/>
      <w:r>
        <w:rPr>
          <w:color w:val="auto"/>
          <w:sz w:val="36"/>
          <w:highlight w:val="none"/>
        </w:rPr>
        <w:br w:type="page"/>
      </w:r>
      <w:bookmarkStart w:id="117" w:name="_Toc16389"/>
      <w:r>
        <w:rPr>
          <w:color w:val="auto"/>
          <w:sz w:val="36"/>
          <w:highlight w:val="none"/>
        </w:rPr>
        <w:t>第三章 合同条款及格式</w:t>
      </w:r>
      <w:bookmarkEnd w:id="116"/>
      <w:bookmarkEnd w:id="117"/>
      <w:bookmarkStart w:id="118" w:name="_Toc497145842"/>
    </w:p>
    <w:p w14:paraId="0DAE6BD0">
      <w:pPr>
        <w:pStyle w:val="115"/>
        <w:jc w:val="center"/>
        <w:rPr>
          <w:rFonts w:ascii="宋体" w:hAnsi="宋体" w:cs="宋体"/>
          <w:b/>
          <w:color w:val="auto"/>
          <w:sz w:val="72"/>
          <w:szCs w:val="52"/>
          <w:highlight w:val="none"/>
        </w:rPr>
      </w:pPr>
      <w:bookmarkStart w:id="119" w:name="_Toc92168040"/>
      <w:bookmarkStart w:id="120" w:name="_Toc16602"/>
      <w:bookmarkStart w:id="121" w:name="_Toc31575"/>
      <w:bookmarkStart w:id="122" w:name="_Toc22000611"/>
    </w:p>
    <w:p w14:paraId="5259EF68">
      <w:pPr>
        <w:pStyle w:val="115"/>
        <w:jc w:val="center"/>
        <w:rPr>
          <w:rFonts w:ascii="宋体" w:hAnsi="宋体" w:cs="宋体"/>
          <w:b/>
          <w:color w:val="auto"/>
          <w:sz w:val="72"/>
          <w:szCs w:val="52"/>
          <w:highlight w:val="none"/>
        </w:rPr>
      </w:pPr>
    </w:p>
    <w:p w14:paraId="1862858E">
      <w:pPr>
        <w:pStyle w:val="115"/>
        <w:jc w:val="center"/>
        <w:rPr>
          <w:rFonts w:ascii="宋体" w:hAnsi="宋体" w:cs="宋体"/>
          <w:b/>
          <w:color w:val="auto"/>
          <w:sz w:val="72"/>
          <w:szCs w:val="52"/>
          <w:highlight w:val="none"/>
        </w:rPr>
      </w:pPr>
    </w:p>
    <w:p w14:paraId="24E63179">
      <w:pPr>
        <w:pStyle w:val="115"/>
        <w:jc w:val="center"/>
        <w:rPr>
          <w:rFonts w:ascii="宋体" w:hAnsi="宋体" w:cs="宋体"/>
          <w:b/>
          <w:color w:val="auto"/>
          <w:sz w:val="72"/>
          <w:szCs w:val="52"/>
          <w:highlight w:val="none"/>
        </w:rPr>
      </w:pPr>
    </w:p>
    <w:p w14:paraId="4C13C62F">
      <w:pPr>
        <w:pStyle w:val="115"/>
        <w:jc w:val="center"/>
        <w:rPr>
          <w:rFonts w:ascii="宋体" w:hAnsi="宋体" w:cs="宋体"/>
          <w:b/>
          <w:color w:val="auto"/>
          <w:sz w:val="52"/>
          <w:szCs w:val="52"/>
          <w:highlight w:val="none"/>
        </w:rPr>
      </w:pPr>
      <w:r>
        <w:rPr>
          <w:rFonts w:hint="eastAsia" w:ascii="宋体" w:hAnsi="宋体" w:cs="宋体"/>
          <w:b/>
          <w:color w:val="auto"/>
          <w:sz w:val="72"/>
          <w:szCs w:val="52"/>
          <w:highlight w:val="none"/>
        </w:rPr>
        <w:t>建设工程施工合同</w:t>
      </w:r>
    </w:p>
    <w:p w14:paraId="7507BCC0">
      <w:pPr>
        <w:spacing w:line="460" w:lineRule="exact"/>
        <w:ind w:firstLine="735" w:firstLineChars="350"/>
        <w:outlineLvl w:val="1"/>
        <w:rPr>
          <w:rFonts w:ascii="宋体" w:hAnsi="宋体" w:cs="宋体"/>
          <w:color w:val="auto"/>
          <w:szCs w:val="21"/>
          <w:highlight w:val="none"/>
          <w:u w:val="single"/>
        </w:rPr>
      </w:pPr>
    </w:p>
    <w:p w14:paraId="077AAB9E">
      <w:pPr>
        <w:spacing w:line="460" w:lineRule="exact"/>
        <w:ind w:firstLine="735" w:firstLineChars="350"/>
        <w:outlineLvl w:val="1"/>
        <w:rPr>
          <w:rFonts w:ascii="宋体" w:hAnsi="宋体" w:cs="宋体"/>
          <w:color w:val="auto"/>
          <w:szCs w:val="21"/>
          <w:highlight w:val="none"/>
          <w:u w:val="single"/>
        </w:rPr>
      </w:pPr>
    </w:p>
    <w:p w14:paraId="35FD89C7">
      <w:pPr>
        <w:spacing w:line="460" w:lineRule="exact"/>
        <w:ind w:firstLine="735" w:firstLineChars="350"/>
        <w:outlineLvl w:val="1"/>
        <w:rPr>
          <w:rFonts w:ascii="宋体" w:hAnsi="宋体" w:cs="宋体"/>
          <w:color w:val="auto"/>
          <w:szCs w:val="21"/>
          <w:highlight w:val="none"/>
          <w:u w:val="single"/>
        </w:rPr>
      </w:pPr>
    </w:p>
    <w:p w14:paraId="416D1F56">
      <w:pPr>
        <w:spacing w:line="460" w:lineRule="exact"/>
        <w:ind w:firstLine="735" w:firstLineChars="350"/>
        <w:outlineLvl w:val="1"/>
        <w:rPr>
          <w:rFonts w:ascii="宋体" w:hAnsi="宋体" w:cs="宋体"/>
          <w:color w:val="auto"/>
          <w:szCs w:val="21"/>
          <w:highlight w:val="none"/>
          <w:u w:val="single"/>
        </w:rPr>
      </w:pPr>
    </w:p>
    <w:p w14:paraId="58D7D747">
      <w:pPr>
        <w:spacing w:line="460" w:lineRule="exact"/>
        <w:ind w:firstLine="735" w:firstLineChars="350"/>
        <w:outlineLvl w:val="1"/>
        <w:rPr>
          <w:rFonts w:ascii="宋体" w:hAnsi="宋体" w:cs="宋体"/>
          <w:color w:val="auto"/>
          <w:szCs w:val="21"/>
          <w:highlight w:val="none"/>
          <w:u w:val="single"/>
        </w:rPr>
      </w:pPr>
    </w:p>
    <w:p w14:paraId="2B6C74EB">
      <w:pPr>
        <w:spacing w:line="460" w:lineRule="exact"/>
        <w:ind w:firstLine="735" w:firstLineChars="350"/>
        <w:outlineLvl w:val="1"/>
        <w:rPr>
          <w:rFonts w:ascii="宋体" w:hAnsi="宋体" w:cs="宋体"/>
          <w:color w:val="auto"/>
          <w:szCs w:val="21"/>
          <w:highlight w:val="none"/>
          <w:u w:val="single"/>
        </w:rPr>
      </w:pPr>
    </w:p>
    <w:p w14:paraId="5BE276C4">
      <w:pPr>
        <w:spacing w:line="460" w:lineRule="exact"/>
        <w:ind w:firstLine="735" w:firstLineChars="350"/>
        <w:outlineLvl w:val="1"/>
        <w:rPr>
          <w:rFonts w:ascii="宋体" w:hAnsi="宋体" w:cs="宋体"/>
          <w:color w:val="auto"/>
          <w:szCs w:val="21"/>
          <w:highlight w:val="none"/>
          <w:u w:val="single"/>
        </w:rPr>
      </w:pPr>
    </w:p>
    <w:p w14:paraId="2BAB6D17">
      <w:pPr>
        <w:spacing w:line="460" w:lineRule="exact"/>
        <w:ind w:firstLine="735" w:firstLineChars="350"/>
        <w:outlineLvl w:val="1"/>
        <w:rPr>
          <w:rFonts w:ascii="宋体" w:hAnsi="宋体" w:cs="宋体"/>
          <w:color w:val="auto"/>
          <w:szCs w:val="21"/>
          <w:highlight w:val="none"/>
          <w:u w:val="single"/>
        </w:rPr>
      </w:pPr>
    </w:p>
    <w:p w14:paraId="4A1AF505">
      <w:pPr>
        <w:spacing w:line="460" w:lineRule="exact"/>
        <w:ind w:firstLine="735" w:firstLineChars="350"/>
        <w:outlineLvl w:val="1"/>
        <w:rPr>
          <w:rFonts w:ascii="宋体" w:hAnsi="宋体" w:cs="宋体"/>
          <w:color w:val="auto"/>
          <w:szCs w:val="21"/>
          <w:highlight w:val="none"/>
          <w:u w:val="single"/>
        </w:rPr>
      </w:pPr>
    </w:p>
    <w:p w14:paraId="7DDC8FD5">
      <w:pPr>
        <w:spacing w:line="460" w:lineRule="exact"/>
        <w:ind w:firstLine="735" w:firstLineChars="350"/>
        <w:outlineLvl w:val="1"/>
        <w:rPr>
          <w:rFonts w:ascii="宋体" w:hAnsi="宋体" w:cs="宋体"/>
          <w:color w:val="auto"/>
          <w:szCs w:val="21"/>
          <w:highlight w:val="none"/>
          <w:u w:val="single"/>
        </w:rPr>
      </w:pPr>
    </w:p>
    <w:p w14:paraId="287DDDB4">
      <w:pPr>
        <w:spacing w:line="460" w:lineRule="exact"/>
        <w:ind w:firstLine="735" w:firstLineChars="350"/>
        <w:outlineLvl w:val="1"/>
        <w:rPr>
          <w:rFonts w:ascii="宋体" w:hAnsi="宋体" w:cs="宋体"/>
          <w:color w:val="auto"/>
          <w:szCs w:val="21"/>
          <w:highlight w:val="none"/>
          <w:u w:val="single"/>
        </w:rPr>
      </w:pPr>
    </w:p>
    <w:p w14:paraId="69153619">
      <w:pPr>
        <w:spacing w:line="460" w:lineRule="exact"/>
        <w:ind w:firstLine="735" w:firstLineChars="350"/>
        <w:outlineLvl w:val="1"/>
        <w:rPr>
          <w:rFonts w:ascii="宋体" w:hAnsi="宋体" w:cs="宋体"/>
          <w:color w:val="auto"/>
          <w:szCs w:val="21"/>
          <w:highlight w:val="none"/>
          <w:u w:val="single"/>
        </w:rPr>
      </w:pPr>
    </w:p>
    <w:p w14:paraId="25AADDDD">
      <w:pPr>
        <w:spacing w:line="460" w:lineRule="exact"/>
        <w:ind w:firstLine="735" w:firstLineChars="350"/>
        <w:outlineLvl w:val="1"/>
        <w:rPr>
          <w:rFonts w:ascii="宋体" w:hAnsi="宋体" w:cs="宋体"/>
          <w:color w:val="auto"/>
          <w:szCs w:val="21"/>
          <w:highlight w:val="none"/>
          <w:u w:val="single"/>
        </w:rPr>
      </w:pPr>
    </w:p>
    <w:p w14:paraId="6B7F5296">
      <w:pPr>
        <w:spacing w:line="460" w:lineRule="exact"/>
        <w:ind w:firstLine="735" w:firstLineChars="350"/>
        <w:outlineLvl w:val="1"/>
        <w:rPr>
          <w:rFonts w:ascii="宋体" w:hAnsi="宋体" w:cs="宋体"/>
          <w:color w:val="auto"/>
          <w:szCs w:val="21"/>
          <w:highlight w:val="none"/>
          <w:u w:val="single"/>
        </w:rPr>
      </w:pPr>
    </w:p>
    <w:p w14:paraId="4332AE1E">
      <w:pPr>
        <w:spacing w:line="460" w:lineRule="exact"/>
        <w:ind w:firstLine="735" w:firstLineChars="350"/>
        <w:outlineLvl w:val="1"/>
        <w:rPr>
          <w:rFonts w:ascii="宋体" w:hAnsi="宋体" w:cs="宋体"/>
          <w:color w:val="auto"/>
          <w:szCs w:val="21"/>
          <w:highlight w:val="none"/>
          <w:u w:val="single"/>
        </w:rPr>
      </w:pPr>
    </w:p>
    <w:p w14:paraId="23B10D49">
      <w:pPr>
        <w:spacing w:line="460" w:lineRule="exact"/>
        <w:ind w:firstLine="735" w:firstLineChars="350"/>
        <w:outlineLvl w:val="1"/>
        <w:rPr>
          <w:rFonts w:ascii="宋体" w:hAnsi="宋体" w:cs="宋体"/>
          <w:color w:val="auto"/>
          <w:szCs w:val="21"/>
          <w:highlight w:val="none"/>
          <w:u w:val="single"/>
        </w:rPr>
      </w:pPr>
    </w:p>
    <w:p w14:paraId="03FDBD99">
      <w:pPr>
        <w:spacing w:line="460" w:lineRule="exact"/>
        <w:ind w:firstLine="735" w:firstLineChars="350"/>
        <w:outlineLvl w:val="1"/>
        <w:rPr>
          <w:rFonts w:ascii="宋体" w:hAnsi="宋体" w:cs="宋体"/>
          <w:color w:val="auto"/>
          <w:szCs w:val="21"/>
          <w:highlight w:val="none"/>
          <w:u w:val="single"/>
        </w:rPr>
      </w:pPr>
    </w:p>
    <w:p w14:paraId="365FBC00">
      <w:pPr>
        <w:spacing w:line="460" w:lineRule="exact"/>
        <w:ind w:firstLine="735" w:firstLineChars="350"/>
        <w:outlineLvl w:val="1"/>
        <w:rPr>
          <w:rFonts w:ascii="宋体" w:hAnsi="宋体" w:cs="宋体"/>
          <w:color w:val="auto"/>
          <w:szCs w:val="21"/>
          <w:highlight w:val="none"/>
          <w:u w:val="single"/>
        </w:rPr>
      </w:pPr>
    </w:p>
    <w:p w14:paraId="36E2CFA1">
      <w:pPr>
        <w:tabs>
          <w:tab w:val="left" w:pos="0"/>
          <w:tab w:val="left" w:pos="1134"/>
        </w:tabs>
        <w:spacing w:line="360" w:lineRule="auto"/>
        <w:ind w:firstLine="723"/>
        <w:jc w:val="center"/>
        <w:outlineLvl w:val="0"/>
        <w:rPr>
          <w:rFonts w:ascii="宋体" w:hAnsi="宋体" w:cs="宋体"/>
          <w:b/>
          <w:color w:val="auto"/>
          <w:sz w:val="28"/>
          <w:szCs w:val="28"/>
          <w:highlight w:val="none"/>
        </w:rPr>
      </w:pPr>
      <w:r>
        <w:rPr>
          <w:rFonts w:hint="eastAsia" w:ascii="宋体" w:hAnsi="宋体" w:cs="宋体"/>
          <w:b/>
          <w:bCs/>
          <w:color w:val="auto"/>
          <w:sz w:val="32"/>
          <w:szCs w:val="32"/>
          <w:highlight w:val="none"/>
        </w:rPr>
        <w:t>第一部分协议书</w:t>
      </w:r>
    </w:p>
    <w:p w14:paraId="779B0F92">
      <w:pPr>
        <w:tabs>
          <w:tab w:val="left" w:pos="426"/>
          <w:tab w:val="left" w:pos="1134"/>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合同编号:</w:t>
      </w:r>
    </w:p>
    <w:p w14:paraId="71655AA1">
      <w:pPr>
        <w:tabs>
          <w:tab w:val="left" w:pos="426"/>
          <w:tab w:val="left" w:pos="1134"/>
        </w:tabs>
        <w:spacing w:line="360"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发包人：扬州大学附属医院</w:t>
      </w:r>
    </w:p>
    <w:p w14:paraId="0CB87B4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承包人：</w:t>
      </w:r>
    </w:p>
    <w:p w14:paraId="375293B9">
      <w:pPr>
        <w:tabs>
          <w:tab w:val="left" w:pos="426"/>
        </w:tabs>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发包人承包人双方根据《中华人民共和国民法典》等相关法律法规，遵循平等、自愿、公平、诚实信用的原则，就</w:t>
      </w:r>
      <w:r>
        <w:rPr>
          <w:rFonts w:hint="eastAsia" w:ascii="宋体" w:hAnsi="宋体" w:cs="宋体"/>
          <w:color w:val="auto"/>
          <w:szCs w:val="21"/>
          <w:highlight w:val="none"/>
          <w:u w:val="single"/>
          <w:lang w:eastAsia="zh-CN"/>
        </w:rPr>
        <w:t>扬州大学附属医院科教综合楼</w:t>
      </w:r>
      <w:r>
        <w:rPr>
          <w:rFonts w:hint="eastAsia" w:ascii="宋体" w:hAnsi="宋体" w:cs="宋体"/>
          <w:color w:val="auto"/>
          <w:szCs w:val="21"/>
          <w:highlight w:val="none"/>
          <w:u w:val="single"/>
          <w:lang w:val="en-US" w:eastAsia="zh-CN"/>
        </w:rPr>
        <w:t>医学</w:t>
      </w:r>
      <w:r>
        <w:rPr>
          <w:rFonts w:hint="eastAsia" w:ascii="宋体" w:hAnsi="宋体" w:cs="宋体"/>
          <w:color w:val="auto"/>
          <w:szCs w:val="21"/>
          <w:highlight w:val="none"/>
          <w:u w:val="single"/>
          <w:lang w:eastAsia="zh-CN"/>
        </w:rPr>
        <w:t>检验科</w:t>
      </w:r>
      <w:r>
        <w:rPr>
          <w:rFonts w:hint="eastAsia" w:ascii="宋体" w:hAnsi="宋体" w:cs="宋体"/>
          <w:color w:val="auto"/>
          <w:szCs w:val="21"/>
          <w:highlight w:val="none"/>
          <w:u w:val="single"/>
          <w:lang w:val="en-US" w:eastAsia="zh-CN"/>
        </w:rPr>
        <w:t>设置实验室门关</w:t>
      </w:r>
      <w:r>
        <w:rPr>
          <w:rFonts w:hint="eastAsia" w:ascii="宋体" w:hAnsi="宋体" w:cs="宋体"/>
          <w:color w:val="auto"/>
          <w:szCs w:val="21"/>
          <w:highlight w:val="none"/>
          <w:u w:val="single"/>
          <w:lang w:eastAsia="zh-CN"/>
        </w:rPr>
        <w:t>项目</w:t>
      </w:r>
      <w:r>
        <w:rPr>
          <w:rFonts w:hint="eastAsia" w:ascii="宋体" w:hAnsi="宋体" w:cs="宋体"/>
          <w:color w:val="auto"/>
          <w:szCs w:val="21"/>
          <w:highlight w:val="none"/>
        </w:rPr>
        <w:t>，经发包人承包人双方友好协商签订以下合同：</w:t>
      </w:r>
    </w:p>
    <w:p w14:paraId="3C62DC4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一、工程概况</w:t>
      </w:r>
    </w:p>
    <w:p w14:paraId="1BDD058F">
      <w:pPr>
        <w:tabs>
          <w:tab w:val="left" w:pos="426"/>
        </w:tabs>
        <w:spacing w:line="360" w:lineRule="auto"/>
        <w:ind w:firstLine="420"/>
        <w:contextualSpacing/>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rPr>
        <w:t>1.1工程名称：</w:t>
      </w:r>
      <w:r>
        <w:rPr>
          <w:rFonts w:hint="eastAsia" w:ascii="宋体" w:hAnsi="宋体" w:cs="宋体"/>
          <w:color w:val="auto"/>
          <w:szCs w:val="21"/>
          <w:highlight w:val="none"/>
          <w:lang w:eastAsia="zh-CN"/>
        </w:rPr>
        <w:t>扬州大学附属医院科教综合楼</w:t>
      </w:r>
      <w:r>
        <w:rPr>
          <w:rFonts w:hint="eastAsia" w:ascii="宋体" w:hAnsi="宋体" w:cs="宋体"/>
          <w:color w:val="auto"/>
          <w:szCs w:val="21"/>
          <w:highlight w:val="none"/>
          <w:lang w:val="en-US" w:eastAsia="zh-CN"/>
        </w:rPr>
        <w:t>医学</w:t>
      </w:r>
      <w:r>
        <w:rPr>
          <w:rFonts w:hint="eastAsia" w:ascii="宋体" w:hAnsi="宋体" w:cs="宋体"/>
          <w:color w:val="auto"/>
          <w:szCs w:val="21"/>
          <w:highlight w:val="none"/>
          <w:lang w:eastAsia="zh-CN"/>
        </w:rPr>
        <w:t>检验科</w:t>
      </w:r>
      <w:r>
        <w:rPr>
          <w:rFonts w:hint="eastAsia" w:ascii="宋体" w:hAnsi="宋体" w:cs="宋体"/>
          <w:color w:val="auto"/>
          <w:szCs w:val="21"/>
          <w:highlight w:val="none"/>
          <w:lang w:val="en-US" w:eastAsia="zh-CN"/>
        </w:rPr>
        <w:t>设置实验室门关</w:t>
      </w:r>
      <w:r>
        <w:rPr>
          <w:rFonts w:hint="eastAsia" w:ascii="宋体" w:hAnsi="宋体" w:cs="宋体"/>
          <w:color w:val="auto"/>
          <w:szCs w:val="21"/>
          <w:highlight w:val="none"/>
          <w:lang w:eastAsia="zh-CN"/>
        </w:rPr>
        <w:t>项目</w:t>
      </w:r>
    </w:p>
    <w:p w14:paraId="25723DA2">
      <w:pPr>
        <w:tabs>
          <w:tab w:val="left" w:pos="426"/>
        </w:tabs>
        <w:spacing w:line="360" w:lineRule="auto"/>
        <w:ind w:firstLine="420"/>
        <w:contextualSpacing/>
        <w:rPr>
          <w:rFonts w:ascii="宋体" w:hAnsi="宋体" w:cs="宋体"/>
          <w:b/>
          <w:color w:val="auto"/>
          <w:szCs w:val="21"/>
          <w:highlight w:val="none"/>
          <w:u w:val="single"/>
        </w:rPr>
      </w:pPr>
      <w:r>
        <w:rPr>
          <w:rFonts w:hint="eastAsia" w:ascii="宋体" w:hAnsi="宋体" w:cs="宋体"/>
          <w:color w:val="auto"/>
          <w:szCs w:val="21"/>
          <w:highlight w:val="none"/>
        </w:rPr>
        <w:t>1.2工程地点：</w:t>
      </w:r>
    </w:p>
    <w:p w14:paraId="23F6C475">
      <w:pPr>
        <w:tabs>
          <w:tab w:val="left" w:pos="426"/>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 xml:space="preserve">1.3主要工程项目和内容： </w:t>
      </w:r>
    </w:p>
    <w:p w14:paraId="2AFCD62D">
      <w:pPr>
        <w:tabs>
          <w:tab w:val="left" w:pos="426"/>
        </w:tabs>
        <w:spacing w:line="360" w:lineRule="auto"/>
        <w:ind w:firstLine="422"/>
        <w:contextualSpacing/>
        <w:rPr>
          <w:rFonts w:ascii="宋体" w:hAnsi="宋体" w:cs="宋体"/>
          <w:color w:val="auto"/>
          <w:szCs w:val="21"/>
          <w:highlight w:val="none"/>
        </w:rPr>
      </w:pPr>
      <w:r>
        <w:rPr>
          <w:rFonts w:hint="eastAsia" w:ascii="宋体" w:hAnsi="宋体" w:cs="宋体"/>
          <w:b/>
          <w:color w:val="auto"/>
          <w:szCs w:val="21"/>
          <w:highlight w:val="none"/>
        </w:rPr>
        <w:t>详见图纸及本施工要求。</w:t>
      </w:r>
      <w:r>
        <w:rPr>
          <w:rFonts w:hint="eastAsia" w:ascii="宋体" w:hAnsi="宋体" w:cs="宋体"/>
          <w:color w:val="auto"/>
          <w:szCs w:val="21"/>
          <w:highlight w:val="none"/>
        </w:rPr>
        <w:t>按照图纸所示内容施工，若因发包人要求增加，增加部分的工程量按实际增加工作量签证另行计算。</w:t>
      </w:r>
    </w:p>
    <w:p w14:paraId="0C63F549">
      <w:pPr>
        <w:pStyle w:val="116"/>
        <w:tabs>
          <w:tab w:val="left" w:pos="426"/>
        </w:tabs>
        <w:spacing w:line="360" w:lineRule="auto"/>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1.4资金来源：自筹。</w:t>
      </w:r>
    </w:p>
    <w:p w14:paraId="576D7AC5">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二、合同工期</w:t>
      </w:r>
    </w:p>
    <w:p w14:paraId="2655CC65">
      <w:pPr>
        <w:pStyle w:val="116"/>
        <w:tabs>
          <w:tab w:val="left" w:pos="426"/>
        </w:tabs>
        <w:spacing w:line="360" w:lineRule="auto"/>
        <w:ind w:firstLine="452"/>
        <w:contextualSpacing/>
        <w:jc w:val="left"/>
        <w:rPr>
          <w:rFonts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日历天。成交单位施工期间，不得以材料设备等订货周期不够等借口要求延长工期，必须采取各种措施保质保量坚决完成本次项目</w:t>
      </w:r>
      <w:r>
        <w:rPr>
          <w:rFonts w:hint="eastAsia" w:ascii="宋体" w:hAnsi="宋体" w:eastAsia="宋体" w:cs="宋体"/>
          <w:color w:val="auto"/>
          <w:sz w:val="21"/>
          <w:szCs w:val="21"/>
          <w:highlight w:val="none"/>
          <w:lang w:eastAsia="zh-CN"/>
        </w:rPr>
        <w:t>。</w:t>
      </w:r>
    </w:p>
    <w:p w14:paraId="587E7C06">
      <w:pPr>
        <w:pStyle w:val="116"/>
        <w:tabs>
          <w:tab w:val="left" w:pos="426"/>
        </w:tabs>
        <w:spacing w:line="360" w:lineRule="auto"/>
        <w:ind w:firstLine="452"/>
        <w:contextualSpacing/>
        <w:jc w:val="left"/>
        <w:rPr>
          <w:rFonts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2.2开工日期为：2026年</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8"/>
          <w:sz w:val="21"/>
          <w:szCs w:val="21"/>
          <w:highlight w:val="none"/>
          <w:lang w:val="en-US" w:eastAsia="zh-CN"/>
        </w:rPr>
        <w:t xml:space="preserve"> </w:t>
      </w:r>
      <w:r>
        <w:rPr>
          <w:rFonts w:hint="eastAsia" w:ascii="宋体" w:hAnsi="宋体" w:eastAsia="宋体" w:cs="宋体"/>
          <w:color w:val="auto"/>
          <w:spacing w:val="8"/>
          <w:sz w:val="21"/>
          <w:szCs w:val="21"/>
          <w:highlight w:val="none"/>
        </w:rPr>
        <w:t>日（以发包人开工令为准）。</w:t>
      </w:r>
    </w:p>
    <w:p w14:paraId="2F1AED31">
      <w:pPr>
        <w:tabs>
          <w:tab w:val="left" w:pos="426"/>
        </w:tabs>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三、质量标准</w:t>
      </w:r>
    </w:p>
    <w:p w14:paraId="275231E6">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3.1质量要求：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4422E9F7">
      <w:pPr>
        <w:pStyle w:val="79"/>
        <w:tabs>
          <w:tab w:val="left" w:pos="426"/>
        </w:tabs>
        <w:spacing w:before="0" w:after="0" w:line="360" w:lineRule="auto"/>
        <w:ind w:left="0" w:right="0" w:firstLine="422"/>
        <w:contextualSpacing/>
        <w:rPr>
          <w:rFonts w:ascii="宋体" w:hAnsi="宋体" w:cs="宋体"/>
          <w:b/>
          <w:color w:val="auto"/>
          <w:sz w:val="21"/>
          <w:highlight w:val="none"/>
        </w:rPr>
      </w:pPr>
      <w:r>
        <w:rPr>
          <w:rFonts w:hint="eastAsia" w:ascii="宋体" w:hAnsi="宋体" w:cs="宋体"/>
          <w:b/>
          <w:color w:val="auto"/>
          <w:sz w:val="21"/>
          <w:highlight w:val="none"/>
        </w:rPr>
        <w:t>四、合同价款</w:t>
      </w:r>
    </w:p>
    <w:p w14:paraId="465E1A8F">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4.1合同价为：人民币（大写）</w:t>
      </w:r>
      <w:r>
        <w:rPr>
          <w:rFonts w:hint="eastAsia" w:ascii="宋体" w:hAnsi="宋体" w:cs="宋体"/>
          <w:b/>
          <w:bCs w:val="0"/>
          <w:color w:val="auto"/>
          <w:szCs w:val="21"/>
          <w:highlight w:val="none"/>
        </w:rPr>
        <w:t>:</w:t>
      </w:r>
    </w:p>
    <w:p w14:paraId="69806DF0">
      <w:pPr>
        <w:tabs>
          <w:tab w:val="left" w:pos="426"/>
        </w:tabs>
        <w:spacing w:line="360" w:lineRule="auto"/>
        <w:ind w:firstLine="422"/>
        <w:contextualSpacing/>
        <w:rPr>
          <w:rFonts w:ascii="宋体" w:hAnsi="宋体" w:cs="宋体"/>
          <w:b/>
          <w:color w:val="auto"/>
          <w:szCs w:val="21"/>
          <w:highlight w:val="none"/>
          <w:u w:val="single"/>
        </w:rPr>
      </w:pPr>
      <w:r>
        <w:rPr>
          <w:rFonts w:hint="eastAsia" w:ascii="宋体" w:hAnsi="宋体" w:cs="宋体"/>
          <w:b/>
          <w:color w:val="auto"/>
          <w:szCs w:val="21"/>
          <w:highlight w:val="none"/>
        </w:rPr>
        <w:t xml:space="preserve">                     (小写)：</w:t>
      </w:r>
      <w:r>
        <w:rPr>
          <w:rFonts w:hint="eastAsia" w:ascii="宋体" w:hAnsi="宋体" w:cs="宋体"/>
          <w:b/>
          <w:color w:val="auto"/>
          <w:szCs w:val="21"/>
          <w:highlight w:val="none"/>
          <w:lang w:val="en-US" w:eastAsia="zh-CN"/>
        </w:rPr>
        <w:t>￥</w:t>
      </w:r>
    </w:p>
    <w:p w14:paraId="04E05049">
      <w:p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（最终造价按审计部门审计造价进行结算。）</w:t>
      </w:r>
    </w:p>
    <w:p w14:paraId="351BB9B8">
      <w:pPr>
        <w:numPr>
          <w:ilvl w:val="0"/>
          <w:numId w:val="4"/>
        </w:numPr>
        <w:tabs>
          <w:tab w:val="left" w:pos="426"/>
        </w:tabs>
        <w:spacing w:line="360" w:lineRule="auto"/>
        <w:ind w:firstLine="422"/>
        <w:contextualSpacing/>
        <w:rPr>
          <w:rFonts w:ascii="宋体" w:hAnsi="宋体" w:cs="宋体"/>
          <w:b/>
          <w:color w:val="auto"/>
          <w:szCs w:val="21"/>
          <w:highlight w:val="none"/>
        </w:rPr>
      </w:pPr>
      <w:r>
        <w:rPr>
          <w:rFonts w:hint="eastAsia" w:ascii="宋体" w:hAnsi="宋体" w:cs="宋体"/>
          <w:b/>
          <w:color w:val="auto"/>
          <w:szCs w:val="21"/>
          <w:highlight w:val="none"/>
        </w:rPr>
        <w:t>付款方式</w:t>
      </w:r>
    </w:p>
    <w:p w14:paraId="2B9E3F9F">
      <w:pPr>
        <w:tabs>
          <w:tab w:val="left" w:pos="426"/>
        </w:tabs>
        <w:spacing w:line="360" w:lineRule="auto"/>
        <w:ind w:firstLine="422"/>
        <w:contextualSpacing/>
        <w:rPr>
          <w:rFonts w:hint="eastAsia" w:ascii="Times New Roman" w:hAnsi="Times New Roman" w:eastAsia="宋体" w:cs="Times New Roman"/>
          <w:b/>
          <w:bCs/>
          <w:color w:val="auto"/>
          <w:kern w:val="2"/>
          <w:sz w:val="21"/>
          <w:szCs w:val="21"/>
          <w:highlight w:val="none"/>
          <w:lang w:val="en-US" w:eastAsia="zh-CN" w:bidi="ar-SA"/>
        </w:rPr>
      </w:pPr>
      <w:r>
        <w:rPr>
          <w:rFonts w:hint="eastAsia"/>
          <w:b/>
          <w:bCs/>
          <w:color w:val="auto"/>
          <w:szCs w:val="21"/>
          <w:highlight w:val="none"/>
        </w:rPr>
        <w:t>成交价即为合同价。</w:t>
      </w:r>
      <w:r>
        <w:rPr>
          <w:rFonts w:hint="eastAsia" w:ascii="宋体" w:hAnsi="宋体"/>
          <w:b/>
          <w:bCs/>
          <w:szCs w:val="21"/>
          <w:highlight w:val="none"/>
        </w:rPr>
        <w:t>工程竣工验收合格付至</w:t>
      </w:r>
      <w:r>
        <w:rPr>
          <w:rFonts w:hint="eastAsia" w:ascii="宋体" w:hAnsi="宋体"/>
          <w:b/>
          <w:bCs/>
          <w:szCs w:val="21"/>
          <w:highlight w:val="none"/>
          <w:lang w:val="en-US" w:eastAsia="zh-CN"/>
        </w:rPr>
        <w:t>合同</w:t>
      </w:r>
      <w:r>
        <w:rPr>
          <w:rFonts w:hint="eastAsia" w:ascii="宋体" w:hAnsi="宋体"/>
          <w:b/>
          <w:bCs/>
          <w:szCs w:val="21"/>
          <w:highlight w:val="none"/>
        </w:rPr>
        <w:t>价</w:t>
      </w:r>
      <w:r>
        <w:rPr>
          <w:rFonts w:hint="eastAsia" w:ascii="宋体" w:hAnsi="宋体"/>
          <w:b/>
          <w:bCs/>
          <w:szCs w:val="21"/>
          <w:highlight w:val="none"/>
          <w:lang w:eastAsia="zh-CN"/>
        </w:rPr>
        <w:t>的</w:t>
      </w:r>
      <w:r>
        <w:rPr>
          <w:rFonts w:hint="eastAsia" w:ascii="宋体" w:hAnsi="宋体"/>
          <w:b/>
          <w:bCs/>
          <w:szCs w:val="21"/>
          <w:highlight w:val="none"/>
        </w:rPr>
        <w:t>80%，</w:t>
      </w:r>
      <w:r>
        <w:rPr>
          <w:rFonts w:hint="eastAsia" w:ascii="宋体" w:hAnsi="宋体"/>
          <w:b/>
          <w:bCs/>
          <w:szCs w:val="21"/>
          <w:highlight w:val="none"/>
          <w:lang w:val="en-US" w:eastAsia="zh-CN"/>
        </w:rPr>
        <w:t>质保</w:t>
      </w:r>
      <w:r>
        <w:rPr>
          <w:rFonts w:hint="eastAsia" w:ascii="宋体" w:hAnsi="宋体"/>
          <w:b/>
          <w:bCs/>
          <w:szCs w:val="21"/>
          <w:highlight w:val="none"/>
        </w:rPr>
        <w:t>期满一年付至合同总价款90%，同时退还履约保证金；</w:t>
      </w:r>
      <w:r>
        <w:rPr>
          <w:rFonts w:hint="eastAsia" w:ascii="宋体" w:hAnsi="宋体"/>
          <w:b/>
          <w:bCs/>
          <w:szCs w:val="21"/>
          <w:highlight w:val="none"/>
          <w:lang w:val="en-US" w:eastAsia="zh-CN"/>
        </w:rPr>
        <w:t>质保</w:t>
      </w:r>
      <w:r>
        <w:rPr>
          <w:rFonts w:hint="eastAsia" w:ascii="宋体" w:hAnsi="宋体"/>
          <w:b/>
          <w:bCs/>
          <w:szCs w:val="21"/>
          <w:highlight w:val="none"/>
        </w:rPr>
        <w:t>期满两年无质量问题支付至合同总价款的95%；</w:t>
      </w:r>
      <w:r>
        <w:rPr>
          <w:rFonts w:hint="eastAsia" w:ascii="宋体" w:hAnsi="宋体"/>
          <w:b/>
          <w:bCs/>
          <w:szCs w:val="21"/>
          <w:highlight w:val="none"/>
          <w:lang w:val="en-US" w:eastAsia="zh-CN"/>
        </w:rPr>
        <w:t>质保</w:t>
      </w:r>
      <w:r>
        <w:rPr>
          <w:rFonts w:hint="eastAsia" w:ascii="宋体" w:hAnsi="宋体"/>
          <w:b/>
          <w:bCs/>
          <w:szCs w:val="21"/>
          <w:highlight w:val="none"/>
        </w:rPr>
        <w:t>期满三年无质量问题付清余款。（以上均不计息）</w:t>
      </w:r>
    </w:p>
    <w:p w14:paraId="153467C8">
      <w:pPr>
        <w:tabs>
          <w:tab w:val="left" w:pos="426"/>
        </w:tabs>
        <w:spacing w:line="360" w:lineRule="auto"/>
        <w:ind w:firstLine="422"/>
        <w:contextualSpacing/>
        <w:outlineLvl w:val="1"/>
        <w:rPr>
          <w:rFonts w:ascii="宋体" w:hAnsi="宋体" w:cs="宋体"/>
          <w:color w:val="auto"/>
          <w:szCs w:val="21"/>
          <w:highlight w:val="none"/>
        </w:rPr>
      </w:pPr>
      <w:r>
        <w:rPr>
          <w:rFonts w:hint="eastAsia" w:ascii="宋体" w:hAnsi="宋体" w:cs="宋体"/>
          <w:b/>
          <w:color w:val="auto"/>
          <w:szCs w:val="21"/>
          <w:highlight w:val="none"/>
        </w:rPr>
        <w:t>六、组成本合同的文件包括：</w:t>
      </w:r>
      <w:r>
        <w:rPr>
          <w:rFonts w:hint="eastAsia" w:ascii="宋体" w:hAnsi="宋体" w:cs="宋体"/>
          <w:color w:val="auto"/>
          <w:szCs w:val="21"/>
          <w:highlight w:val="none"/>
        </w:rPr>
        <w:t>是合同不可分割的组成部分，与合同具有同样的法律效力。</w:t>
      </w:r>
    </w:p>
    <w:p w14:paraId="194A3135">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6.1合同协议书；</w:t>
      </w:r>
    </w:p>
    <w:p w14:paraId="29F8425B">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6.2合同专用条款；</w:t>
      </w:r>
    </w:p>
    <w:p w14:paraId="5FA0D5F2">
      <w:pPr>
        <w:tabs>
          <w:tab w:val="left" w:pos="426"/>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6.3合同通用条款；</w:t>
      </w:r>
    </w:p>
    <w:p w14:paraId="6CFC13D4">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6.4采购文件及补遗书及澄清答疑文件；</w:t>
      </w:r>
    </w:p>
    <w:p w14:paraId="59BE056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6.5响应文件；</w:t>
      </w:r>
    </w:p>
    <w:p w14:paraId="67F2175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6.6投标人投标时所作的申明、承诺、澄清及答复资料等；</w:t>
      </w:r>
    </w:p>
    <w:p w14:paraId="7CECE88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6.7国家及行业规范标准、有关技术文件；</w:t>
      </w:r>
    </w:p>
    <w:p w14:paraId="7E87EB45">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6.8施工图纸；</w:t>
      </w:r>
    </w:p>
    <w:p w14:paraId="05B7D3DF">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6.9工程报价单及预算书；</w:t>
      </w:r>
    </w:p>
    <w:p w14:paraId="25CD65C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6.10经双方确认的工程量清单；</w:t>
      </w:r>
    </w:p>
    <w:p w14:paraId="449FD83A">
      <w:pPr>
        <w:tabs>
          <w:tab w:val="left" w:pos="3420"/>
        </w:tabs>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6.11投标报价；</w:t>
      </w:r>
    </w:p>
    <w:p w14:paraId="024EA7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合同履行中，双方有关工程的洽商、变更等书面协议或文件视为本合同的组成部分。</w:t>
      </w:r>
    </w:p>
    <w:p w14:paraId="1038B1AB">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七、本合同书中有关词语含义与本合同《通用条款》中分别赋予它们的定义相同。</w:t>
      </w:r>
    </w:p>
    <w:p w14:paraId="2EEB2D7A">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八、承包人向发包人承诺按照合同约定进行施工，并在质量保修期内承担工程质量的保修责任。</w:t>
      </w:r>
    </w:p>
    <w:p w14:paraId="02CF074D">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九、发包人向承包人承诺按照合同约定的期限和方式支付合同价款及其他应当支付的款项。</w:t>
      </w:r>
    </w:p>
    <w:p w14:paraId="75B270F8">
      <w:pPr>
        <w:spacing w:line="360" w:lineRule="auto"/>
        <w:ind w:firstLine="422"/>
        <w:contextualSpacing/>
        <w:outlineLvl w:val="1"/>
        <w:rPr>
          <w:rFonts w:ascii="宋体" w:hAnsi="宋体" w:cs="宋体"/>
          <w:b/>
          <w:color w:val="auto"/>
          <w:szCs w:val="21"/>
          <w:highlight w:val="none"/>
        </w:rPr>
      </w:pPr>
      <w:r>
        <w:rPr>
          <w:rFonts w:hint="eastAsia" w:ascii="宋体" w:hAnsi="宋体" w:cs="宋体"/>
          <w:b/>
          <w:color w:val="auto"/>
          <w:szCs w:val="21"/>
          <w:highlight w:val="none"/>
        </w:rPr>
        <w:t>十、合同生效</w:t>
      </w:r>
    </w:p>
    <w:p w14:paraId="59769B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10.1合同订立时间：2026年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w:t>
      </w:r>
    </w:p>
    <w:p w14:paraId="7B3BD4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10.2合同订立地点：扬州大学附属医院。</w:t>
      </w:r>
    </w:p>
    <w:p w14:paraId="14D8155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10.3本合同双方约定双方签字盖章后生效。</w:t>
      </w:r>
    </w:p>
    <w:p w14:paraId="7AD2B7ED">
      <w:pPr>
        <w:tabs>
          <w:tab w:val="left" w:pos="567"/>
        </w:tabs>
        <w:spacing w:line="360" w:lineRule="auto"/>
        <w:ind w:firstLine="420"/>
        <w:contextualSpacing/>
        <w:rPr>
          <w:rFonts w:ascii="宋体" w:hAnsi="宋体" w:cs="宋体"/>
          <w:bCs/>
          <w:color w:val="auto"/>
          <w:szCs w:val="21"/>
          <w:highlight w:val="none"/>
        </w:rPr>
      </w:pPr>
      <w:r>
        <w:rPr>
          <w:rFonts w:hint="eastAsia" w:ascii="宋体" w:hAnsi="宋体" w:cs="宋体"/>
          <w:bCs/>
          <w:color w:val="auto"/>
          <w:szCs w:val="21"/>
          <w:highlight w:val="none"/>
        </w:rPr>
        <w:t>10.4</w:t>
      </w:r>
      <w:r>
        <w:rPr>
          <w:rFonts w:hint="eastAsia" w:ascii="宋体" w:hAnsi="宋体" w:cs="宋体"/>
          <w:color w:val="auto"/>
          <w:szCs w:val="21"/>
          <w:highlight w:val="none"/>
        </w:rPr>
        <w:t>本合同一式</w:t>
      </w:r>
      <w:r>
        <w:rPr>
          <w:rFonts w:hint="eastAsia" w:ascii="宋体" w:hAnsi="宋体" w:cs="宋体"/>
          <w:b/>
          <w:bCs/>
          <w:color w:val="auto"/>
          <w:szCs w:val="21"/>
          <w:highlight w:val="none"/>
          <w:u w:val="single"/>
        </w:rPr>
        <w:t>伍</w:t>
      </w:r>
      <w:r>
        <w:rPr>
          <w:rFonts w:hint="eastAsia" w:ascii="宋体" w:hAnsi="宋体" w:cs="宋体"/>
          <w:color w:val="auto"/>
          <w:szCs w:val="21"/>
          <w:highlight w:val="none"/>
        </w:rPr>
        <w:t>份，发包人方执</w:t>
      </w:r>
      <w:r>
        <w:rPr>
          <w:rFonts w:hint="eastAsia" w:ascii="宋体" w:hAnsi="宋体" w:cs="宋体"/>
          <w:b/>
          <w:bCs/>
          <w:color w:val="auto"/>
          <w:szCs w:val="21"/>
          <w:highlight w:val="none"/>
          <w:u w:val="single"/>
        </w:rPr>
        <w:t>叁</w:t>
      </w:r>
      <w:r>
        <w:rPr>
          <w:rFonts w:hint="eastAsia" w:ascii="宋体" w:hAnsi="宋体" w:cs="宋体"/>
          <w:color w:val="auto"/>
          <w:szCs w:val="21"/>
          <w:highlight w:val="none"/>
        </w:rPr>
        <w:t>份，承包人方执</w:t>
      </w:r>
      <w:r>
        <w:rPr>
          <w:rFonts w:hint="eastAsia" w:ascii="宋体" w:hAnsi="宋体" w:cs="宋体"/>
          <w:b/>
          <w:bCs/>
          <w:color w:val="auto"/>
          <w:szCs w:val="21"/>
          <w:highlight w:val="none"/>
          <w:u w:val="single"/>
        </w:rPr>
        <w:t>贰</w:t>
      </w:r>
      <w:r>
        <w:rPr>
          <w:rFonts w:hint="eastAsia" w:ascii="宋体" w:hAnsi="宋体" w:cs="宋体"/>
          <w:color w:val="auto"/>
          <w:szCs w:val="21"/>
          <w:highlight w:val="none"/>
        </w:rPr>
        <w:t>份。</w:t>
      </w:r>
    </w:p>
    <w:p w14:paraId="217DEA3F">
      <w:pPr>
        <w:tabs>
          <w:tab w:val="left" w:pos="567"/>
        </w:tabs>
        <w:spacing w:line="360" w:lineRule="auto"/>
        <w:ind w:firstLine="420"/>
        <w:contextualSpacing/>
        <w:rPr>
          <w:rFonts w:ascii="宋体" w:hAnsi="宋体" w:cs="宋体"/>
          <w:bCs/>
          <w:color w:val="auto"/>
          <w:szCs w:val="21"/>
          <w:highlight w:val="none"/>
        </w:rPr>
      </w:pPr>
    </w:p>
    <w:p w14:paraId="6555E931">
      <w:pPr>
        <w:tabs>
          <w:tab w:val="left" w:pos="567"/>
        </w:tabs>
        <w:spacing w:line="360" w:lineRule="auto"/>
        <w:ind w:firstLine="420"/>
        <w:contextualSpacing/>
        <w:rPr>
          <w:rFonts w:ascii="宋体" w:hAnsi="宋体" w:cs="宋体"/>
          <w:b/>
          <w:color w:val="auto"/>
          <w:szCs w:val="21"/>
          <w:highlight w:val="none"/>
        </w:rPr>
      </w:pPr>
      <w:r>
        <w:rPr>
          <w:rFonts w:hint="eastAsia" w:ascii="宋体" w:hAnsi="宋体" w:cs="宋体"/>
          <w:bCs/>
          <w:color w:val="auto"/>
          <w:szCs w:val="21"/>
          <w:highlight w:val="none"/>
        </w:rPr>
        <w:t>发包人：</w:t>
      </w:r>
      <w:r>
        <w:rPr>
          <w:rFonts w:hint="eastAsia" w:ascii="宋体" w:hAnsi="宋体" w:cs="宋体"/>
          <w:b/>
          <w:bCs/>
          <w:color w:val="auto"/>
          <w:szCs w:val="21"/>
          <w:highlight w:val="none"/>
        </w:rPr>
        <w:t xml:space="preserve">扬州大学附属医院                </w:t>
      </w:r>
      <w:r>
        <w:rPr>
          <w:rFonts w:hint="eastAsia" w:ascii="宋体" w:hAnsi="宋体" w:cs="宋体"/>
          <w:bCs/>
          <w:color w:val="auto"/>
          <w:szCs w:val="21"/>
          <w:highlight w:val="none"/>
        </w:rPr>
        <w:t>承包人：</w:t>
      </w:r>
    </w:p>
    <w:p w14:paraId="64B5C0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 xml:space="preserve">            （盖章）                                （盖章）</w:t>
      </w:r>
    </w:p>
    <w:p w14:paraId="0088540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法定代表人：                            法定代表人：</w:t>
      </w:r>
    </w:p>
    <w:p w14:paraId="0DC2BC31">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（或授权签约人）：                      （或授权签约人）：</w:t>
      </w:r>
    </w:p>
    <w:p w14:paraId="524E8AC8">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电话：                                  电话：</w:t>
      </w:r>
    </w:p>
    <w:p w14:paraId="3CFB07FF">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传真：                                  传真：</w:t>
      </w:r>
    </w:p>
    <w:p w14:paraId="01B9B9B9">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地址：                                  地址：</w:t>
      </w:r>
    </w:p>
    <w:p w14:paraId="7D39BFF2">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开户银行：                              开户银行：</w:t>
      </w:r>
    </w:p>
    <w:p w14:paraId="71F53F0E">
      <w:pPr>
        <w:tabs>
          <w:tab w:val="left" w:pos="-235"/>
        </w:tabs>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账号：                                  账号：</w:t>
      </w:r>
    </w:p>
    <w:p w14:paraId="07048C32">
      <w:pPr>
        <w:tabs>
          <w:tab w:val="left" w:pos="0"/>
          <w:tab w:val="left" w:pos="1134"/>
        </w:tabs>
        <w:spacing w:line="360" w:lineRule="auto"/>
        <w:ind w:firstLine="422"/>
        <w:jc w:val="center"/>
        <w:outlineLvl w:val="0"/>
        <w:rPr>
          <w:rFonts w:ascii="宋体" w:hAnsi="宋体" w:cs="宋体"/>
          <w:b/>
          <w:bCs/>
          <w:color w:val="auto"/>
          <w:sz w:val="32"/>
          <w:szCs w:val="32"/>
          <w:highlight w:val="none"/>
        </w:rPr>
      </w:pPr>
      <w:r>
        <w:rPr>
          <w:rFonts w:hint="eastAsia" w:ascii="宋体" w:hAnsi="宋体" w:cs="宋体"/>
          <w:b/>
          <w:color w:val="auto"/>
          <w:szCs w:val="21"/>
          <w:highlight w:val="none"/>
        </w:rPr>
        <w:br w:type="page" w:clear="all"/>
      </w:r>
      <w:r>
        <w:rPr>
          <w:rFonts w:hint="eastAsia" w:ascii="宋体" w:hAnsi="宋体" w:cs="宋体"/>
          <w:b/>
          <w:bCs/>
          <w:color w:val="auto"/>
          <w:sz w:val="32"/>
          <w:szCs w:val="32"/>
          <w:highlight w:val="none"/>
        </w:rPr>
        <w:t>第二部分  通用条款</w:t>
      </w:r>
    </w:p>
    <w:p w14:paraId="5DC097BA">
      <w:pPr>
        <w:pStyle w:val="79"/>
        <w:spacing w:before="0" w:after="0" w:line="360" w:lineRule="auto"/>
        <w:ind w:left="0" w:right="0" w:firstLine="643"/>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【按照建设工程施工合同（GF-2017-0201）】</w:t>
      </w:r>
    </w:p>
    <w:p w14:paraId="4F98C7F9">
      <w:pPr>
        <w:pStyle w:val="79"/>
        <w:spacing w:before="0" w:after="0" w:line="360" w:lineRule="auto"/>
        <w:ind w:left="0" w:right="0" w:firstLine="723"/>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br w:type="page" w:clear="all"/>
      </w:r>
      <w:r>
        <w:rPr>
          <w:rFonts w:hint="eastAsia" w:ascii="宋体" w:hAnsi="宋体" w:cs="宋体"/>
          <w:b/>
          <w:bCs/>
          <w:color w:val="auto"/>
          <w:sz w:val="32"/>
          <w:szCs w:val="32"/>
          <w:highlight w:val="none"/>
        </w:rPr>
        <w:t>第三部分专用条款</w:t>
      </w:r>
    </w:p>
    <w:p w14:paraId="5F29B4BA">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一、词语定义及合同文件</w:t>
      </w:r>
    </w:p>
    <w:p w14:paraId="19B3B44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1.合同文件及解释顺序</w:t>
      </w:r>
    </w:p>
    <w:p w14:paraId="166F4BF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合同履行中，发包人承包人有关工程的洽商、变更等书面协议或文件视为本合同的组成部分。合同文件组成及解释顺序：(1).本合同协议书；(2).中标通知书；(3).投标书及其附件；(4).本合同专用条款；(5).本合同通用条款；(6).标准规范及有关技术文件；(7).图纸；(8).招标文件及答疑文书、工程量清单；(9).工程报价单及预算书；（10）.合同履行中，发包人承包人有关工程的洽商、变更等书面协议或文件视为本合同的组成部分；</w:t>
      </w:r>
    </w:p>
    <w:p w14:paraId="3FA437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2.语言文字和适用法律、标准及规范</w:t>
      </w:r>
    </w:p>
    <w:p w14:paraId="40E594D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2.1本合同除使用汉语外，还使用</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语言文字。</w:t>
      </w:r>
    </w:p>
    <w:p w14:paraId="508D2C0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2.2适用法律和法规</w:t>
      </w:r>
    </w:p>
    <w:p w14:paraId="368A0FBE">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需要明示的法律、行政法规：</w:t>
      </w:r>
      <w:r>
        <w:rPr>
          <w:rFonts w:hint="eastAsia" w:ascii="宋体" w:hAnsi="宋体" w:cs="宋体"/>
          <w:color w:val="auto"/>
          <w:sz w:val="21"/>
          <w:szCs w:val="21"/>
          <w:highlight w:val="none"/>
          <w:u w:val="single"/>
        </w:rPr>
        <w:t>《中华人民共和国民法典》、《中华人民共和国建筑法》、《中华人民共和国政府采购法》、《中华人民共和国招标投标法》、《建设工程质量管理条例》、《建设工程价款结算暂行办法》等以及江苏省、扬州市现行相关法律法规</w:t>
      </w:r>
      <w:r>
        <w:rPr>
          <w:rFonts w:hint="eastAsia" w:ascii="宋体" w:hAnsi="宋体" w:cs="宋体"/>
          <w:color w:val="auto"/>
          <w:sz w:val="21"/>
          <w:szCs w:val="21"/>
          <w:highlight w:val="none"/>
        </w:rPr>
        <w:t>。</w:t>
      </w:r>
    </w:p>
    <w:p w14:paraId="2A8119A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2.3适用标准、规范</w:t>
      </w:r>
    </w:p>
    <w:p w14:paraId="3A35B4C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适用标准、规范的名称：</w:t>
      </w:r>
      <w:r>
        <w:rPr>
          <w:rFonts w:hint="eastAsia" w:ascii="宋体" w:hAnsi="宋体" w:cs="宋体"/>
          <w:color w:val="auto"/>
          <w:sz w:val="21"/>
          <w:szCs w:val="21"/>
          <w:highlight w:val="none"/>
          <w:u w:val="single"/>
        </w:rPr>
        <w:t>（1）与工程相关的现行图集、施工说明；（2）现行国家施工规范及验收标准</w:t>
      </w:r>
      <w:r>
        <w:rPr>
          <w:rFonts w:hint="eastAsia" w:ascii="宋体" w:hAnsi="宋体" w:cs="宋体"/>
          <w:color w:val="auto"/>
          <w:sz w:val="21"/>
          <w:szCs w:val="21"/>
          <w:highlight w:val="none"/>
        </w:rPr>
        <w:t>。</w:t>
      </w:r>
    </w:p>
    <w:p w14:paraId="39621BF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发包人提供标准、规范的时间：</w:t>
      </w:r>
      <w:r>
        <w:rPr>
          <w:rFonts w:hint="eastAsia" w:ascii="宋体" w:hAnsi="宋体" w:cs="宋体"/>
          <w:color w:val="auto"/>
          <w:sz w:val="21"/>
          <w:szCs w:val="21"/>
          <w:highlight w:val="none"/>
          <w:u w:val="single"/>
        </w:rPr>
        <w:t>发包人不提供，凡涉及到的相关技术标准、规范均由承包人自备</w:t>
      </w:r>
      <w:r>
        <w:rPr>
          <w:rFonts w:hint="eastAsia" w:ascii="宋体" w:hAnsi="宋体" w:cs="宋体"/>
          <w:color w:val="auto"/>
          <w:sz w:val="21"/>
          <w:szCs w:val="21"/>
          <w:highlight w:val="none"/>
        </w:rPr>
        <w:t>。</w:t>
      </w:r>
    </w:p>
    <w:p w14:paraId="55B11244">
      <w:pPr>
        <w:pStyle w:val="117"/>
        <w:tabs>
          <w:tab w:val="left" w:pos="284"/>
          <w:tab w:val="left" w:pos="993"/>
          <w:tab w:val="left" w:pos="1134"/>
        </w:tabs>
        <w:spacing w:line="360" w:lineRule="auto"/>
        <w:ind w:firstLine="420"/>
        <w:jc w:val="left"/>
        <w:rPr>
          <w:rFonts w:ascii="宋体" w:hAnsi="宋体" w:cs="宋体"/>
          <w:b/>
          <w:color w:val="auto"/>
          <w:sz w:val="21"/>
          <w:szCs w:val="21"/>
          <w:highlight w:val="none"/>
        </w:rPr>
      </w:pPr>
      <w:r>
        <w:rPr>
          <w:rFonts w:hint="eastAsia" w:ascii="宋体" w:hAnsi="宋体" w:cs="宋体"/>
          <w:color w:val="auto"/>
          <w:sz w:val="21"/>
          <w:szCs w:val="21"/>
          <w:highlight w:val="none"/>
        </w:rPr>
        <w:t>3.图纸</w:t>
      </w:r>
    </w:p>
    <w:p w14:paraId="459FE214">
      <w:pPr>
        <w:pStyle w:val="117"/>
        <w:tabs>
          <w:tab w:val="left" w:pos="284"/>
          <w:tab w:val="left" w:pos="993"/>
          <w:tab w:val="left" w:pos="1134"/>
        </w:tabs>
        <w:spacing w:line="360" w:lineRule="auto"/>
        <w:ind w:firstLine="422"/>
        <w:jc w:val="left"/>
        <w:rPr>
          <w:rFonts w:ascii="宋体" w:hAnsi="宋体" w:cs="宋体"/>
          <w:color w:val="auto"/>
          <w:sz w:val="21"/>
          <w:szCs w:val="21"/>
          <w:highlight w:val="none"/>
        </w:rPr>
      </w:pPr>
      <w:r>
        <w:rPr>
          <w:rFonts w:hint="eastAsia" w:ascii="宋体" w:hAnsi="宋体" w:cs="宋体"/>
          <w:b/>
          <w:color w:val="auto"/>
          <w:sz w:val="21"/>
          <w:szCs w:val="21"/>
          <w:highlight w:val="none"/>
        </w:rPr>
        <w:t>发包人向承包人</w:t>
      </w:r>
      <w:r>
        <w:rPr>
          <w:rFonts w:hint="eastAsia" w:ascii="宋体" w:hAnsi="宋体" w:cs="宋体"/>
          <w:color w:val="auto"/>
          <w:sz w:val="21"/>
          <w:szCs w:val="21"/>
          <w:highlight w:val="none"/>
        </w:rPr>
        <w:t>提供图纸日期和套数：</w:t>
      </w:r>
      <w:r>
        <w:rPr>
          <w:rFonts w:hint="eastAsia" w:ascii="宋体" w:hAnsi="宋体" w:cs="宋体"/>
          <w:color w:val="auto"/>
          <w:sz w:val="21"/>
          <w:szCs w:val="21"/>
          <w:highlight w:val="none"/>
          <w:u w:val="single"/>
        </w:rPr>
        <w:t>签订合同后叁天内提供施工图纸贰套</w:t>
      </w:r>
      <w:r>
        <w:rPr>
          <w:rFonts w:hint="eastAsia" w:ascii="宋体" w:hAnsi="宋体" w:cs="宋体"/>
          <w:color w:val="auto"/>
          <w:sz w:val="21"/>
          <w:szCs w:val="21"/>
          <w:highlight w:val="none"/>
        </w:rPr>
        <w:t>；</w:t>
      </w:r>
    </w:p>
    <w:p w14:paraId="0FF6FA1C">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发包人对图纸的保密要求: 施工图纸要求承包人保密，保密费用承包人自行承担。</w:t>
      </w:r>
    </w:p>
    <w:p w14:paraId="61A863C6">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二、双方一般权利和义务</w:t>
      </w:r>
    </w:p>
    <w:p w14:paraId="374299D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4.工程师</w:t>
      </w:r>
    </w:p>
    <w:p w14:paraId="296E44B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4.1监理单位委派的工程师</w:t>
      </w:r>
    </w:p>
    <w:p w14:paraId="6BA4368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职务:总监理工程师</w:t>
      </w:r>
    </w:p>
    <w:p w14:paraId="5D0865B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发包人委托的职权:工程变更、经济签证、工程延误、暂定价材料验收批准等。对该工程质量、进度、投资、安全进行控制以及合同管理、信息管理和监理合同中明确的相关工作。需要取得发包人批准才能行使的职权：工程变更、经济签证、工期延误等。</w:t>
      </w:r>
    </w:p>
    <w:p w14:paraId="73F2254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4.2发包人派驻的工程师</w:t>
      </w:r>
    </w:p>
    <w:p w14:paraId="7807B94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姓名:                   职务:现场代表         </w:t>
      </w:r>
    </w:p>
    <w:p w14:paraId="2FC153B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职权:（1）监督检查承包人、监理执行合同情况，（2）协同监理做好工程质量控制、进度控制、安全生产等工作；（3）发出经发包人同意的工程指令；（4）对支付工程款进行审核等。</w:t>
      </w:r>
    </w:p>
    <w:p w14:paraId="1EACE73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5.项目经理</w:t>
      </w:r>
    </w:p>
    <w:p w14:paraId="57C8A7F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姓名:                   职务:项目经理</w:t>
      </w:r>
    </w:p>
    <w:p w14:paraId="2C33E18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职权：按照国家相关规定和合同约定，作为承包方施工现场负责人，全面负责本工地施工现场进度、质量、安全工作，负责本合同的全面履行。</w:t>
      </w:r>
    </w:p>
    <w:p w14:paraId="4F7B269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6.发包人工作</w:t>
      </w:r>
    </w:p>
    <w:p w14:paraId="66211F5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6.1发包人应按约定的时间和要求及完成以下工作:</w:t>
      </w:r>
    </w:p>
    <w:p w14:paraId="67CC36D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施工场地具备施工条件的要求及完成时间:施工期间医院正常运行；现场具备施工条件，承包人在踏勘现场时确认，场地不利因素，施工降效等因素承包人已在投标报价时充分考虑，发包人不再因此支付任何费用。</w:t>
      </w:r>
    </w:p>
    <w:p w14:paraId="217AE80A">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（2）将施工所需的水、电、电讯线路接至施工场地的时间、地点和供应要求：水电接口已提供至施工现场，其位置承包人在踏勘现场时确认，水电在场内接线一切费用包含在总报价中，发包人不再另外支付。</w:t>
      </w:r>
    </w:p>
    <w:p w14:paraId="18DC7E6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（3）施工场地与公共道路的通道开通时间和要求：主要公共道路开通，施工区道路由承包人承担。</w:t>
      </w:r>
    </w:p>
    <w:p w14:paraId="4D70874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（4）工程地质和地下管线资料的提供时间：</w:t>
      </w:r>
      <w:r>
        <w:rPr>
          <w:rFonts w:hint="eastAsia" w:ascii="宋体" w:hAnsi="宋体" w:cs="宋体"/>
          <w:color w:val="auto"/>
          <w:sz w:val="21"/>
          <w:szCs w:val="21"/>
          <w:highlight w:val="none"/>
          <w:u w:val="single"/>
        </w:rPr>
        <w:t>开工前5天提供</w:t>
      </w:r>
      <w:r>
        <w:rPr>
          <w:rFonts w:hint="eastAsia" w:ascii="宋体" w:hAnsi="宋体" w:cs="宋体"/>
          <w:color w:val="auto"/>
          <w:sz w:val="21"/>
          <w:szCs w:val="21"/>
          <w:highlight w:val="none"/>
        </w:rPr>
        <w:t>。</w:t>
      </w:r>
    </w:p>
    <w:p w14:paraId="02E8811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（5）由发包人办理的施工所需证件、批件的名称和完成时间：</w:t>
      </w:r>
      <w:r>
        <w:rPr>
          <w:rFonts w:hint="eastAsia" w:ascii="宋体" w:hAnsi="宋体" w:cs="宋体"/>
          <w:color w:val="auto"/>
          <w:sz w:val="21"/>
          <w:szCs w:val="21"/>
          <w:highlight w:val="none"/>
          <w:u w:val="single"/>
        </w:rPr>
        <w:t>开工前由承包人协助发包人办理，不能影响开工</w:t>
      </w:r>
      <w:r>
        <w:rPr>
          <w:rFonts w:hint="eastAsia" w:ascii="宋体" w:hAnsi="宋体" w:cs="宋体"/>
          <w:color w:val="auto"/>
          <w:sz w:val="21"/>
          <w:szCs w:val="21"/>
          <w:highlight w:val="none"/>
        </w:rPr>
        <w:t>。</w:t>
      </w:r>
    </w:p>
    <w:p w14:paraId="36B8BD8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（6）水准点与坐标控制点交验要求：</w:t>
      </w:r>
      <w:r>
        <w:rPr>
          <w:rFonts w:hint="eastAsia" w:ascii="宋体" w:hAnsi="宋体" w:cs="宋体"/>
          <w:color w:val="auto"/>
          <w:sz w:val="21"/>
          <w:szCs w:val="21"/>
          <w:highlight w:val="none"/>
          <w:u w:val="single"/>
        </w:rPr>
        <w:t>开工前现场交验，承包人负责做好保护工作。施工过程中若水准基点出现遗失或损坏，承包人应立即汇报工程师，重新布点的费用由承包人承担</w:t>
      </w:r>
      <w:r>
        <w:rPr>
          <w:rFonts w:hint="eastAsia" w:ascii="宋体" w:hAnsi="宋体" w:cs="宋体"/>
          <w:color w:val="auto"/>
          <w:sz w:val="21"/>
          <w:szCs w:val="21"/>
          <w:highlight w:val="none"/>
        </w:rPr>
        <w:t>。</w:t>
      </w:r>
    </w:p>
    <w:p w14:paraId="17400B2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（7）图纸会审和设计交底时间：</w:t>
      </w:r>
      <w:r>
        <w:rPr>
          <w:rFonts w:hint="eastAsia" w:ascii="宋体" w:hAnsi="宋体" w:cs="宋体"/>
          <w:color w:val="auto"/>
          <w:sz w:val="21"/>
          <w:szCs w:val="21"/>
          <w:highlight w:val="none"/>
          <w:u w:val="single"/>
        </w:rPr>
        <w:t>双方约定时间</w:t>
      </w:r>
      <w:r>
        <w:rPr>
          <w:rFonts w:hint="eastAsia" w:ascii="宋体" w:hAnsi="宋体" w:cs="宋体"/>
          <w:color w:val="auto"/>
          <w:sz w:val="21"/>
          <w:szCs w:val="21"/>
          <w:highlight w:val="none"/>
        </w:rPr>
        <w:t>。</w:t>
      </w:r>
    </w:p>
    <w:p w14:paraId="3B7C983A">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（8）协调处理施工场地周围地下管线和邻近建筑、构筑物（含文物保护建筑）、古树名木的保护工作：</w:t>
      </w:r>
      <w:r>
        <w:rPr>
          <w:rFonts w:hint="eastAsia" w:ascii="宋体" w:hAnsi="宋体" w:cs="宋体"/>
          <w:color w:val="auto"/>
          <w:sz w:val="21"/>
          <w:szCs w:val="21"/>
          <w:highlight w:val="none"/>
          <w:u w:val="single"/>
        </w:rPr>
        <w:t>执行通用条款</w:t>
      </w:r>
      <w:r>
        <w:rPr>
          <w:rFonts w:hint="eastAsia" w:ascii="宋体" w:hAnsi="宋体" w:cs="宋体"/>
          <w:color w:val="auto"/>
          <w:sz w:val="21"/>
          <w:szCs w:val="21"/>
          <w:highlight w:val="none"/>
        </w:rPr>
        <w:t>。</w:t>
      </w:r>
    </w:p>
    <w:p w14:paraId="374E67E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（9）双方约定发包人做的其他工作：</w:t>
      </w:r>
      <w:r>
        <w:rPr>
          <w:rFonts w:hint="eastAsia" w:ascii="宋体" w:hAnsi="宋体" w:cs="宋体"/>
          <w:color w:val="auto"/>
          <w:sz w:val="21"/>
          <w:szCs w:val="21"/>
          <w:highlight w:val="none"/>
          <w:u w:val="single"/>
        </w:rPr>
        <w:t xml:space="preserve">  /</w:t>
      </w:r>
    </w:p>
    <w:p w14:paraId="52E676D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（10）发包人委托承包人办理的工作：按发包人的布置要求，承包人有配合与该工程建设有关工作的义务，包括协助办理有关施工所需证件、批件等手续。</w:t>
      </w:r>
    </w:p>
    <w:p w14:paraId="66E0A74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7.承包人工作</w:t>
      </w:r>
    </w:p>
    <w:p w14:paraId="0F89369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7.1承包人应按约定时间和要求,完成以下工作:</w:t>
      </w:r>
    </w:p>
    <w:p w14:paraId="302E3B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（1）需由设计资质等级和业务范围允许的承包人完成的设计文件提交时间:</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28FB9C5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（2）应提供计划、报表的名称及完成时间：</w:t>
      </w:r>
      <w:r>
        <w:rPr>
          <w:rFonts w:hint="eastAsia" w:ascii="宋体" w:hAnsi="宋体" w:cs="宋体"/>
          <w:color w:val="auto"/>
          <w:sz w:val="21"/>
          <w:szCs w:val="21"/>
          <w:highlight w:val="none"/>
          <w:u w:val="single"/>
        </w:rPr>
        <w:t>开工前5天内提供切实可行的进度表以及相对应的人机配置情况、材料供应情况</w:t>
      </w:r>
      <w:r>
        <w:rPr>
          <w:rFonts w:hint="eastAsia" w:ascii="宋体" w:hAnsi="宋体" w:cs="宋体"/>
          <w:color w:val="auto"/>
          <w:sz w:val="21"/>
          <w:szCs w:val="21"/>
          <w:highlight w:val="none"/>
        </w:rPr>
        <w:t>；</w:t>
      </w:r>
    </w:p>
    <w:p w14:paraId="1CBF54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（3）承担施工安全保卫工作及非夜间施工照明的责任和要求：</w:t>
      </w:r>
    </w:p>
    <w:p w14:paraId="24A8581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承包人承担现场的安全、保卫、照明等责任和费用；在施工前，必须对施工现场进行封闭并按实际现场需要，提供施工安全保卫工作及施工照明等，施工期间，所造成的一切安全责任均由承包人负责</w:t>
      </w:r>
      <w:r>
        <w:rPr>
          <w:rFonts w:hint="eastAsia" w:ascii="宋体" w:hAnsi="宋体" w:cs="宋体"/>
          <w:color w:val="auto"/>
          <w:sz w:val="21"/>
          <w:szCs w:val="21"/>
          <w:highlight w:val="none"/>
        </w:rPr>
        <w:t>；</w:t>
      </w:r>
    </w:p>
    <w:p w14:paraId="6A83B48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（4）向发包人提供的办公和生活房屋及设施和要求：</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w:t>
      </w:r>
    </w:p>
    <w:p w14:paraId="10A16AF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（5）需承包人办理的有关施工场地交通、环卫和施工噪音管理等手续：</w:t>
      </w:r>
    </w:p>
    <w:p w14:paraId="4C4B512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承包人自行办理有关施工场地交通、城管、环卫和施工噪音管理等手续，不得影响施工工期，并严格按照扬州市城市管理的有关规定以及安全文明施工要求进行施工</w:t>
      </w:r>
      <w:r>
        <w:rPr>
          <w:rFonts w:hint="eastAsia" w:ascii="宋体" w:hAnsi="宋体" w:cs="宋体"/>
          <w:color w:val="auto"/>
          <w:sz w:val="21"/>
          <w:szCs w:val="21"/>
          <w:highlight w:val="none"/>
        </w:rPr>
        <w:t>；</w:t>
      </w:r>
    </w:p>
    <w:p w14:paraId="6939BD3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（6）已完成工程成品保护的特殊要求及费用承担：</w:t>
      </w:r>
    </w:p>
    <w:p w14:paraId="6AA7FD4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工程交付使用前承包人自己发生的损坏或因承包人保护实施不当而产生的第三方对成品（半成品）的损坏均由承包人自己负责</w:t>
      </w:r>
      <w:r>
        <w:rPr>
          <w:rFonts w:hint="eastAsia" w:ascii="宋体" w:hAnsi="宋体" w:cs="宋体"/>
          <w:color w:val="auto"/>
          <w:sz w:val="21"/>
          <w:szCs w:val="21"/>
          <w:highlight w:val="none"/>
        </w:rPr>
        <w:t>；</w:t>
      </w:r>
    </w:p>
    <w:p w14:paraId="11B190E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（7）施工场地周围地下管线和邻近建筑物、构筑物（含文物保护建筑）、古树名木的保护要求及费用承担：</w:t>
      </w:r>
      <w:r>
        <w:rPr>
          <w:rFonts w:hint="eastAsia" w:ascii="宋体" w:hAnsi="宋体" w:cs="宋体"/>
          <w:color w:val="auto"/>
          <w:sz w:val="21"/>
          <w:szCs w:val="21"/>
          <w:highlight w:val="none"/>
          <w:u w:val="single"/>
        </w:rPr>
        <w:t>承包人自行负责承担施工场地周围地下管线和邻近建筑物、构筑物（含文物保护建筑）、古树名木的保护要求及费用</w:t>
      </w:r>
      <w:r>
        <w:rPr>
          <w:rFonts w:hint="eastAsia" w:ascii="宋体" w:hAnsi="宋体" w:cs="宋体"/>
          <w:color w:val="auto"/>
          <w:sz w:val="21"/>
          <w:szCs w:val="21"/>
          <w:highlight w:val="none"/>
        </w:rPr>
        <w:t>；</w:t>
      </w:r>
    </w:p>
    <w:p w14:paraId="094EF0A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（8）施工场地清洁卫生的要求：</w:t>
      </w:r>
      <w:r>
        <w:rPr>
          <w:rFonts w:hint="eastAsia" w:ascii="宋体" w:hAnsi="宋体" w:cs="宋体"/>
          <w:color w:val="auto"/>
          <w:sz w:val="21"/>
          <w:szCs w:val="21"/>
          <w:highlight w:val="none"/>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工程竣工验收后5日内，承包人需自行拆除临时设施及附属物，完成所有的人、材、机全部退场，并将其运出施工现场，放置于合适的场所。所发生的费用由承包人自行承担</w:t>
      </w:r>
      <w:r>
        <w:rPr>
          <w:rFonts w:hint="eastAsia" w:ascii="宋体" w:hAnsi="宋体" w:cs="宋体"/>
          <w:color w:val="auto"/>
          <w:sz w:val="21"/>
          <w:szCs w:val="21"/>
          <w:highlight w:val="none"/>
        </w:rPr>
        <w:t>；</w:t>
      </w:r>
    </w:p>
    <w:p w14:paraId="3EC618B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w:t>
      </w:r>
      <w:r>
        <w:rPr>
          <w:rFonts w:hint="eastAsia" w:ascii="宋体" w:hAnsi="宋体" w:cs="宋体"/>
          <w:color w:val="auto"/>
          <w:sz w:val="21"/>
          <w:szCs w:val="21"/>
          <w:highlight w:val="none"/>
          <w:u w:val="single"/>
        </w:rPr>
        <w:t>施工过程中承包人应服从现场统一管理，做到安全、文明、有序施工，一切安全责任自行负责</w:t>
      </w:r>
      <w:r>
        <w:rPr>
          <w:rFonts w:hint="eastAsia" w:ascii="宋体" w:hAnsi="宋体" w:cs="宋体"/>
          <w:color w:val="auto"/>
          <w:sz w:val="21"/>
          <w:szCs w:val="21"/>
          <w:highlight w:val="none"/>
        </w:rPr>
        <w:t>；</w:t>
      </w:r>
    </w:p>
    <w:p w14:paraId="7B27384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（10）施工过程中，</w:t>
      </w:r>
      <w:r>
        <w:rPr>
          <w:rFonts w:hint="eastAsia" w:ascii="宋体" w:hAnsi="宋体" w:cs="宋体"/>
          <w:color w:val="auto"/>
          <w:sz w:val="21"/>
          <w:szCs w:val="21"/>
          <w:highlight w:val="none"/>
          <w:u w:val="single"/>
        </w:rPr>
        <w:t>承包人应主动与上、下工序相关单位进行协调对接，避免产生矛盾，做到有序科学衔接，配合其他相关单位，费用已在投标报价中考虑发包人不再另行支付</w:t>
      </w:r>
      <w:r>
        <w:rPr>
          <w:rFonts w:hint="eastAsia" w:ascii="宋体" w:hAnsi="宋体" w:cs="宋体"/>
          <w:color w:val="auto"/>
          <w:sz w:val="21"/>
          <w:szCs w:val="21"/>
          <w:highlight w:val="none"/>
        </w:rPr>
        <w:t>；</w:t>
      </w:r>
    </w:p>
    <w:p w14:paraId="336C2F4F">
      <w:pPr>
        <w:pStyle w:val="117"/>
        <w:tabs>
          <w:tab w:val="left" w:pos="0"/>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（11）双方约定承包人应做的其他工作：</w:t>
      </w:r>
    </w:p>
    <w:p w14:paraId="6F1E6A6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a安排足够的工程管理人员，各工种合格的技术人员和工人，按劳动管理部门的要求，特种施工人员必须持有上岗证；b开工前向建设方和监理方提供月进度计划和月完成工程量报表；c保证工地的管理井然有序，无打架斗殴等不良现象；d加强卫生管理，无传染病、食物中毒等现象；e其他事项双方约定</w:t>
      </w:r>
      <w:r>
        <w:rPr>
          <w:rFonts w:hint="eastAsia" w:ascii="宋体" w:hAnsi="宋体" w:cs="宋体"/>
          <w:color w:val="auto"/>
          <w:sz w:val="21"/>
          <w:szCs w:val="21"/>
          <w:highlight w:val="none"/>
        </w:rPr>
        <w:t>；</w:t>
      </w:r>
    </w:p>
    <w:p w14:paraId="7D982BDB">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三、施工组织设计和工期</w:t>
      </w:r>
    </w:p>
    <w:p w14:paraId="3AB36C6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8.进度计划</w:t>
      </w:r>
    </w:p>
    <w:p w14:paraId="641A30A3">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8.1承包人提供施工组织设计(施工方案)和进度计划的时间:</w:t>
      </w:r>
    </w:p>
    <w:p w14:paraId="5593406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u w:val="single"/>
        </w:rPr>
        <w:t>开工前5天以书面形式向发包人和监理提交施工组织设计和进度计划，经发包人和监理方审核同意后的施工组织设计作为施工中发包人与监理方进行监督受理的依据</w:t>
      </w:r>
      <w:r>
        <w:rPr>
          <w:rFonts w:hint="eastAsia" w:ascii="宋体" w:hAnsi="宋体" w:cs="宋体"/>
          <w:color w:val="auto"/>
          <w:sz w:val="21"/>
          <w:szCs w:val="21"/>
          <w:highlight w:val="none"/>
        </w:rPr>
        <w:t>；</w:t>
      </w:r>
    </w:p>
    <w:p w14:paraId="53A0900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工程师确认的时间:</w:t>
      </w:r>
      <w:r>
        <w:rPr>
          <w:rFonts w:hint="eastAsia" w:ascii="宋体" w:hAnsi="宋体" w:cs="宋体"/>
          <w:color w:val="auto"/>
          <w:sz w:val="21"/>
          <w:szCs w:val="21"/>
          <w:highlight w:val="none"/>
          <w:u w:val="single"/>
        </w:rPr>
        <w:t>送达后7日历天内</w:t>
      </w:r>
      <w:r>
        <w:rPr>
          <w:rFonts w:hint="eastAsia" w:ascii="宋体" w:hAnsi="宋体" w:cs="宋体"/>
          <w:color w:val="auto"/>
          <w:sz w:val="21"/>
          <w:szCs w:val="21"/>
          <w:highlight w:val="none"/>
        </w:rPr>
        <w:t>。</w:t>
      </w:r>
    </w:p>
    <w:p w14:paraId="49D4DBE9">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9、工期延误</w:t>
      </w:r>
    </w:p>
    <w:p w14:paraId="456D9F24">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9.1合同工期按承包人中标工期执行，如因承包人原因延误工期的，承包人应承担违约责任，详见第21.2条款。</w:t>
      </w:r>
    </w:p>
    <w:p w14:paraId="305C0E5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9.2双方约定工期顺延的其他情况:</w:t>
      </w:r>
    </w:p>
    <w:p w14:paraId="44BCA3A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若出现以下情况造成工期延误的发包人不承担费用，只认可工期顺延，顺延时间双方另行协商。</w:t>
      </w:r>
    </w:p>
    <w:p w14:paraId="3688CFA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（1）不可抗力（战争以及地震、水灾、暴风雪等严重自然灾害）；</w:t>
      </w:r>
    </w:p>
    <w:p w14:paraId="4405C7A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（2）因发包人设计变更在结构形式、设计标准作重大调整，增加的工程量使承包人工程进度无法按原计划实施进行的；</w:t>
      </w:r>
    </w:p>
    <w:p w14:paraId="70A3E2C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（3）非因承包人原因停水、停电连续24小时以上的；</w:t>
      </w:r>
    </w:p>
    <w:p w14:paraId="76112510">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（4）政府行为：政府强制要求停工（非承包人原因引起，如全市性的安全整顿，要求建设工地停工等）。</w:t>
      </w:r>
    </w:p>
    <w:p w14:paraId="4B4FFAB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9.3承包人不得以任何理由停工，包括由于变更引起价格改变，发生分歧等，如有争议应协商解决，如因停工造成工期延误，承包人承担违约责任。</w:t>
      </w:r>
    </w:p>
    <w:p w14:paraId="65FBBE21">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四、质量与验收</w:t>
      </w:r>
    </w:p>
    <w:p w14:paraId="7DD59CFA">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质量要求：符合合格标准。</w:t>
      </w:r>
    </w:p>
    <w:p w14:paraId="59157305">
      <w:pPr>
        <w:pStyle w:val="79"/>
        <w:tabs>
          <w:tab w:val="left" w:pos="426"/>
        </w:tabs>
        <w:spacing w:before="0" w:after="0" w:line="360" w:lineRule="auto"/>
        <w:ind w:left="0" w:right="0" w:firstLine="420"/>
        <w:contextualSpacing/>
        <w:rPr>
          <w:rFonts w:ascii="宋体" w:hAnsi="宋体" w:cs="宋体"/>
          <w:color w:val="auto"/>
          <w:sz w:val="21"/>
          <w:highlight w:val="none"/>
        </w:rPr>
      </w:pPr>
      <w:r>
        <w:rPr>
          <w:rFonts w:hint="eastAsia" w:ascii="宋体" w:hAnsi="宋体" w:cs="宋体"/>
          <w:color w:val="auto"/>
          <w:sz w:val="21"/>
          <w:highlight w:val="none"/>
        </w:rPr>
        <w:t>工程必须一次性验收达到合格。因承包人原因达不到合同约定质量要求，除合同价5%的违约金外，承包人必须保证整改后工程质量达到合格标准，由于承包人原因出现质量问题所造成的一切经济损失由承包人负责。</w:t>
      </w:r>
    </w:p>
    <w:p w14:paraId="2AC2792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10.隐蔽工程和中间验收</w:t>
      </w:r>
    </w:p>
    <w:p w14:paraId="2E2BDF9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10.1双方约定中间验收部位: 按规定及监理认为确有必要进行验收的分部。</w:t>
      </w:r>
    </w:p>
    <w:p w14:paraId="5B0FB7F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10.2验收前承包人首先进行自检，在隐蔽工程验收和中间验收前应提前24小时通知发包人、监理方，并提供相关资料。不论发包人、监理方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14:paraId="2A43010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10.3达不到约定条件的部分，监理方或发包人一经发现，可要求承包人返工，承包人应按监理方或发包人的要求返工，直到符合约定条件，因承包人原因达不到约定条件，由承包人承担返工费用，工期不予顺延。返工后仍不能达到约定条件，承包人承担违约责任。因发包人原因达不到约定条件的，发包人承担经济损失，工期相应顺延。</w:t>
      </w:r>
    </w:p>
    <w:p w14:paraId="61A9C80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10.4监理方或发包人发现工程质量问题，可下达停工令，承包人在3天内提出书面整改措施，经报项目总监和发包人代表审批同意后，实施整改达到合格，由此所产生的工期延误和整改费用，由承包人承担，否则发包人有权停止拨付工程款。</w:t>
      </w:r>
    </w:p>
    <w:p w14:paraId="118DBDA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10.5验收时间：除质检站、设计院等其他部门参加验收，承包人需提前72小时书面报告以便及时联系和安排外，其余均提前24小时即可。</w:t>
      </w:r>
    </w:p>
    <w:p w14:paraId="4E9453D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11工程试车</w:t>
      </w:r>
    </w:p>
    <w:p w14:paraId="6E6129E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11.1试车费用的承担:安排相关的技术人员无条件配合联合试车工作。</w:t>
      </w:r>
    </w:p>
    <w:p w14:paraId="66D2FCEC">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五、安全文明施工要求</w:t>
      </w:r>
    </w:p>
    <w:p w14:paraId="2C57D34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（1）承包人对现场作业和现有施工方法的安全承担全部责任，执行通用条款第20条规定，并赔偿因承包人责任给发包人造成的一切损失；</w:t>
      </w:r>
    </w:p>
    <w:p w14:paraId="211343C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（2）承包人应采取控制措施使施工现场达到市环保和政府其它部门对建筑工地的要求，避免伤害或妨碍公众及周围环境。如因妨碍或伤害造成的行政处罚等其它赔偿均由承包人承担；</w:t>
      </w:r>
    </w:p>
    <w:p w14:paraId="06873FA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（3）承包人负责现场保卫和管理；</w:t>
      </w:r>
    </w:p>
    <w:p w14:paraId="1D04076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w:t>
      </w:r>
    </w:p>
    <w:p w14:paraId="6C6F12D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施工单位进场后必须签署《建设工程安全责任协议书》，并遵守《工程施工现场管理规定》、《建设工程施工安全管理规定》以及《建设工程文明施工管理规定》，不得影响发包人单位正常工作运行，并达到市级安全文明工地要求；</w:t>
      </w:r>
    </w:p>
    <w:p w14:paraId="293D0F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（6）严格遵守施工现场总平面的规划，服从监理与发包人统一指挥，发包人与监理将组织定期检查，对于出现的问题，发包人及监理有权要求总包单位进行整改，否则视承包人为违约；</w:t>
      </w:r>
    </w:p>
    <w:p w14:paraId="1B68B0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（7）若发生安全事故，承包人承担全部责任，与发包人无关。承包人应按规定立即报告建设主管部门并通知发包人和监理。如因此造成发包人承担责任的，发包人有权向承包人索赔；</w:t>
      </w:r>
    </w:p>
    <w:p w14:paraId="2FE96280">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六、合同价款与支付</w:t>
      </w:r>
    </w:p>
    <w:p w14:paraId="16B054E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12.合同价款及调整</w:t>
      </w:r>
    </w:p>
    <w:p w14:paraId="49FA070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12.1本合同价款采用</w:t>
      </w:r>
      <w:r>
        <w:rPr>
          <w:rFonts w:hint="eastAsia" w:ascii="宋体" w:hAnsi="宋体" w:cs="宋体"/>
          <w:color w:val="auto"/>
          <w:sz w:val="21"/>
          <w:szCs w:val="21"/>
          <w:highlight w:val="none"/>
          <w:u w:val="single"/>
        </w:rPr>
        <w:t>单价</w:t>
      </w:r>
      <w:r>
        <w:rPr>
          <w:rFonts w:hint="eastAsia" w:ascii="宋体" w:hAnsi="宋体" w:cs="宋体"/>
          <w:color w:val="auto"/>
          <w:sz w:val="21"/>
          <w:szCs w:val="21"/>
          <w:highlight w:val="none"/>
        </w:rPr>
        <w:t>方式确定。</w:t>
      </w:r>
    </w:p>
    <w:p w14:paraId="7ECDAD7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（1）采用单价合同，合同价款中包括的风险范围：全部风险已包含在投标报价</w:t>
      </w:r>
      <w:r>
        <w:rPr>
          <w:rFonts w:hint="eastAsia" w:ascii="宋体" w:hAnsi="宋体" w:cs="宋体"/>
          <w:color w:val="auto"/>
          <w:sz w:val="21"/>
          <w:szCs w:val="21"/>
          <w:highlight w:val="none"/>
          <w:lang w:val="en-US" w:eastAsia="zh-CN"/>
        </w:rPr>
        <w:t>综合单价</w:t>
      </w:r>
      <w:r>
        <w:rPr>
          <w:rFonts w:hint="eastAsia" w:ascii="宋体" w:hAnsi="宋体" w:cs="宋体"/>
          <w:color w:val="auto"/>
          <w:sz w:val="21"/>
          <w:szCs w:val="21"/>
          <w:highlight w:val="none"/>
        </w:rPr>
        <w:t>中，承包人投标时已充分考虑风险范围，并计算风险系数。</w:t>
      </w:r>
    </w:p>
    <w:p w14:paraId="43809F9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（2）风险范围以外合同价款调整方法：</w:t>
      </w:r>
    </w:p>
    <w:p w14:paraId="70F35B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12.1由设计变更或发包人要求变动的内容引起的工程量清单已有项目的工程量的增加和减少，其相应综合单价不变，工程量据实增减；若该部分项工程量变更超过15%，则综合单价由承包人、发包人另行商定。</w:t>
      </w:r>
    </w:p>
    <w:p w14:paraId="749EC2A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12.2由于设计变更或发包人要求变动的内容引起的新的工程量清单项目，如发生了清单中没有相同的工作内容时，由承包人执行工程量清单、工程预算书编制依据提出相应综合单价，同时按投标报价时的优惠幅度（即</w:t>
      </w:r>
      <w:r>
        <w:rPr>
          <w:rFonts w:hint="eastAsia" w:ascii="宋体" w:hAnsi="宋体" w:cs="宋体"/>
          <w:color w:val="auto"/>
          <w:sz w:val="21"/>
          <w:szCs w:val="21"/>
          <w:highlight w:val="none"/>
          <w:lang w:val="en-US" w:eastAsia="zh-CN"/>
        </w:rPr>
        <w:t>最高限价</w:t>
      </w:r>
      <w:r>
        <w:rPr>
          <w:rFonts w:hint="eastAsia" w:ascii="宋体" w:hAnsi="宋体" w:cs="宋体"/>
          <w:color w:val="auto"/>
          <w:sz w:val="21"/>
          <w:szCs w:val="21"/>
          <w:highlight w:val="none"/>
        </w:rPr>
        <w:t>与</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人报价的差额跟</w:t>
      </w:r>
      <w:r>
        <w:rPr>
          <w:rFonts w:hint="eastAsia" w:ascii="宋体" w:hAnsi="宋体" w:cs="宋体"/>
          <w:color w:val="auto"/>
          <w:sz w:val="21"/>
          <w:szCs w:val="21"/>
          <w:highlight w:val="none"/>
          <w:lang w:val="en-US" w:eastAsia="zh-CN"/>
        </w:rPr>
        <w:t>最高限价</w:t>
      </w:r>
      <w:r>
        <w:rPr>
          <w:rFonts w:hint="eastAsia" w:ascii="宋体" w:hAnsi="宋体" w:cs="宋体"/>
          <w:color w:val="auto"/>
          <w:sz w:val="21"/>
          <w:szCs w:val="21"/>
          <w:highlight w:val="none"/>
        </w:rPr>
        <w:t>的比值）进行让利，经发包人认可后作为结算的依据。</w:t>
      </w:r>
    </w:p>
    <w:p w14:paraId="504595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12.3如清单项目中工作内容，实际施工中并未发生，应在“综合单价分析表”中相应的扣减该部分工作内容所含综合单价后形成的新的综合单价作为结算综合单价。</w:t>
      </w:r>
    </w:p>
    <w:p w14:paraId="2CBBBE6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12.4投标人依据</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文件、工程量清单、施工图纸及设计文件、施工现场情况等资料并自行考虑包括以上各种风险因素在内的所有风险后进行投标报价，一旦</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，投标报价将不会得到调整（工程变更、</w:t>
      </w:r>
      <w:r>
        <w:rPr>
          <w:rFonts w:hint="eastAsia" w:ascii="宋体" w:hAnsi="宋体" w:cs="宋体"/>
          <w:color w:val="auto"/>
          <w:sz w:val="21"/>
          <w:szCs w:val="21"/>
          <w:highlight w:val="none"/>
          <w:lang w:val="en-US" w:eastAsia="zh-CN"/>
        </w:rPr>
        <w:t>采购</w:t>
      </w:r>
      <w:r>
        <w:rPr>
          <w:rFonts w:hint="eastAsia" w:ascii="宋体" w:hAnsi="宋体" w:cs="宋体"/>
          <w:color w:val="auto"/>
          <w:sz w:val="21"/>
          <w:szCs w:val="21"/>
          <w:highlight w:val="none"/>
        </w:rPr>
        <w:t>人要求变动的内容、合同约定内容除外）。</w:t>
      </w:r>
    </w:p>
    <w:p w14:paraId="0A825B6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13.工程预付款、发包人向承包人预付工程款的时间和金额或占合同价款总额的比例: </w:t>
      </w:r>
      <w:r>
        <w:rPr>
          <w:rFonts w:hint="eastAsia" w:ascii="宋体" w:hAnsi="宋体" w:cs="宋体"/>
          <w:color w:val="auto"/>
          <w:sz w:val="21"/>
          <w:szCs w:val="21"/>
          <w:highlight w:val="none"/>
          <w:u w:val="single"/>
        </w:rPr>
        <w:t xml:space="preserve"> / </w:t>
      </w:r>
    </w:p>
    <w:p w14:paraId="0C151CB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14.工程量确认</w:t>
      </w:r>
    </w:p>
    <w:p w14:paraId="1E9808B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14.1承包人向工程师提交已完成工程量报告的时间:承包人应在每周监理例会前向现场工程师及发包人提供本月完成工程量情况。</w:t>
      </w:r>
    </w:p>
    <w:p w14:paraId="36EFE111">
      <w:pPr>
        <w:pStyle w:val="117"/>
        <w:tabs>
          <w:tab w:val="left" w:pos="284"/>
          <w:tab w:val="left" w:pos="993"/>
          <w:tab w:val="left" w:pos="1134"/>
        </w:tabs>
        <w:spacing w:line="360" w:lineRule="auto"/>
        <w:ind w:firstLine="420"/>
        <w:jc w:val="left"/>
        <w:outlineLvl w:val="1"/>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rPr>
        <w:t>15.工程款(进度款)支付：</w:t>
      </w:r>
      <w:r>
        <w:rPr>
          <w:rFonts w:hint="eastAsia" w:ascii="宋体" w:hAnsi="宋体" w:cs="宋体"/>
          <w:b/>
          <w:bCs/>
          <w:color w:val="auto"/>
          <w:sz w:val="21"/>
          <w:szCs w:val="21"/>
          <w:highlight w:val="none"/>
          <w:lang w:val="en-US" w:eastAsia="zh-CN"/>
        </w:rPr>
        <w:t>成交</w:t>
      </w:r>
      <w:r>
        <w:rPr>
          <w:rFonts w:hint="eastAsia" w:ascii="宋体" w:hAnsi="宋体" w:cs="宋体"/>
          <w:b/>
          <w:bCs/>
          <w:color w:val="auto"/>
          <w:sz w:val="21"/>
          <w:szCs w:val="21"/>
          <w:highlight w:val="none"/>
        </w:rPr>
        <w:t>价即为合同价。</w:t>
      </w:r>
      <w:r>
        <w:rPr>
          <w:rFonts w:hint="eastAsia" w:ascii="宋体" w:hAnsi="宋体" w:eastAsia="宋体" w:cs="宋体"/>
          <w:b/>
          <w:bCs/>
          <w:color w:val="auto"/>
          <w:sz w:val="21"/>
          <w:szCs w:val="21"/>
          <w:highlight w:val="none"/>
          <w:lang w:val="en-US" w:eastAsia="zh-CN"/>
        </w:rPr>
        <w:t>工程竣工验收合格付至合同价的80%，质保期满一年付至合同总价款90%，同时退还履约保证金；质保期满两年无质量问题支付至合同总价款的95%；质保期满三年无质量问题付清余款。（以上均不计息）</w:t>
      </w:r>
    </w:p>
    <w:p w14:paraId="09AFD5A4">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七、材料设备供应</w:t>
      </w:r>
    </w:p>
    <w:p w14:paraId="40D6149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16.发包人供应材料设备：</w:t>
      </w:r>
    </w:p>
    <w:p w14:paraId="51DBBF4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16.1发包人供应的材料设备与一览表不符时,双方约定发包人承担责任如下:</w:t>
      </w:r>
    </w:p>
    <w:p w14:paraId="0E6D109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（1）材料设备单价与一览表不符:</w:t>
      </w:r>
      <w:r>
        <w:rPr>
          <w:rFonts w:hint="eastAsia" w:ascii="宋体" w:hAnsi="宋体" w:cs="宋体"/>
          <w:color w:val="auto"/>
          <w:sz w:val="21"/>
          <w:szCs w:val="21"/>
          <w:highlight w:val="none"/>
          <w:u w:val="single"/>
        </w:rPr>
        <w:t xml:space="preserve">   /  </w:t>
      </w:r>
    </w:p>
    <w:p w14:paraId="4998B45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（2）材料设备的品种、规格、型号、质量等级与一览表不符：承包人有权拒收，发包人负责调换，承包人可代为调剂串换的材料：设计院批准，监理认可，并报发包人同意后方可串换；</w:t>
      </w:r>
    </w:p>
    <w:p w14:paraId="1A8F485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（3）到货地点与一览表不符：发包人运至规定的供货地点，承包人应予积极配合；</w:t>
      </w:r>
    </w:p>
    <w:p w14:paraId="17FEC2D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（4）供货数量与一览表不符：发包人补足；</w:t>
      </w:r>
    </w:p>
    <w:p w14:paraId="375ABBD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（5）到货时间与一览表不符；</w:t>
      </w:r>
    </w:p>
    <w:p w14:paraId="08154DC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开工前承包人须书面通知发包人，因发包人原因延迟供货的，可以延期；如承包人未在开工前书面通知的，发包人不承担相应责任。</w:t>
      </w:r>
    </w:p>
    <w:p w14:paraId="4BBF223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16.2发包人供应材料设备的结算方法:/</w:t>
      </w:r>
    </w:p>
    <w:p w14:paraId="0EC5AD2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17．承包人采购材料设备</w:t>
      </w:r>
    </w:p>
    <w:p w14:paraId="1E4E704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17.1购材料设备的约定：</w:t>
      </w:r>
    </w:p>
    <w:p w14:paraId="155265D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承包人采购的材料设备，必须在发包人认可的产品质量等级及价格范围内，发包人供应的材料、设备、承包人应在材料设备验收后及时开出收料单，以便发包人执行供应合同，承包人无故推迟或不开收料单，影响发包人执行合同或工程结算，发包人有权处罚承包人，承包人对进场材料设备安全保管负责，如有受损承包人承担赔偿责任。承包人应按约定及设计和有关标准要求采购，并提供产品合格证明，对材料设备质量负责。承包人进场材料的样品必须经发包人和监理验收认可，经验收合格的材料方可批量进场（样品由发包人封存，承包人必须保证施工中材料设备质量与样品一致），否则，造成的损失由承包人承担；承包人在材料设备到货前24小时通知发包人和监理工程师验收。</w:t>
      </w:r>
    </w:p>
    <w:p w14:paraId="291E940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（2）设备与设计标准不符时，承包人应按工程师要求的时间运出施工场地，重新采购符合要求的产品，承担由此产生的费用，由此延误的工期不予顺延。</w:t>
      </w:r>
    </w:p>
    <w:p w14:paraId="1BE43F95">
      <w:pPr>
        <w:pStyle w:val="117"/>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3）承包人采购的全部材料和设备在使用前，承包人应当根据国家有关法律、法规、工程建设强制性标准和设计文件，按监理人或工程师要求，对建设工程的材料、构配件、设备，以及工程实体质量、使用功能等进行见证取样检验或试验。所有上述建设工程质量检测（初试及复试）的全部费用，其中包括室内环境监测费，均由承包人承担，不合格的不得使用。</w:t>
      </w:r>
    </w:p>
    <w:p w14:paraId="4727AF7F">
      <w:pPr>
        <w:pStyle w:val="117"/>
        <w:tabs>
          <w:tab w:val="left" w:pos="284"/>
          <w:tab w:val="left" w:pos="993"/>
          <w:tab w:val="left" w:pos="1134"/>
        </w:tabs>
        <w:spacing w:line="360" w:lineRule="auto"/>
        <w:ind w:firstLine="422"/>
        <w:contextualSpacing/>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4）除国家有关法律、法规、工程建设强制性标准和设计文件规定之外，如发包人或监理人或工程师对其材料和设备有异议的，承包人需无条件配合检测。若材料或设备检测合格，检测费由发包人承担。若材料或设备检测不合格，检测费由承包人承担，并配合进行复检，复检费用也由承包人承担。</w:t>
      </w:r>
    </w:p>
    <w:p w14:paraId="7B01432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供应的材料设备必须保证质量，使用中如发现有质量问题，承包人承担返工的全部损失并赔偿由此给发包人带来的损失。工程师发现承包人采购并使用不符合设计和标准要求的材料设备时，应要求承包人负责修复、拆除或重新采购，由承包人承担发生的费用，由此延误的工期不予顺延。</w:t>
      </w:r>
    </w:p>
    <w:p w14:paraId="78EDEA3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由承包人供应的材料、设备其品牌、生产厂家、质量等级等均需与投标书相同，除因市场无供应外，需提前5天书面申请和递交替换材料和资料，在得到发包人和监理方的认可，并且出具的各种生产许可证、质量认证、安全认证、试验报告、试验证明等全套的质保资料等也得到发包人和监理方的认可后方能供货，未经许可其后果及损失均由承包人承担，直至终止承包合同、更换承包人。</w:t>
      </w:r>
    </w:p>
    <w:p w14:paraId="0550BEE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承包人供应的材料设备其品牌、生产厂家、质量等级等如与投标书相同时，其质量及质保资料均需发包人和监理方的认可后方能供货，发包人对该部分材料质量具有检查监督权利，对材料的使用具有否决权，如遇到材料涨价，承包人不能以降低材料品质、档次来抵消风险，也不能要求由发包人供应。</w:t>
      </w:r>
    </w:p>
    <w:p w14:paraId="0D09B8D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由承包人供应的材料设备其品牌、生产厂家、质量等级等如与投标书不同时，必须得到发包人和监理方的认可，并且出具的各种生产许可证、质量认证、安全认证、试验报告、试验证明等全套的质保资料等也必须得到发包人和监理方的认可后方能供货，未经许可其后果及损失均由承包人承担，直至终止承包合同、更换承包人。</w:t>
      </w:r>
    </w:p>
    <w:p w14:paraId="0D77B5D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（9）当发包人和监理人要求对强制性检测要求范围外的材料进行检测时，承包人应按照要求进行检测，检测试验合格由发包人承担费用，测试不合格的检测费用由承包人承担。承包人承担的检验费用包括：</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\o\ac(○,1)</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 xml:space="preserve">承包人采取新工艺或特殊施工措施造成的检验、试验费用 </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\o\ac(○,2)</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不在“由发包人承担检验试验费用”之列的其它检验试验费。</w:t>
      </w:r>
    </w:p>
    <w:p w14:paraId="5CF499B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（10）需送检的材料必须检验合格后方能投入使用。</w:t>
      </w:r>
    </w:p>
    <w:p w14:paraId="6E03173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（11）承包人供应的材料设备必须保证质量，使用中如发现有质量问题、有毒、污染等不符合环保、安全、卫生要求的，承包人承担返工的全部损失并赔偿由此给发包人带来的损失。</w:t>
      </w:r>
    </w:p>
    <w:p w14:paraId="444D25F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（12）如需发包人认定质价后购买的材料，或者必须代换材料时，承包人必须提前10天书面报告，经发包人批准后实施，否则一切后果均由承包人自己负责。</w:t>
      </w:r>
    </w:p>
    <w:p w14:paraId="0152A922">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八、工程变更</w:t>
      </w:r>
    </w:p>
    <w:p w14:paraId="5EE386A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（1）工程变更通知是合同及施工设计图纸的补充和完善，承包人不得拒绝，不能因变更延误工期。</w:t>
      </w:r>
    </w:p>
    <w:p w14:paraId="15D0B56B">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（2）由于工程设计变更导致本合同工程量增减变化时，是对合同价款增减调整的依据，承包人不能因变更提出不合理的造价要求，造价变化按上述约定执行，结算审核时按实调整。</w:t>
      </w:r>
    </w:p>
    <w:p w14:paraId="000F31E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（3）承包人不得以设计变更或工程量的变化为理由，解除或修改合同对其规定的责任和义务。</w:t>
      </w:r>
    </w:p>
    <w:p w14:paraId="09A8CFB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（4）施工中承包人不得对原工程设计进行变更，因承包人擅自变更设计发生的费用和由此导致发包人的直接损失由承包人承担，延误的工期不予顺延。</w:t>
      </w:r>
    </w:p>
    <w:p w14:paraId="5262F8E7">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18.竣工验收</w:t>
      </w:r>
    </w:p>
    <w:p w14:paraId="6FA1D1E1">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18.1.承包人负责工程验收，并有义务参加配合相关单位验收工作。</w:t>
      </w:r>
    </w:p>
    <w:p w14:paraId="6AD934F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18.2.工程具备竣工验收条件，承包人按国家工程竣工验收有关规定，向发包人提供竣工验收报告。</w:t>
      </w:r>
    </w:p>
    <w:p w14:paraId="59E18D2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18.3.工程竣工验收通过，承包人送交竣工验收报告的日期为实际竣工日期。工程按发包人要求修改后通过竣工验收的，实际竣工日期为承包人修改后提请发包人验收的日期。发包人接到竣工验收报告后28天内组织有关单位验收，并在验收后14天内给予认可或提出修改意见。承包人按要求修改，并承担由自身原因造成修改的费用。</w:t>
      </w:r>
    </w:p>
    <w:p w14:paraId="06DB7B6A">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18.4.承包人提供竣工图的约定：竣工验收后三十日内承包人提供自己绘制的与实物相符并符合城建档案馆要求的竣工图叁套(医院不提供图纸),竣工资料三套（原件资料）其中一套原件交城建档案馆，并确保资料准确，否则每迟一天，每日向发包人支付违约金500元。</w:t>
      </w:r>
    </w:p>
    <w:p w14:paraId="0074B06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19.竣工结算</w:t>
      </w:r>
    </w:p>
    <w:p w14:paraId="5360C0A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19.1工程竣工验收合格后60天内承包人向发包人提供完整的工程结算资料。由发包人接收（一式两份）。结算资料提交应按时完成，否则每迟一天，除每日向发包人支付违约金500元，工程款相应延期支付。</w:t>
      </w:r>
    </w:p>
    <w:p w14:paraId="4E0996B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19.2发包人收到竣工结算资料后，由发包人和监理方分别进行审查确认后送给有关造价咨询部门进行工程价款的审核。</w:t>
      </w:r>
    </w:p>
    <w:p w14:paraId="18CA252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20、工程保修</w:t>
      </w:r>
    </w:p>
    <w:p w14:paraId="2402809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20.1工程保修内容及期限按《建设工程质量管理条例》（中华人民共和国国务院令2000年第279号）、《房屋建筑工程质量保修办法》（中华人民共和国建设部令第80号）等有关规定执行,保修金预留的比例为工程结算价的3%。</w:t>
      </w:r>
    </w:p>
    <w:p w14:paraId="461D23A8">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20.2工程保修期在工程竣工验收合格之日起计算。</w:t>
      </w:r>
    </w:p>
    <w:p w14:paraId="2233E55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20.3在承包人对质量保证期内出现的质量问题进行维修时，承包人应相应延长维修或更换部分的质量保证期。维修或更换部分的质保期从维修或更换合格之日起重新计算。</w:t>
      </w:r>
    </w:p>
    <w:p w14:paraId="1A4395D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20.4承包人有责任和义务及时进行承包工程的维修工作，若不能及时履行保修约定，发包人可以委托他人修理，其相应维修费用在保修预留金中扣除，扣完为止。如预留金不够支付因质量问题返修的费用，承包人应补全所缺部分的返修费用。</w:t>
      </w:r>
    </w:p>
    <w:p w14:paraId="5CDAB0A6">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九、违约、索赔和争议</w:t>
      </w:r>
    </w:p>
    <w:p w14:paraId="5E73104D">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21.违约</w:t>
      </w:r>
    </w:p>
    <w:p w14:paraId="30F26A9C">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21.1本合同中关于发包人违约的具体责任如下:</w:t>
      </w:r>
    </w:p>
    <w:p w14:paraId="440B359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本合同通用条款第24条约定发包人违约应承担的违约责任:</w:t>
      </w:r>
      <w:r>
        <w:rPr>
          <w:rFonts w:hint="eastAsia" w:ascii="宋体" w:hAnsi="宋体" w:cs="宋体"/>
          <w:color w:val="auto"/>
          <w:sz w:val="21"/>
          <w:szCs w:val="21"/>
          <w:highlight w:val="none"/>
          <w:u w:val="single"/>
        </w:rPr>
        <w:t xml:space="preserve">    /    </w:t>
      </w:r>
    </w:p>
    <w:p w14:paraId="1EDC4A27">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本合同通用条款第26.4款约定发包人违约应承担的违约责任:</w:t>
      </w:r>
      <w:r>
        <w:rPr>
          <w:rFonts w:hint="eastAsia" w:ascii="宋体" w:hAnsi="宋体" w:cs="宋体"/>
          <w:color w:val="auto"/>
          <w:sz w:val="21"/>
          <w:szCs w:val="21"/>
          <w:highlight w:val="none"/>
          <w:u w:val="single"/>
        </w:rPr>
        <w:t xml:space="preserve">    /  </w:t>
      </w:r>
    </w:p>
    <w:p w14:paraId="114A375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本合同通用条款第33.3款约定发包人违约应承担的违约责任:</w:t>
      </w:r>
      <w:r>
        <w:rPr>
          <w:rFonts w:hint="eastAsia" w:ascii="宋体" w:hAnsi="宋体" w:cs="宋体"/>
          <w:color w:val="auto"/>
          <w:sz w:val="21"/>
          <w:szCs w:val="21"/>
          <w:highlight w:val="none"/>
          <w:u w:val="single"/>
        </w:rPr>
        <w:t xml:space="preserve">   /   </w:t>
      </w:r>
    </w:p>
    <w:p w14:paraId="6B507B90">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双方约定的发包人其他违约责任:执行合同约定、招标文件</w:t>
      </w:r>
    </w:p>
    <w:p w14:paraId="690BD9AF">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21.2本合同中关于承包人违约的具体责任如下:</w:t>
      </w:r>
    </w:p>
    <w:p w14:paraId="1702505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本合同通用条款第14.2款约定承包人违约应承担的违约责任:</w:t>
      </w:r>
    </w:p>
    <w:p w14:paraId="40CF16C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延误工期。在十天内（含十天）的承包人按1000元/天赔偿，逾期在20天内（含20天）的承包人按2000元/天赔偿，逾期在30天（含30天）的承包人按5000元/天赔偿，如竣工时间超过合同工期一个月以上，发包人有权终止合同，承包人除按本工程结算价的5%支付违约金外，还应赔偿因工期违约给发包人造成的损失。</w:t>
      </w:r>
    </w:p>
    <w:p w14:paraId="4A10F72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21.3本合同通用条款第15.1款约定承包人违约应承担的违约责任:</w:t>
      </w:r>
    </w:p>
    <w:p w14:paraId="5B3704A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因承包人原因达不到约定的质量标准，承包人按合同总价的5%向发包人支付违约金的同时，承包人必须保证整改后工程达到约定的质量标准并承担所有发生的费用，出现质量问题所造成的一切经济损失由承包人承担。</w:t>
      </w:r>
    </w:p>
    <w:p w14:paraId="42692514">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21.4双方约定的承包人其他违约责任:</w:t>
      </w:r>
    </w:p>
    <w:p w14:paraId="7F4B9E8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21.4.1.遵守政府和发包人对施工现场的一切规定和要求，承担因自身原因违反有关规定造成的损失和罚款。</w:t>
      </w:r>
    </w:p>
    <w:p w14:paraId="0F92A00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21.4.2承包人在施工过程中，项目经理及主要施工人员应与投标文件中相一致，如承包人擅自变换项目经理及主要施工人员，发包人有权终止合同，承包人无条件退场且工程款不予结算，项目经理必须长驻施工现场，负责该项目施工，如需离开施工现场，必须向发包人请假，在征得发包人同意后，才能离开现场，未经批准离开现场，一经发现按每天1000元进行处罚，处罚款上不封顶，结算时在工程款中扣除，如发现项目经理三次擅自离开现场，发包人有权终止合同，承包人无条件退场且工程款不予支付并扣除履约保证金，同时报相应的建设主管部门处理。</w:t>
      </w:r>
    </w:p>
    <w:p w14:paraId="37D7F7E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21.4.3承包人应服从发包人的制度、会议、通知等形式的管理，以整个项目全局为重，除履行合同义务外应积极配合发包人及其他参建单位完成项目目标。</w:t>
      </w:r>
    </w:p>
    <w:p w14:paraId="671BDC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21.4.4由于承包人原因无故连续停工一周，且又未向监理及发包人书面说明原因并取得发包人书面认可，发包人有权终止合同，承包人将承担一切损失。</w:t>
      </w:r>
    </w:p>
    <w:p w14:paraId="0AA6054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21.4.5承包人擅自将工程全部或其中的一部分转包或违法分包给其它单位，发包人有权终止合同，并没收履约保证金，由此造成的一切损失由承包人承担。</w:t>
      </w:r>
    </w:p>
    <w:p w14:paraId="59E88F4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21.4.6施工期间由于承包人原因出现重大质量问题，且又无法弥补，给发包人造成重大损失，发包人有权终止合同，承包人负责赔偿发包人由此造成的一切损失。</w:t>
      </w:r>
    </w:p>
    <w:p w14:paraId="35EC871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21.4.7承包人使用劣质材料，无论使用量多少，一经发现，发包人有权终止合同，承包人除承担责任和赔偿损失外，并无条件退出施工现场。</w:t>
      </w:r>
    </w:p>
    <w:p w14:paraId="4782AE9D">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22.争议</w:t>
      </w:r>
    </w:p>
    <w:p w14:paraId="1F90C5BE">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22.1双方约定,在履行合同过程中产生争议时:</w:t>
      </w:r>
    </w:p>
    <w:p w14:paraId="7A68042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(1)请有关</w:t>
      </w:r>
      <w:r>
        <w:rPr>
          <w:rFonts w:hint="eastAsia" w:ascii="宋体" w:hAnsi="宋体" w:cs="宋体"/>
          <w:color w:val="auto"/>
          <w:sz w:val="21"/>
          <w:szCs w:val="21"/>
          <w:highlight w:val="none"/>
          <w:u w:val="single"/>
        </w:rPr>
        <w:t>建设行政主管部门</w:t>
      </w:r>
      <w:r>
        <w:rPr>
          <w:rFonts w:hint="eastAsia" w:ascii="宋体" w:hAnsi="宋体" w:cs="宋体"/>
          <w:color w:val="auto"/>
          <w:sz w:val="21"/>
          <w:szCs w:val="21"/>
          <w:highlight w:val="none"/>
        </w:rPr>
        <w:t>调解;</w:t>
      </w:r>
    </w:p>
    <w:p w14:paraId="63AEC198">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(2)调解不成，双方约定向</w:t>
      </w:r>
      <w:r>
        <w:rPr>
          <w:rFonts w:hint="eastAsia" w:ascii="宋体" w:hAnsi="宋体" w:cs="宋体"/>
          <w:color w:val="auto"/>
          <w:sz w:val="21"/>
          <w:szCs w:val="21"/>
          <w:highlight w:val="none"/>
          <w:u w:val="single"/>
        </w:rPr>
        <w:t>发包人所在地人民法院</w:t>
      </w:r>
      <w:r>
        <w:rPr>
          <w:rFonts w:hint="eastAsia" w:ascii="宋体" w:hAnsi="宋体" w:cs="宋体"/>
          <w:color w:val="auto"/>
          <w:sz w:val="21"/>
          <w:szCs w:val="21"/>
          <w:highlight w:val="none"/>
        </w:rPr>
        <w:t>提起诉讼。</w:t>
      </w:r>
    </w:p>
    <w:p w14:paraId="58C4D4DC">
      <w:pPr>
        <w:pStyle w:val="117"/>
        <w:tabs>
          <w:tab w:val="left" w:pos="284"/>
          <w:tab w:val="left" w:pos="993"/>
          <w:tab w:val="left" w:pos="1134"/>
        </w:tabs>
        <w:spacing w:line="360" w:lineRule="auto"/>
        <w:ind w:firstLine="420"/>
        <w:jc w:val="left"/>
        <w:outlineLvl w:val="1"/>
        <w:rPr>
          <w:rFonts w:ascii="宋体" w:hAnsi="宋体" w:cs="宋体"/>
          <w:color w:val="auto"/>
          <w:sz w:val="21"/>
          <w:szCs w:val="21"/>
          <w:highlight w:val="none"/>
        </w:rPr>
      </w:pPr>
      <w:r>
        <w:rPr>
          <w:rFonts w:hint="eastAsia" w:ascii="宋体" w:hAnsi="宋体" w:cs="宋体"/>
          <w:color w:val="auto"/>
          <w:sz w:val="21"/>
          <w:szCs w:val="21"/>
          <w:highlight w:val="none"/>
        </w:rPr>
        <w:t>十、其他</w:t>
      </w:r>
    </w:p>
    <w:p w14:paraId="78612F0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23.工程分包</w:t>
      </w:r>
    </w:p>
    <w:p w14:paraId="116EFA8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本工程除渣土外运工程外，其他项目不允许转包和违法分包。渣土外运必须发包给具备《渣土运输车辆许可证》、《渣土运输车辆交通安全证》和《渣土运输车辆通行证》的渣土运输企业作业。</w:t>
      </w:r>
    </w:p>
    <w:p w14:paraId="2BEE0A9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24.不可抗力</w:t>
      </w:r>
    </w:p>
    <w:p w14:paraId="1028145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24.1双方关于不可抗力的约定:</w:t>
      </w:r>
      <w:r>
        <w:rPr>
          <w:rFonts w:hint="eastAsia" w:ascii="宋体" w:hAnsi="宋体" w:cs="宋体"/>
          <w:color w:val="auto"/>
          <w:sz w:val="21"/>
          <w:szCs w:val="21"/>
          <w:highlight w:val="none"/>
          <w:u w:val="single"/>
        </w:rPr>
        <w:t>执行通用条款</w:t>
      </w:r>
    </w:p>
    <w:p w14:paraId="1D20F5DF">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25.担保</w:t>
      </w:r>
    </w:p>
    <w:p w14:paraId="6288F33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25.1本工程双方约定担保事项如下:</w:t>
      </w:r>
    </w:p>
    <w:p w14:paraId="160D8A0B">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25.2发包人向承包人提供履约担保,担保方式为: </w:t>
      </w:r>
      <w:r>
        <w:rPr>
          <w:rFonts w:hint="eastAsia" w:ascii="宋体" w:hAnsi="宋体" w:cs="宋体"/>
          <w:color w:val="auto"/>
          <w:sz w:val="21"/>
          <w:szCs w:val="21"/>
          <w:highlight w:val="none"/>
          <w:u w:val="single"/>
        </w:rPr>
        <w:t xml:space="preserve">  / </w:t>
      </w:r>
    </w:p>
    <w:p w14:paraId="26F46D01">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25.3承包人向发包人提供履约担保,担保方式为:</w:t>
      </w:r>
      <w:r>
        <w:rPr>
          <w:rFonts w:hint="eastAsia" w:ascii="宋体" w:hAnsi="宋体" w:eastAsia="宋体" w:cs="宋体"/>
          <w:color w:val="auto"/>
          <w:sz w:val="21"/>
          <w:szCs w:val="21"/>
          <w:highlight w:val="none"/>
          <w:u w:val="single"/>
        </w:rPr>
        <w:t>合同签订前承包人向发包人提交合同价的10%履约保证金，合同履行完毕无质量问题，且无违约行为后退还。如果承包人在规定时间内未能提交履约保证金，将被视为放弃</w:t>
      </w:r>
      <w:r>
        <w:rPr>
          <w:rFonts w:hint="eastAsia" w:ascii="宋体" w:hAnsi="宋体" w:cs="宋体"/>
          <w:color w:val="auto"/>
          <w:sz w:val="21"/>
          <w:szCs w:val="21"/>
          <w:highlight w:val="none"/>
          <w:u w:val="single"/>
          <w:lang w:val="en-US" w:eastAsia="zh-CN"/>
        </w:rPr>
        <w:t>成交</w:t>
      </w:r>
      <w:r>
        <w:rPr>
          <w:rFonts w:hint="eastAsia" w:ascii="宋体" w:hAnsi="宋体" w:eastAsia="宋体" w:cs="宋体"/>
          <w:color w:val="auto"/>
          <w:sz w:val="21"/>
          <w:szCs w:val="21"/>
          <w:highlight w:val="none"/>
          <w:u w:val="single"/>
        </w:rPr>
        <w:t>资格，由此给发包人造成的损失，应予以赔偿</w:t>
      </w:r>
      <w:r>
        <w:rPr>
          <w:rFonts w:hint="eastAsia" w:ascii="宋体" w:hAnsi="宋体" w:cs="宋体"/>
          <w:color w:val="auto"/>
          <w:sz w:val="21"/>
          <w:szCs w:val="21"/>
          <w:highlight w:val="none"/>
          <w:u w:val="single"/>
        </w:rPr>
        <w:t>。</w:t>
      </w:r>
      <w:r>
        <w:rPr>
          <w:rFonts w:hint="eastAsia" w:ascii="宋体" w:hAnsi="宋体" w:cs="宋体"/>
          <w:color w:val="auto"/>
          <w:sz w:val="21"/>
          <w:szCs w:val="21"/>
          <w:highlight w:val="none"/>
        </w:rPr>
        <w:t>（以上均不计息）</w:t>
      </w:r>
    </w:p>
    <w:p w14:paraId="60980BE6">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26.合同份数</w:t>
      </w:r>
    </w:p>
    <w:p w14:paraId="50CDE8B2">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26.1双方约定在合同份数：</w:t>
      </w:r>
    </w:p>
    <w:p w14:paraId="6CDB4867">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本合同</w:t>
      </w:r>
      <w:r>
        <w:rPr>
          <w:rFonts w:hint="eastAsia" w:ascii="宋体" w:hAnsi="宋体" w:cs="宋体"/>
          <w:b/>
          <w:color w:val="auto"/>
          <w:sz w:val="21"/>
          <w:szCs w:val="21"/>
          <w:highlight w:val="none"/>
          <w:u w:val="single"/>
        </w:rPr>
        <w:t>伍</w:t>
      </w:r>
      <w:r>
        <w:rPr>
          <w:rFonts w:hint="eastAsia" w:ascii="宋体" w:hAnsi="宋体" w:cs="宋体"/>
          <w:color w:val="auto"/>
          <w:sz w:val="21"/>
          <w:szCs w:val="21"/>
          <w:highlight w:val="none"/>
        </w:rPr>
        <w:t>份，其中正本</w:t>
      </w:r>
      <w:r>
        <w:rPr>
          <w:rFonts w:hint="eastAsia" w:ascii="宋体" w:hAnsi="宋体" w:cs="宋体"/>
          <w:b/>
          <w:color w:val="auto"/>
          <w:sz w:val="21"/>
          <w:szCs w:val="21"/>
          <w:highlight w:val="none"/>
          <w:u w:val="single"/>
        </w:rPr>
        <w:t>叁</w:t>
      </w:r>
      <w:r>
        <w:rPr>
          <w:rFonts w:hint="eastAsia" w:ascii="宋体" w:hAnsi="宋体" w:cs="宋体"/>
          <w:color w:val="auto"/>
          <w:sz w:val="21"/>
          <w:szCs w:val="21"/>
          <w:highlight w:val="none"/>
        </w:rPr>
        <w:t>份，副本</w:t>
      </w:r>
      <w:r>
        <w:rPr>
          <w:rFonts w:hint="eastAsia" w:ascii="宋体" w:hAnsi="宋体" w:cs="宋体"/>
          <w:b/>
          <w:color w:val="auto"/>
          <w:sz w:val="21"/>
          <w:szCs w:val="21"/>
          <w:highlight w:val="none"/>
          <w:u w:val="single"/>
        </w:rPr>
        <w:t>贰</w:t>
      </w:r>
      <w:r>
        <w:rPr>
          <w:rFonts w:hint="eastAsia" w:ascii="宋体" w:hAnsi="宋体" w:cs="宋体"/>
          <w:color w:val="auto"/>
          <w:sz w:val="21"/>
          <w:szCs w:val="21"/>
          <w:highlight w:val="none"/>
        </w:rPr>
        <w:t>份。发包人方执</w:t>
      </w:r>
      <w:r>
        <w:rPr>
          <w:rFonts w:hint="eastAsia" w:ascii="宋体" w:hAnsi="宋体" w:cs="宋体"/>
          <w:b/>
          <w:bCs/>
          <w:color w:val="auto"/>
          <w:sz w:val="21"/>
          <w:szCs w:val="21"/>
          <w:highlight w:val="none"/>
          <w:u w:val="single"/>
        </w:rPr>
        <w:t>叁</w:t>
      </w:r>
      <w:r>
        <w:rPr>
          <w:rFonts w:hint="eastAsia" w:ascii="宋体" w:hAnsi="宋体" w:cs="宋体"/>
          <w:color w:val="auto"/>
          <w:sz w:val="21"/>
          <w:szCs w:val="21"/>
          <w:highlight w:val="none"/>
        </w:rPr>
        <w:t>份，承包人方执</w:t>
      </w:r>
      <w:r>
        <w:rPr>
          <w:rFonts w:hint="eastAsia" w:ascii="宋体" w:hAnsi="宋体" w:cs="宋体"/>
          <w:b/>
          <w:bCs/>
          <w:color w:val="auto"/>
          <w:sz w:val="21"/>
          <w:szCs w:val="21"/>
          <w:highlight w:val="none"/>
          <w:u w:val="single"/>
        </w:rPr>
        <w:t>贰</w:t>
      </w:r>
      <w:r>
        <w:rPr>
          <w:rFonts w:hint="eastAsia" w:ascii="宋体" w:hAnsi="宋体" w:cs="宋体"/>
          <w:color w:val="auto"/>
          <w:sz w:val="21"/>
          <w:szCs w:val="21"/>
          <w:highlight w:val="none"/>
        </w:rPr>
        <w:t>份。</w:t>
      </w:r>
    </w:p>
    <w:p w14:paraId="193B4725">
      <w:pPr>
        <w:pStyle w:val="117"/>
        <w:tabs>
          <w:tab w:val="left" w:pos="284"/>
          <w:tab w:val="left" w:pos="993"/>
          <w:tab w:val="left" w:pos="1134"/>
        </w:tabs>
        <w:spacing w:line="360" w:lineRule="auto"/>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27.其他</w:t>
      </w:r>
    </w:p>
    <w:p w14:paraId="713F1D53">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b/>
          <w:color w:val="auto"/>
          <w:sz w:val="21"/>
          <w:szCs w:val="21"/>
          <w:highlight w:val="none"/>
        </w:rPr>
        <w:t>施工水、电费用工程决算时在定额中按规定扣除。</w:t>
      </w:r>
    </w:p>
    <w:p w14:paraId="689636E6">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
          <w:bCs/>
          <w:color w:val="auto"/>
          <w:sz w:val="21"/>
          <w:szCs w:val="21"/>
          <w:highlight w:val="none"/>
        </w:rPr>
        <w:t>本工程经审计后核减率超过10%(含10%)的，其审计费用全部由承包人承担（比例为净核减金额的5%）；本工程经审计后核减率在10%以下的，其审计费用由发包人承包人各承担50%。以上承包人应承担的审计费用，承包人交至医院财务处，由发包人代为支付给审计单位。</w:t>
      </w:r>
    </w:p>
    <w:p w14:paraId="1A5E1A7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(3）施工过程中发生的变更签证，承包人必须在变更发生后5日内申报，逾期对增加费用的签证申报，发包人有权不予承认，但发包人保留对减少费用的签证追溯权；</w:t>
      </w:r>
    </w:p>
    <w:p w14:paraId="5AD930E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4）承包人应加强工作人员的管理，禁止承包人以各种手段腐蚀、贿赂发包人单位工作人员，如有违反，发包人将停止履行合同，将诚信档案记录的工作人员违规不良行为纳入违约行为，并追究承包人违约责任；</w:t>
      </w:r>
    </w:p>
    <w:p w14:paraId="550A15E9">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5）承包人应按《建筑工程安全管理条例》以及国家、省市有关规定安全施工对于存在的安全隐患应及时整改到位。安全责任由承包人自行承担。承包人应按照国家和省市的有关规定文明施工。接受发包人、监理方及有关部门的管理、检查和监督，并有义务与施工现场各单位协调配合，自觉遵守《建设工程施工场地管理规定》（见附件1），违者按以上规定条款处罚；</w:t>
      </w:r>
    </w:p>
    <w:p w14:paraId="3482D65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（6）在工程竣工后在进行竣工验收前，对施工范围内进行打扫和清理，达到发包人提出的清洁要求，如达不到上述要求发包人将委托其他单位进行清理，其费用由承包人承担；</w:t>
      </w:r>
    </w:p>
    <w:p w14:paraId="73D481CE">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（7）在工程未交付前，承包人负责做好成品保护，如有损坏应负责维修，直至合格，其维修看护费用由承包人承担。</w:t>
      </w:r>
    </w:p>
    <w:p w14:paraId="25E0F395">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（8）在施工期间医院正常运行，承包人在施工中应做好环境保护及环境安全的防护，部分区域需封闭施工，相关费用视为包含在投标报价中，不再另行支付；</w:t>
      </w:r>
    </w:p>
    <w:p w14:paraId="48177582">
      <w:pPr>
        <w:pStyle w:val="117"/>
        <w:tabs>
          <w:tab w:val="left" w:pos="284"/>
          <w:tab w:val="left" w:pos="993"/>
          <w:tab w:val="left" w:pos="1134"/>
        </w:tabs>
        <w:spacing w:line="360" w:lineRule="auto"/>
        <w:ind w:firstLine="42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（9）各个施工环节，需发包人施工质量管理员现场验收确认后方可进行下一环节施工；</w:t>
      </w:r>
    </w:p>
    <w:p w14:paraId="7B25475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本工程在施工期间医院运行不停止，承包单位进场施工时必须在不影响医院正常运行情况下进行，在施工过程中要注意保护环境卫生、文明施工、污水、杂物严谨乱扔乱抛，施工严控噪声和粉尘，以防影响病人治疗，违者按《建设工程安全文明施工管理办法》规定处罚；（见附件2）</w:t>
      </w:r>
    </w:p>
    <w:p w14:paraId="5B8BF65E">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（11）承包人在</w:t>
      </w:r>
      <w:r>
        <w:rPr>
          <w:rFonts w:hint="eastAsia" w:ascii="宋体" w:hAnsi="宋体" w:eastAsia="宋体" w:cs="宋体"/>
          <w:highlight w:val="none"/>
          <w:lang w:eastAsia="zh-CN"/>
        </w:rPr>
        <w:t>成交</w:t>
      </w:r>
      <w:r>
        <w:rPr>
          <w:rFonts w:hint="eastAsia" w:ascii="宋体" w:hAnsi="宋体" w:cs="宋体"/>
          <w:color w:val="auto"/>
          <w:szCs w:val="21"/>
          <w:highlight w:val="none"/>
        </w:rPr>
        <w:t>公示结束后30天内与发包人签订施工合同并交纳履约保证金；</w:t>
      </w:r>
    </w:p>
    <w:p w14:paraId="6C2DFB37">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施工期间，将对承包人实行考核，考核结果与奖惩挂钩。如承包人不加强管理造成施工场地混乱，又不服从发包人及现场监理管理，以致影响工程质量和进度，经发包人三次警告，仍然整改不到位发包人有权终止合同，承包人应无条件退出施工现场并将承担一切损失；</w:t>
      </w:r>
    </w:p>
    <w:p w14:paraId="12EA6D6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（13）承包人擅自将工程全部或其中的一部分转包或违法分包给其他单位，发包人有权终止合同，并没收履约保证金，由此造成的一切损失由承包人承担；</w:t>
      </w:r>
    </w:p>
    <w:p w14:paraId="17ED3445">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（14）施工方对施工材料运送要统筹考虑,不得影响院区内的道路交通,对施工场地周边的道路、树木、建筑等设施做好保护；</w:t>
      </w:r>
    </w:p>
    <w:p w14:paraId="1451A7C8">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28、施工期间相关要求：（以下规定与政府部门有冲突的部分依照政府文件规定执行）</w:t>
      </w:r>
    </w:p>
    <w:p w14:paraId="6F19660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（1）严格按国家强制性标准、施工组织设计或拆除方案实施相关部位拆除施工作业；</w:t>
      </w:r>
    </w:p>
    <w:p w14:paraId="5BC64BF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（2）做好拆除工程施工现场的防护。在现场醒目位置设置施工标志牌、安全警示牌，人员通道设置防护通道，非施工人员不得进入施工区；</w:t>
      </w:r>
    </w:p>
    <w:p w14:paraId="3899FAB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（3）制定安全事故应急救援预案，做好防火、防盗工作；</w:t>
      </w:r>
    </w:p>
    <w:p w14:paraId="01BCFAA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（4）对拆除施工人员进行安全技术交底，施工作业人员必须穿戴安全帽等劳动保护用品，高处作业应系好安全带，不得冒险作业；</w:t>
      </w:r>
    </w:p>
    <w:p w14:paraId="778603D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（5）由施工方、监理、承包人方共同对拆除的部位进行标记，由施工方检查建筑内各类管线情况，确认必须切断的应全部切断后方可施工；</w:t>
      </w:r>
    </w:p>
    <w:p w14:paraId="77A943F3">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（6）拆除施工时应有防止扬尘和降低噪声的措施，拆除前洒水，过程中喷水，采用轻型风镐，严禁超负荷或带故障运转；</w:t>
      </w:r>
    </w:p>
    <w:p w14:paraId="5F6C082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7）拆除作业时楼板上严禁人员聚集或堆放材料，作业人员应站在稳定结构或专用脚手架上操作，不得垂直交叉作业，对拆除物应采取有效的下落控制措施，不得直接砸落在楼板面上，构件应有安全的放置场所。水平作业时，操作人员应保持安全距离；</w:t>
      </w:r>
    </w:p>
    <w:p w14:paraId="3FA43BC0">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（8）楼层内的施工垃圾应采用垃圾袋运下，不得向下抛掷；</w:t>
      </w:r>
    </w:p>
    <w:p w14:paraId="62D2639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（9）对原有梁、柱、楼板面等建筑结构要进行有效防护，拆除部位的地面必须用模板铺垫；</w:t>
      </w:r>
    </w:p>
    <w:p w14:paraId="635AA3FB">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（10）室内墙体在拆除时，顶部应拆除至梁体或楼板混凝土结构面，将砂浆连接层彻底清理干净，便于下道工序直接施工包含柱面；</w:t>
      </w:r>
    </w:p>
    <w:p w14:paraId="44A99D04">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(11)现场用电应符合施工现场临时用电安全技术规范要求；</w:t>
      </w:r>
    </w:p>
    <w:p w14:paraId="0B2099E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(12)根据拆除现场作业环境，制定相应的消防安全措施；</w:t>
      </w:r>
    </w:p>
    <w:p w14:paraId="03832021">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(13)拆除后形成的临边洞口及时维护完成；</w:t>
      </w:r>
    </w:p>
    <w:p w14:paraId="661DD546">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(14)清运渣土的车辆应封闭或覆盖，出入现场应有专人指挥，作业时间、作业方式应遵守扬州市有关管理规定。要求拆除的垃圾袋装化处理，并及时拆及时清运；</w:t>
      </w:r>
    </w:p>
    <w:p w14:paraId="4770880B">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(15)使用建设单位提供运输等设备、设施要服从管理安排，爱护设备，损坏赔偿；</w:t>
      </w:r>
    </w:p>
    <w:p w14:paraId="046B18CC">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(16)编制切实可行的施工准备计划，科学、合理安排组织施工工序，对准备工作建立严格的责任制和检查制度，做到有计划、有分工、有布置、有检查，各分部分项工程必须按计划完成；</w:t>
      </w:r>
    </w:p>
    <w:p w14:paraId="5F9AD213">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(17)根据总进度计划的要求，制定详细的天计划。加强计划的科学性、严肃性，在编制天计划时要考虑各种不利因素的影响，以保证计划的有效性、可行性，一旦发现天计划与总进度计划相比有滞后现象时，要及时调整，采取相应的补救措施，制定可行的计划，以保证总进度计划的实现；</w:t>
      </w:r>
    </w:p>
    <w:p w14:paraId="63581F68">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(18)若有后续工作跟进施工应与配合，及时提供工作面，确保后续工作顺利实施；</w:t>
      </w:r>
    </w:p>
    <w:p w14:paraId="3D79ACA1">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(19)本工程不包含任何可回收材料，可回收材料均属发包人所有；</w:t>
      </w:r>
    </w:p>
    <w:p w14:paraId="0ED0807E">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（20）保险</w:t>
      </w:r>
    </w:p>
    <w:p w14:paraId="37763E62">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工程保险：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4BBB22EF">
      <w:pPr>
        <w:pStyle w:val="94"/>
        <w:tabs>
          <w:tab w:val="left" w:pos="284"/>
        </w:tabs>
        <w:spacing w:line="360" w:lineRule="auto"/>
        <w:ind w:firstLine="420"/>
        <w:contextualSpacing/>
        <w:jc w:val="left"/>
        <w:rPr>
          <w:rFonts w:ascii="宋体" w:hAnsi="宋体" w:cs="宋体"/>
          <w:color w:val="auto"/>
          <w:szCs w:val="21"/>
          <w:highlight w:val="none"/>
        </w:rPr>
      </w:pPr>
      <w:r>
        <w:rPr>
          <w:rFonts w:hint="eastAsia" w:ascii="宋体" w:hAnsi="宋体" w:cs="宋体"/>
          <w:color w:val="auto"/>
          <w:szCs w:val="21"/>
          <w:highlight w:val="none"/>
        </w:rPr>
        <w:t>其他保险：</w:t>
      </w:r>
      <w:r>
        <w:rPr>
          <w:rFonts w:hint="eastAsia" w:ascii="宋体" w:hAnsi="宋体" w:cs="宋体"/>
          <w:color w:val="auto"/>
          <w:szCs w:val="21"/>
          <w:highlight w:val="none"/>
          <w:u w:val="single"/>
        </w:rPr>
        <w:t>按相关规定，应由承包人缴纳的保险必须按时依法办理</w:t>
      </w:r>
      <w:r>
        <w:rPr>
          <w:rFonts w:hint="eastAsia" w:ascii="宋体" w:hAnsi="宋体" w:cs="宋体"/>
          <w:color w:val="auto"/>
          <w:szCs w:val="21"/>
          <w:highlight w:val="none"/>
        </w:rPr>
        <w:t>。</w:t>
      </w:r>
    </w:p>
    <w:p w14:paraId="1331CEAD">
      <w:pPr>
        <w:pStyle w:val="94"/>
        <w:tabs>
          <w:tab w:val="left" w:pos="284"/>
        </w:tabs>
        <w:spacing w:line="360" w:lineRule="auto"/>
        <w:ind w:firstLine="420"/>
        <w:contextualSpacing/>
        <w:jc w:val="left"/>
        <w:rPr>
          <w:rFonts w:ascii="宋体" w:hAnsi="宋体" w:cs="宋体"/>
          <w:color w:val="auto"/>
          <w:szCs w:val="21"/>
          <w:highlight w:val="none"/>
          <w:u w:val="single"/>
        </w:rPr>
      </w:pPr>
      <w:r>
        <w:rPr>
          <w:rFonts w:hint="eastAsia" w:ascii="宋体" w:hAnsi="宋体" w:cs="宋体"/>
          <w:color w:val="auto"/>
          <w:szCs w:val="21"/>
          <w:highlight w:val="none"/>
        </w:rPr>
        <w:t>承包人是否应为其施工设备等办理财产保险：</w:t>
      </w:r>
      <w:r>
        <w:rPr>
          <w:rFonts w:hint="eastAsia" w:ascii="宋体" w:hAnsi="宋体" w:cs="宋体"/>
          <w:color w:val="auto"/>
          <w:szCs w:val="21"/>
          <w:highlight w:val="none"/>
          <w:u w:val="single"/>
        </w:rPr>
        <w:t>应该办理</w:t>
      </w:r>
    </w:p>
    <w:p w14:paraId="3A3EC7FF">
      <w:pPr>
        <w:pStyle w:val="94"/>
        <w:tabs>
          <w:tab w:val="left" w:pos="284"/>
        </w:tabs>
        <w:spacing w:line="360" w:lineRule="auto"/>
        <w:ind w:firstLine="420"/>
        <w:contextualSpacing/>
        <w:jc w:val="left"/>
        <w:rPr>
          <w:rFonts w:ascii="宋体" w:hAnsi="宋体" w:cs="宋体"/>
          <w:color w:val="auto"/>
          <w:sz w:val="24"/>
          <w:szCs w:val="24"/>
          <w:highlight w:val="none"/>
        </w:rPr>
      </w:pPr>
      <w:r>
        <w:rPr>
          <w:rFonts w:hint="eastAsia" w:ascii="宋体" w:hAnsi="宋体" w:cs="宋体"/>
          <w:color w:val="auto"/>
          <w:szCs w:val="21"/>
          <w:highlight w:val="none"/>
        </w:rPr>
        <w:t>关于变更保险合同时的通知义务的约定：</w:t>
      </w:r>
      <w:r>
        <w:rPr>
          <w:rFonts w:hint="eastAsia" w:ascii="宋体" w:hAnsi="宋体" w:cs="宋体"/>
          <w:color w:val="auto"/>
          <w:szCs w:val="21"/>
          <w:highlight w:val="none"/>
          <w:u w:val="single"/>
        </w:rPr>
        <w:t>执行通用条款</w:t>
      </w:r>
    </w:p>
    <w:p w14:paraId="1DDA41F0">
      <w:pPr>
        <w:spacing w:line="360" w:lineRule="auto"/>
        <w:ind w:firstLine="562"/>
        <w:contextualSpacing/>
        <w:outlineLvl w:val="1"/>
        <w:rPr>
          <w:rFonts w:ascii="宋体" w:hAnsi="宋体" w:cs="宋体"/>
          <w:b/>
          <w:color w:val="auto"/>
          <w:sz w:val="28"/>
          <w:szCs w:val="28"/>
          <w:highlight w:val="none"/>
        </w:rPr>
      </w:pPr>
      <w:r>
        <w:rPr>
          <w:rFonts w:hint="eastAsia" w:ascii="宋体" w:hAnsi="宋体" w:cs="宋体"/>
          <w:b/>
          <w:color w:val="auto"/>
          <w:sz w:val="28"/>
          <w:szCs w:val="28"/>
          <w:highlight w:val="none"/>
        </w:rPr>
        <w:br w:type="page" w:clear="all"/>
      </w:r>
      <w:r>
        <w:rPr>
          <w:rFonts w:hint="eastAsia" w:ascii="宋体" w:hAnsi="宋体" w:cs="宋体"/>
          <w:b/>
          <w:color w:val="auto"/>
          <w:sz w:val="28"/>
          <w:szCs w:val="28"/>
          <w:highlight w:val="none"/>
        </w:rPr>
        <w:t>附件1</w:t>
      </w:r>
    </w:p>
    <w:p w14:paraId="20D40364">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建设工程施工场地管理规定</w:t>
      </w:r>
    </w:p>
    <w:p w14:paraId="123941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为了保证建设工程质量、进度达到预定目标,确保在施工中不出现质量、安全责任事故,同时能给各施工单位创造良好的文明施工环境、合作条件,经研究特制订本工程施工场地管理规定。</w:t>
      </w:r>
    </w:p>
    <w:p w14:paraId="1826AF2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一、施工场地管理要求:</w:t>
      </w:r>
    </w:p>
    <w:p w14:paraId="4093677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1、所有进场的施工单位必须建立健全项目管理机构,项目部全体人员一览表应公布上墙。</w:t>
      </w:r>
    </w:p>
    <w:p w14:paraId="0839E52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2、各项目部应根据国家和省、市有关法律、法规、标准、规范,按照项目部的工作要求建立如下规章制度。</w:t>
      </w:r>
    </w:p>
    <w:p w14:paraId="7A91A3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(1)安全生产责任制度、安全教育制度</w:t>
      </w:r>
    </w:p>
    <w:p w14:paraId="135794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(2)质量、进度目标管理制度</w:t>
      </w:r>
    </w:p>
    <w:p w14:paraId="4D49A94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(3)文明施工及场地清洁卫生管理制度</w:t>
      </w:r>
    </w:p>
    <w:p w14:paraId="1C5BAD0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(4)施工用电管理制度</w:t>
      </w:r>
    </w:p>
    <w:p w14:paraId="2DFAD8A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(5)“三宝”、“四口”“五临边”防护制度</w:t>
      </w:r>
    </w:p>
    <w:p w14:paraId="410E05E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(6)成品保护制度</w:t>
      </w:r>
    </w:p>
    <w:p w14:paraId="1450B4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(7)动火管理制度</w:t>
      </w:r>
    </w:p>
    <w:p w14:paraId="656E6B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(8)其它规章制度</w:t>
      </w:r>
    </w:p>
    <w:p w14:paraId="5D2094B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3、各项目部应认真执行如下规定。</w:t>
      </w:r>
    </w:p>
    <w:p w14:paraId="2D7224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(1)各施工单位的项目经理必须坚守工作岗位,遇有特殊情况需要离开施工现场必须向承包人、监理请假,经同意后才能离开。</w:t>
      </w:r>
    </w:p>
    <w:p w14:paraId="39AA423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(2)各项目部的质量和安全管理人员应认真履行工作职责,上述人员如有变动必须报发包人、监理同意。</w:t>
      </w:r>
    </w:p>
    <w:p w14:paraId="6C21D7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(3)各项目部在施工前应认真编制施工方案,并上报监理、发包人审核,经审核同意后严格按方案实施,对重点部位应按要求编制专项施工方案。</w:t>
      </w:r>
    </w:p>
    <w:p w14:paraId="186ED33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(4)隐蔽工程应先进行自检,自检合格后报监理及发包人进行隐蔽部位验收隐蔽工程在封闭前要求各施工单位执行会签制度。未经验收、会签不得擅自封闭。</w:t>
      </w:r>
    </w:p>
    <w:p w14:paraId="798043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所有进场施工材料必须经监理、发包人验收合格后才能使用,材料如需复试,必须待试验合格后方可使用。同时不合格的进场材料要求立即退场,若已使用必须拆除。工程材料需及时提供样品,征得业主、监理确认同意后,按样品进行验收。</w:t>
      </w:r>
    </w:p>
    <w:p w14:paraId="66FE96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(6)加强现场安全保卫工作,所有施工单位进场人员必须佩带胸牌上岗,进入施工现场必须配戴安全帽。</w:t>
      </w:r>
    </w:p>
    <w:p w14:paraId="4E34E5E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(7)未施工的材料应要善保管,已施工完毕的成品必须加强保护(附件:成品地面、门窗成品保护要求),同时要求做好防火、防盗和用电安全管理等工作。</w:t>
      </w:r>
    </w:p>
    <w:p w14:paraId="75BD205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(8)保持施工现场环境卫生整洁。建筑垃圾、生活垃圾及时清理,按指定地点堆放。</w:t>
      </w:r>
    </w:p>
    <w:p w14:paraId="49CD1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(9)施工单位必须按照图纸施工,施工中如需调整与变更应及时办理变更手续,并严格执行。</w:t>
      </w:r>
    </w:p>
    <w:p w14:paraId="5675426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(10)对监理、业主发现的工程施工质量、安全问题,各施工单位应按发包人、监理意见积极整改到位。</w:t>
      </w:r>
    </w:p>
    <w:p w14:paraId="668F35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(11)各施工单位应树立全局观念,主动积极做好协调、配合工作,不得故意刁难,相互扯皮。</w:t>
      </w:r>
    </w:p>
    <w:p w14:paraId="2409A0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(12)各施工单位必须对照施工合同,严格履行合同承诺。</w:t>
      </w:r>
    </w:p>
    <w:p w14:paraId="25F754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二、施工管理处罚规定:</w:t>
      </w:r>
    </w:p>
    <w:p w14:paraId="0BF3772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凡出现下列情况者给予处罚如下:</w:t>
      </w:r>
    </w:p>
    <w:p w14:paraId="56CB92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1、文明施工方面:</w:t>
      </w:r>
    </w:p>
    <w:p w14:paraId="685E19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(1)各单位人员进入现场施工必须佩戴工作卡,发现无卡人员每人次处罚50元。</w:t>
      </w:r>
    </w:p>
    <w:p w14:paraId="154F51E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(2)施工作业人员不准穿拖鞋、高跟鞋、赤膊,发现一人次处罚50元。严禁酒后进入施工区作业,发现一人次罚款50元。严禁家眷、小孩进入施工区,每发现一人次处罚50元。</w:t>
      </w:r>
    </w:p>
    <w:p w14:paraId="60A56CA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仓库易燃、易爆品及其它物品必须分开堆放,严禁混放,发现一处罚款200元。现场灭火器材、消防通道焊接接火斗等消防设施未设置到位,发现一处罚款20O元。仓库严禁烟火,施工现场严禁吸烟,每发现一次处罚50元。</w:t>
      </w:r>
    </w:p>
    <w:p w14:paraId="79403D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(4)在建建筑物内除仓库保管员及保卫人员外,其余人员严禁入住,发现一次处罚200元。</w:t>
      </w:r>
    </w:p>
    <w:p w14:paraId="4A3263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(5)现场施工人员盗窃发现一次立即开除,按造成直接损失的3倍进行赔偿。情节严重者送当地公安部门处理。</w:t>
      </w:r>
    </w:p>
    <w:p w14:paraId="4E884F4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(6)施工现场严禁赌博、打架斗殴,每发现一次处罚500元,情节严重者送当地公安部门处理。</w:t>
      </w:r>
    </w:p>
    <w:p w14:paraId="06BB0D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(7)夜间施工必须有足够的照明设施,楼梯通道必须设置安全照明灯。每发现一处不合格处罚200元。</w:t>
      </w:r>
    </w:p>
    <w:p w14:paraId="5CBB82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(8)发现施工现场环境脏、乱、差每次处罚200元。监理通知后仍不积极整改,汇报业主派人清理,费用从相关施工单位工程款中扣除。</w:t>
      </w:r>
    </w:p>
    <w:p w14:paraId="2958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(9)建筑物内各标段应设置临时厕所，严禁随地大小便,每发现一次处罚50元。</w:t>
      </w:r>
    </w:p>
    <w:p w14:paraId="38FCE95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(10)自行车、电动车、摩托车按指定地点停放,不得进入建筑物施工现场内，每发现一辆处罚50元。</w:t>
      </w:r>
    </w:p>
    <w:p w14:paraId="5028124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2、现场管理方面:</w:t>
      </w:r>
    </w:p>
    <w:p w14:paraId="4986DB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(I)各施工单位在施工中相互扯皮不协调配合,造成返工或浪费所产生的费用由业主、监理按实进行核算,在工程款中予以扣除。</w:t>
      </w:r>
    </w:p>
    <w:p w14:paraId="7163B5A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(2)各施工单位未按业主、监理要求时间完成配合工作,造成其它施工单位工期延误,出现一次处罚1000元,为不影响总体进度,业主、监理有权另请其它单位进行施工,费用从施工单位工程款中扣除。</w:t>
      </w:r>
    </w:p>
    <w:p w14:paraId="05DD590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(3)因施工方原因影响群众利益,造成负面影晌,导致群众堵工上访或新闻媒体曝光的,每发生一次罚款10000元。</w:t>
      </w:r>
    </w:p>
    <w:p w14:paraId="233AF0A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发现管理人员值班不在岗,每人次处罚100元。现场有人施工作业时专职安全员不在岗,每发现一次处罚100元。工序质量验收时,专职质检员不在岗,每发现一次处罚100元。特殊工种无上岗证违规操作者,每人次处罚100元。</w:t>
      </w:r>
    </w:p>
    <w:p w14:paraId="5C25B9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(5)现场项目经理、主要负责人必须每天在现场6小时以上,召开工程例会有关人员无故缺席的,有特殊情况需提前请假。违反规定,每人次每天处罚1000元。</w:t>
      </w:r>
    </w:p>
    <w:p w14:paraId="4CE11CB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(6)施工单位需对进场材料及时报验,未经业主、监理单位验收合格擅自使用,处罚责任单位1000元。工程材料便用劣质、冒牌材料,发现一次除按合同有关条款处罚外,再处罚责任单位3000元。</w:t>
      </w:r>
    </w:p>
    <w:p w14:paraId="11272F3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(7)施工方如果发现现场实物与图纸内容不符,需及时上报监理、业主,严禁盲目施工,发现一次处罚责任单位2000元。</w:t>
      </w:r>
    </w:p>
    <w:p w14:paraId="77FBEA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(8)各单位做好现场成品保护工作,保护好自己和他人的工程成品,一经查实损害他人成品,按实价赔偿。若发现恶意破坏他人成品现象,发现一次按造成直接损失的3倍进行赔偿。</w:t>
      </w:r>
    </w:p>
    <w:p w14:paraId="0D7EB9A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(9)现场材料堆放严禁超过设计荷载值,发现一次处罚责任单位1000元。</w:t>
      </w:r>
    </w:p>
    <w:p w14:paraId="2BE3AC9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(10)若工程被质量监督部门、安全监督部门或其它建筑主管部门通报批评,出现一次处罚责任单位5000元。</w:t>
      </w:r>
    </w:p>
    <w:p w14:paraId="384A2D4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(11)各施工单位应积极主动配合各类检查、观摩活动,由于现场工作未做到位导致不良后果,视情节严重情况,出现一次处罚责任单位200―500元。</w:t>
      </w:r>
    </w:p>
    <w:p w14:paraId="75E4DFA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(12)不服从业主、监理人员管理,出现漫骂、侮辱、殴打现场业主、监理人员,发现一次处罚1000元,责任人员限期退场。</w:t>
      </w:r>
    </w:p>
    <w:p w14:paraId="0390F95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(13)上道工序未经业主、监理验收合格,擅自进入下道工序施工,隐蔽工程未经业主、监理检查合格擅白隐蔽,进行剥露检验,质量不符合要求,返工费用由施工单位承担,出现一次处罚1000元。</w:t>
      </w:r>
    </w:p>
    <w:p w14:paraId="6FCEFC3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(14)监理、业主如发现的工程施工质量、安全问题,第一次以书面形式告知并限期整改,在期限内未能及时整改到位,发现一次处罚200元,第二次告知仍不积极整改,发现一次处罚500元。</w:t>
      </w:r>
    </w:p>
    <w:p w14:paraId="38647C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(15)各施工单位在施工时,未经业主、监理同意,不得擅自停水、停电、开挖道路、阻碍交通等影响其它单位施工行为。如出现上述问题,每发现一次罚款1000元,另再追究造成的停工间接损失。</w:t>
      </w:r>
    </w:p>
    <w:p w14:paraId="75FD2D4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3、安全检查方面:</w:t>
      </w:r>
    </w:p>
    <w:p w14:paraId="36204E0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(1)在危险部位未设置明显的安全警示标志及防范措施,发现一处罚款50元。</w:t>
      </w:r>
    </w:p>
    <w:p w14:paraId="0499CC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(2)对危险性较大的部位,施工前未编制专项施工方案或方案未经施工单位技术负责人及总监审批擅自施工,每发现一次处罚500元。</w:t>
      </w:r>
    </w:p>
    <w:p w14:paraId="5956D2C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(3)分部分项工程施工前未对施工班组、作业人员进行安全技术交底,发现一次处罚200元。</w:t>
      </w:r>
    </w:p>
    <w:p w14:paraId="753369D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(4)施工负责人对工地现场安全未执行定期检查制度或检查无记录,发现一次处罚200元。</w:t>
      </w:r>
    </w:p>
    <w:p w14:paraId="46D4514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(5)无安全教育制度，新进场人员未进行三级安全教育，发现一次处罚100元。</w:t>
      </w:r>
    </w:p>
    <w:p w14:paraId="5172C875">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(6)发现违章操作、野蛮施工或强令冒险作业,每发现一次处罚500元。</w:t>
      </w:r>
    </w:p>
    <w:p w14:paraId="3E50C2E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(7)严禁高空向下抛物、倾倒垃圾,每发现一次处罚200—500元，若造成人员伤害及财产损失,由当事人承担相关责任。</w:t>
      </w:r>
    </w:p>
    <w:p w14:paraId="517C101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(8)“三宝”使用不当，口”“五临边”防护不到位，每发现一次处罚100元(其中不戴安全帽,发现一人次处罚50元)。</w:t>
      </w:r>
    </w:p>
    <w:p w14:paraId="23C7080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(9)如发现违反用电安全情况时每次处罚100元。由于安全用电措施不落实、用电不规范导致不良后果,除按相关规定追究责任外,视情节轻重罚款200—2000元。</w:t>
      </w:r>
    </w:p>
    <w:p w14:paraId="296E3D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(10)脚手架搭设必须进行设计计算，编制搭拆方案，满足规范要求。严禁施工荷载超过规定要求。每发现一处不合格处罚500元。</w:t>
      </w:r>
    </w:p>
    <w:p w14:paraId="6E21C56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(11)电梯应指定专人进行操作,严禁电梯超荷载运行,按规定做好交接班。违反电梯使用规定,每发现一处不合格处罚200—500元。谁损坏谁赔偿。</w:t>
      </w:r>
    </w:p>
    <w:p w14:paraId="07FC696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(12)由于焊接火花、明火、吸烟、电火花等造成施工现场失火事件，除追究当事人责任外,再视情节轻重罚款500—2000元，并按造成直接损失进行赔偿。</w:t>
      </w:r>
    </w:p>
    <w:p w14:paraId="77BBE94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(13)因违反其它安全规定造成不良后果，由违反单位及责任者承担全部责任。</w:t>
      </w:r>
    </w:p>
    <w:p w14:paraId="7FD7CB5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由业主、监理在日常工作中进行监督检查，同时业主、监理不定期组织施工单位检查，一经发现上述情况由业主、监理按规定进行处罚,所有罚款在施工单位履约保证金或工程款中扣除。(本规定自公布之日起执行)</w:t>
      </w:r>
    </w:p>
    <w:p w14:paraId="0AA3DE5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附件：</w:t>
      </w:r>
    </w:p>
    <w:p w14:paraId="3D1B4A4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成品地面、门窗成品保护要求：</w:t>
      </w:r>
    </w:p>
    <w:p w14:paraId="2FCE4F6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要求地面开槽、凿洞须经业主、监理同意方可施工。</w:t>
      </w:r>
    </w:p>
    <w:p w14:paraId="5BA71EF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成品地面必须有覆盖物保护措施。</w:t>
      </w:r>
    </w:p>
    <w:p w14:paraId="0524049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在成品地面上不允许进行切割、焊接、绞丝等施工作业。</w:t>
      </w:r>
    </w:p>
    <w:p w14:paraId="5B53387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铁梯、脚手架等必须包护脚。</w:t>
      </w:r>
    </w:p>
    <w:p w14:paraId="18F99EA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地面防止被油污浸入污染。</w:t>
      </w:r>
    </w:p>
    <w:p w14:paraId="5C904F9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地面、门窗不准硬物、重物撞击及利物损伤，造成损坏或变形。</w:t>
      </w:r>
    </w:p>
    <w:p w14:paraId="54B8EC8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窗框上不允许搁置重物。</w:t>
      </w:r>
    </w:p>
    <w:p w14:paraId="7FA2D7F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幕墙及窗框防止被污染，必须有保护措施。</w:t>
      </w:r>
    </w:p>
    <w:p w14:paraId="77C252F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玻璃及易碎品防止损坏。</w:t>
      </w:r>
    </w:p>
    <w:p w14:paraId="6E5391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防止玻璃被火花烧伤。</w:t>
      </w:r>
    </w:p>
    <w:p w14:paraId="3B89F589">
      <w:pPr>
        <w:spacing w:line="360" w:lineRule="auto"/>
        <w:ind w:firstLine="420"/>
        <w:contextualSpacing/>
        <w:rPr>
          <w:rFonts w:ascii="宋体" w:hAnsi="宋体" w:cs="宋体"/>
          <w:color w:val="auto"/>
          <w:sz w:val="24"/>
          <w:szCs w:val="24"/>
          <w:highlight w:val="none"/>
        </w:rPr>
      </w:pPr>
      <w:r>
        <w:rPr>
          <w:rFonts w:hint="eastAsia" w:ascii="宋体" w:hAnsi="宋体" w:cs="宋体"/>
          <w:color w:val="auto"/>
          <w:szCs w:val="21"/>
          <w:highlight w:val="none"/>
        </w:rPr>
        <w:t>地面、门窗成品保护不到位，执行《施工场地管理规定》2、（8）条。</w:t>
      </w:r>
    </w:p>
    <w:p w14:paraId="49FB57FE">
      <w:pPr>
        <w:spacing w:line="360" w:lineRule="auto"/>
        <w:ind w:firstLine="482"/>
        <w:contextualSpacing/>
        <w:jc w:val="center"/>
        <w:rPr>
          <w:rFonts w:ascii="宋体" w:hAnsi="宋体" w:cs="宋体"/>
          <w:b/>
          <w:color w:val="auto"/>
          <w:sz w:val="24"/>
          <w:szCs w:val="24"/>
          <w:highlight w:val="none"/>
        </w:rPr>
      </w:pPr>
    </w:p>
    <w:p w14:paraId="2CBB5BC1">
      <w:pPr>
        <w:spacing w:line="360" w:lineRule="auto"/>
        <w:ind w:firstLine="482"/>
        <w:contextualSpacing/>
        <w:outlineLvl w:val="1"/>
        <w:rPr>
          <w:rFonts w:ascii="宋体" w:hAnsi="宋体" w:cs="宋体"/>
          <w:b/>
          <w:color w:val="auto"/>
          <w:sz w:val="28"/>
          <w:szCs w:val="28"/>
          <w:highlight w:val="none"/>
        </w:rPr>
      </w:pPr>
      <w:r>
        <w:rPr>
          <w:rFonts w:hint="eastAsia" w:ascii="宋体" w:hAnsi="宋体" w:cs="宋体"/>
          <w:b/>
          <w:color w:val="auto"/>
          <w:sz w:val="24"/>
          <w:szCs w:val="24"/>
          <w:highlight w:val="none"/>
        </w:rPr>
        <w:br w:type="page" w:clear="all"/>
      </w:r>
      <w:r>
        <w:rPr>
          <w:rFonts w:hint="eastAsia" w:ascii="宋体" w:hAnsi="宋体" w:cs="宋体"/>
          <w:b/>
          <w:color w:val="auto"/>
          <w:sz w:val="28"/>
          <w:szCs w:val="28"/>
          <w:highlight w:val="none"/>
        </w:rPr>
        <w:t>附件2</w:t>
      </w:r>
    </w:p>
    <w:p w14:paraId="31860747">
      <w:pPr>
        <w:spacing w:line="440" w:lineRule="exact"/>
        <w:contextualSpacing/>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建设工程安全文明施工管理办法</w:t>
      </w:r>
    </w:p>
    <w:p w14:paraId="3FA3620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第一章总则</w:t>
      </w:r>
    </w:p>
    <w:p w14:paraId="69FB794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第一条为了切实加强医院基本建设安全文明施工管理,根据建设部有关安全文明施工的规定,结合我院实际,制定本管理办法。</w:t>
      </w:r>
    </w:p>
    <w:p w14:paraId="45897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第二条凡在院区范围内从事有基建办负责管理的基本建设、改扩建及维修工程的施工单位,必须遵守本办法。</w:t>
      </w:r>
    </w:p>
    <w:p w14:paraId="3549FDF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第三条施工单位、监理单位是安全文明施工的责任主体,对其施工、监理范围内工程的安全文明施工负责。基建办有关管理人员负协助管理责任。</w:t>
      </w:r>
    </w:p>
    <w:p w14:paraId="41C5BA0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条施工单位、监理单位及基建办指派的现场管理人员要对安全文明施工采取切实可行的措施,严格按照建设部有关安全文明施工的规定组织施工,防止安全事故和不文明行为的发生。具体条款参照建设部最新规定相关条款执行。</w:t>
      </w:r>
    </w:p>
    <w:p w14:paraId="39850F2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第二章施工现场安全文明管理</w:t>
      </w:r>
    </w:p>
    <w:p w14:paraId="2DD8490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第五条施工场地四周围墙设置高度应不低于1.8米,在主要路段工地施工的围墙设置应不低于2.5米。围墙须沿工地四周连续设置,并建有门楼和值班室。围墙及门楼材料要坚固,做到稳定、整洁、美观。</w:t>
      </w:r>
    </w:p>
    <w:p w14:paraId="138E8A9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第六条施工门楼前必须设置企业标志,新建或改扩建项目平面布置图、效果图,以及工程概况、组织管理网络、文明施工管理、安全生产牌。十项安全技术措施，消防须知牌等各种现场管理制度。</w:t>
      </w:r>
    </w:p>
    <w:p w14:paraId="69E11BC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第七条施工现场必须配备责任心强的值班人员,实行封闭式管理。施工作业人员和工作人员进出施工现场必须佩戴工作卡,非现场工作人员未经批准不得擅自进入施工现场。</w:t>
      </w:r>
    </w:p>
    <w:p w14:paraId="47CDD14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第八条现场施工人员及其工作人员必须佩戴安全帽。同时现场应配备一定数量的安全帽,以便供外来参观和检查人员使用。</w:t>
      </w:r>
    </w:p>
    <w:p w14:paraId="4841832E">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第九条主要出入口和通道口应设置有顶盖的安全防护,临近道路和其它建筑物的外墙立面或有其它要求的外墙立面应采取封闭施工。</w:t>
      </w:r>
    </w:p>
    <w:p w14:paraId="797AB86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第十条现场施工必须严格遵守国家有关安全文明施工的规定和规范要求，严禁违规操作。</w:t>
      </w:r>
    </w:p>
    <w:p w14:paraId="5466FC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第十一条加强现场成品保护和周边环境保护。施工单位是施工现场成品的安全责任主体,要派专人看守,基建办应予以协助。施工单位的施工人员在施工过程中不得破坏和损坏周边环境。包括道路和树木。</w:t>
      </w:r>
    </w:p>
    <w:p w14:paraId="529045C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第十二条施工现场道路和材料堆放场地必须硬化,排水通畅,保证施工现场无积水。</w:t>
      </w:r>
    </w:p>
    <w:p w14:paraId="65032D92">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三条施工材料、机具及设备应按平面布置图合理摆放在施工现场内,不得混合堆放,且标识正确、清楚。易燃易爆及危险品要严格按规定分类入库管理。无论是施工材料还是施工用机具与设备,均不得随意摆放在场外。</w:t>
      </w:r>
    </w:p>
    <w:p w14:paraId="4FB641B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四条对于单体建筑工程的施工现场,其道路必须畅通无阻,现场出入口处道路必须设置车辆冲洗槽、沉淀池,配备冲洗设备。出入车辆必须冲洗干净,保证车辆不带泥土上路。对于难以保证车辆不带泥土上路的工程,施工单位在施工过程中要派专人及时清扫路面,保持路面整洁、干净。</w:t>
      </w:r>
    </w:p>
    <w:p w14:paraId="295AAAB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第十五条施工现场的建筑废料和垃圾要及时清理外运,做到工完料尽场清。严格按要求运至基建办指定地点。严禁未经批准随处乱倒建筑废料和垃圾。</w:t>
      </w:r>
    </w:p>
    <w:p w14:paraId="7115401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第十六条生活区必须与施工作业区分开。正在施工的工程不得用作施工单位职工宿舍、项目部办公室。生活临时用房要按基建办指定地点新建,工程完工后应将其场地清理干净。</w:t>
      </w:r>
    </w:p>
    <w:p w14:paraId="48F3520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七条施工现场要采取防粉尘、防噪音、防灯光措施,严禁在施工现场焚烧有毒有害物质,一般不得在晚上6点至次日凌晨6点时段内施工，中午避让病人休息时间。特殊情况须经基建办领导批准后，向环保部门办理夜间施工相关手续。</w:t>
      </w:r>
    </w:p>
    <w:p w14:paraId="15D4C62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第十八条施工现场应制定防火制度,落实防火责任人。施工单位要认真贯彻“以防为主,防消结合”的方针。现场要配足必备的灭火器材,提供充足的消防水源,并建有临时休息室,严禁作业人员乱扔烟头。</w:t>
      </w:r>
    </w:p>
    <w:p w14:paraId="6632DC9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第十九条施工现场应设置自冲式男、女厕所,严禁作业人员随地大小便。</w:t>
      </w:r>
    </w:p>
    <w:p w14:paraId="1BDEDF5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第三章安全文明综合治理</w:t>
      </w:r>
    </w:p>
    <w:p w14:paraId="5ECDE2CC">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第二十条施工单位的所有人员必须遵守国家的法律法规。各施工单位应定期对其职工加强安全文明教育和遵纪守法教育。</w:t>
      </w:r>
    </w:p>
    <w:p w14:paraId="7490EE8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第二十一条施工单位应建立安全文明管理制度,采取切实可行的安全保卫和文明管理措施,落实责任人,坚决杜绝不安全和不文明行为的发生,严禁打架斗殴、赌博、行窃等违法违纪行为。</w:t>
      </w:r>
    </w:p>
    <w:p w14:paraId="2317BFE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第二十二条加强施工人员生活区管理。生活区的食堂、厕所与垃圾箱应保持一定的距离。生活区与现场作业区相邻时,场内须设置带盖的垃圾桶。生活垃圾与建筑垃圾应分开堆放和处置。</w:t>
      </w:r>
    </w:p>
    <w:p w14:paraId="6D540A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第二十三条加强施工人员宿舍内用电管理，宿舍内严禁使用大功率电器。</w:t>
      </w:r>
    </w:p>
    <w:p w14:paraId="596FF90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第二十四条施工单位所有车辆不得在院区内高速行驶和鸣号,所有建筑材料运输车辆不得在院区路道路上行驶,因施工需要,须经基建办领导批准。</w:t>
      </w:r>
    </w:p>
    <w:p w14:paraId="0264D817">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第四章处罚措施</w:t>
      </w:r>
    </w:p>
    <w:p w14:paraId="594DAA6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第二十五条监理单位和基建办指派现场的管理人员要加强施工现场安全文明施工的管理和监督,对施工单位违反本办法的规定和不安全、不文明的行为应提出处理处罚建议,经基建办主管领导批准执行。</w:t>
      </w:r>
    </w:p>
    <w:p w14:paraId="2D83A9D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六条对于任何处理处罚决定,基建办应出据处理处罚通知书。通知书一式五份,施工单位、处办公室、现场管理人员、监理公司、基建办主管领导各一份。对于经济处罚决定,其处理处罚通知书应另加一份送校基建财务科,由校基建财务科从被处罚单位工程款项中扣减其处罚款。</w:t>
      </w:r>
    </w:p>
    <w:p w14:paraId="775A5369">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第二十七条有下列行为之一者,应给予告诫整改、责令停工整顿、罚款等处理处罚。情节严重者送交司法机关,追究刑事责任。</w:t>
      </w:r>
    </w:p>
    <w:p w14:paraId="11613F8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(一)施工现场围墙及安全保护设施不符合本管理办法规定的规范要求,进行告诫整改或责令停工整顿,必要时应进行经济处罚。</w:t>
      </w:r>
    </w:p>
    <w:p w14:paraId="037B9BCA">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(二)现场施工人员违反施工管理规定和施工操作规范,在告诫整改不听的情况下,处以100—500元的罚款。</w:t>
      </w:r>
    </w:p>
    <w:p w14:paraId="43A17701">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(三)施工人员在施工过程中破坏或损坏周边环境、应保护成品,除赔偿损失外,处以200—600元的罚款。</w:t>
      </w:r>
    </w:p>
    <w:p w14:paraId="31DB252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(四)施工车辆未经清洗上路行驶,污染路面而未及时清扫干净,除接受城管部门处罚外，来院再处以1000—5000元的罚款。</w:t>
      </w:r>
    </w:p>
    <w:p w14:paraId="4C93B898">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(五)施工单位对职工管理不严,出现打架斗殴、盗窃、赌博等违纪违法行为,轻则告诫整改和进行经济处罚,发现一起可处以500—1000元的罚款。重则移交司法机关追究刑事责任。</w:t>
      </w:r>
    </w:p>
    <w:p w14:paraId="6FBFF78F">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(六)未经批准,其建筑材料运输车辆和施工车辆擅自进入院区道路行驶,处以500—1000元的罚款。</w:t>
      </w:r>
    </w:p>
    <w:p w14:paraId="20735E8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(七)违反本办法的其它规定,经教育不改者,可处以200—1000元的罚款。</w:t>
      </w:r>
    </w:p>
    <w:p w14:paraId="508AE7E8">
      <w:pPr>
        <w:pStyle w:val="117"/>
        <w:tabs>
          <w:tab w:val="left" w:pos="0"/>
          <w:tab w:val="left" w:pos="993"/>
          <w:tab w:val="left" w:pos="1134"/>
        </w:tabs>
        <w:spacing w:line="360" w:lineRule="auto"/>
        <w:ind w:firstLine="420"/>
        <w:jc w:val="left"/>
        <w:rPr>
          <w:rFonts w:hAnsi="宋体" w:cs="仿宋"/>
          <w:color w:val="auto"/>
          <w:sz w:val="21"/>
          <w:szCs w:val="21"/>
          <w:highlight w:val="none"/>
        </w:rPr>
      </w:pPr>
    </w:p>
    <w:p w14:paraId="504EEE37">
      <w:pPr>
        <w:tabs>
          <w:tab w:val="left" w:pos="0"/>
          <w:tab w:val="left" w:pos="993"/>
          <w:tab w:val="left" w:pos="1134"/>
        </w:tabs>
        <w:spacing w:line="360" w:lineRule="auto"/>
        <w:rPr>
          <w:rFonts w:eastAsia="黑体"/>
          <w:b/>
          <w:color w:val="auto"/>
          <w:sz w:val="32"/>
          <w:highlight w:val="none"/>
        </w:rPr>
      </w:pPr>
    </w:p>
    <w:p w14:paraId="6E611233">
      <w:pPr>
        <w:tabs>
          <w:tab w:val="left" w:pos="0"/>
          <w:tab w:val="left" w:pos="993"/>
          <w:tab w:val="left" w:pos="1134"/>
        </w:tabs>
        <w:spacing w:line="360" w:lineRule="auto"/>
        <w:rPr>
          <w:rFonts w:eastAsia="黑体"/>
          <w:b/>
          <w:color w:val="auto"/>
          <w:sz w:val="32"/>
          <w:highlight w:val="none"/>
        </w:rPr>
      </w:pPr>
    </w:p>
    <w:p w14:paraId="6887255F">
      <w:pPr>
        <w:tabs>
          <w:tab w:val="left" w:pos="0"/>
          <w:tab w:val="left" w:pos="993"/>
          <w:tab w:val="left" w:pos="1134"/>
        </w:tabs>
        <w:spacing w:line="360" w:lineRule="auto"/>
        <w:rPr>
          <w:rFonts w:eastAsia="黑体"/>
          <w:b/>
          <w:color w:val="auto"/>
          <w:sz w:val="32"/>
          <w:highlight w:val="none"/>
        </w:rPr>
      </w:pPr>
    </w:p>
    <w:p w14:paraId="7C6A5733">
      <w:pPr>
        <w:tabs>
          <w:tab w:val="left" w:pos="0"/>
          <w:tab w:val="left" w:pos="993"/>
          <w:tab w:val="left" w:pos="1134"/>
        </w:tabs>
        <w:spacing w:line="360" w:lineRule="auto"/>
        <w:rPr>
          <w:rFonts w:eastAsia="黑体"/>
          <w:b/>
          <w:color w:val="auto"/>
          <w:sz w:val="32"/>
          <w:highlight w:val="none"/>
        </w:rPr>
      </w:pPr>
    </w:p>
    <w:p w14:paraId="66AF3CE8">
      <w:pPr>
        <w:tabs>
          <w:tab w:val="left" w:pos="0"/>
          <w:tab w:val="left" w:pos="993"/>
          <w:tab w:val="left" w:pos="1134"/>
        </w:tabs>
        <w:spacing w:line="360" w:lineRule="auto"/>
        <w:rPr>
          <w:rFonts w:eastAsia="黑体"/>
          <w:b/>
          <w:color w:val="auto"/>
          <w:sz w:val="32"/>
          <w:highlight w:val="none"/>
        </w:rPr>
      </w:pPr>
    </w:p>
    <w:p w14:paraId="77AEC300">
      <w:pPr>
        <w:tabs>
          <w:tab w:val="left" w:pos="0"/>
          <w:tab w:val="left" w:pos="993"/>
          <w:tab w:val="left" w:pos="1134"/>
        </w:tabs>
        <w:spacing w:line="360" w:lineRule="auto"/>
        <w:rPr>
          <w:rFonts w:eastAsia="黑体"/>
          <w:b/>
          <w:color w:val="auto"/>
          <w:sz w:val="32"/>
          <w:highlight w:val="none"/>
        </w:rPr>
      </w:pPr>
    </w:p>
    <w:p w14:paraId="5488246D">
      <w:pPr>
        <w:tabs>
          <w:tab w:val="left" w:pos="0"/>
          <w:tab w:val="left" w:pos="993"/>
          <w:tab w:val="left" w:pos="1134"/>
        </w:tabs>
        <w:spacing w:line="360" w:lineRule="auto"/>
        <w:ind w:firstLine="643"/>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工程质量保修书</w:t>
      </w:r>
    </w:p>
    <w:p w14:paraId="6F51E6A9">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发包人：</w:t>
      </w:r>
      <w:r>
        <w:rPr>
          <w:rFonts w:hint="eastAsia" w:ascii="宋体" w:hAnsi="宋体" w:cs="宋体"/>
          <w:b/>
          <w:color w:val="auto"/>
          <w:sz w:val="21"/>
          <w:highlight w:val="none"/>
        </w:rPr>
        <w:t>扬州大学附属医院</w:t>
      </w:r>
    </w:p>
    <w:p w14:paraId="506E68E5">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承包人：</w:t>
      </w:r>
    </w:p>
    <w:p w14:paraId="38030B2B">
      <w:pPr>
        <w:spacing w:line="360" w:lineRule="auto"/>
        <w:ind w:firstLine="420"/>
        <w:contextualSpacing/>
        <w:rPr>
          <w:rFonts w:ascii="宋体" w:hAnsi="宋体" w:cs="宋体"/>
          <w:b/>
          <w:bCs/>
          <w:color w:val="auto"/>
          <w:szCs w:val="21"/>
          <w:highlight w:val="none"/>
        </w:rPr>
      </w:pPr>
      <w:r>
        <w:rPr>
          <w:rFonts w:hint="eastAsia" w:ascii="宋体" w:hAnsi="宋体" w:cs="宋体"/>
          <w:color w:val="auto"/>
          <w:szCs w:val="21"/>
          <w:highlight w:val="none"/>
        </w:rPr>
        <w:t>发包人承包人双方根据《中华人民共和国建筑法》、《建设工程质量管理条例》和《房屋建筑工程质量保修办法》，经协商一致，对</w:t>
      </w:r>
      <w:r>
        <w:rPr>
          <w:rFonts w:hint="eastAsia" w:ascii="宋体" w:hAnsi="宋体" w:cs="宋体"/>
          <w:bCs/>
          <w:color w:val="auto"/>
          <w:szCs w:val="21"/>
          <w:highlight w:val="none"/>
        </w:rPr>
        <w:t>项目</w:t>
      </w:r>
      <w:r>
        <w:rPr>
          <w:rFonts w:hint="eastAsia" w:ascii="宋体" w:hAnsi="宋体" w:cs="宋体"/>
          <w:color w:val="auto"/>
          <w:szCs w:val="21"/>
          <w:highlight w:val="none"/>
        </w:rPr>
        <w:t>签订工程质量保修书。</w:t>
      </w:r>
    </w:p>
    <w:p w14:paraId="0E77C1A7">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一、工程质量保修范围和内容</w:t>
      </w:r>
    </w:p>
    <w:p w14:paraId="6BD52FC0">
      <w:pPr>
        <w:pStyle w:val="102"/>
        <w:spacing w:before="0" w:beforeAutospacing="0" w:after="0" w:afterAutospacing="0" w:line="360" w:lineRule="auto"/>
        <w:ind w:firstLine="420"/>
        <w:contextualSpacing/>
        <w:rPr>
          <w:rFonts w:cs="宋体"/>
          <w:b/>
          <w:color w:val="auto"/>
          <w:sz w:val="21"/>
          <w:szCs w:val="21"/>
          <w:highlight w:val="none"/>
          <w:u w:val="single"/>
        </w:rPr>
      </w:pPr>
      <w:r>
        <w:rPr>
          <w:rFonts w:hint="eastAsia" w:cs="宋体"/>
          <w:color w:val="auto"/>
          <w:sz w:val="21"/>
          <w:szCs w:val="21"/>
          <w:highlight w:val="none"/>
        </w:rPr>
        <w:t>1、承包人在质量保修期内，按照有关法律、法规、规章的管理规定和双方约定，承担本工程质量保修责任。质量保修范围内包括合同约定的全部承包项目。具体质量保修内容双方约定如下：</w:t>
      </w:r>
      <w:r>
        <w:rPr>
          <w:rFonts w:hint="eastAsia" w:cs="宋体"/>
          <w:b/>
          <w:color w:val="auto"/>
          <w:sz w:val="21"/>
          <w:szCs w:val="21"/>
          <w:highlight w:val="none"/>
          <w:u w:val="single"/>
        </w:rPr>
        <w:t>凡属承包人加工及施工工艺、施工方法及材料质量等质量问题造成的需返工修补的情况。</w:t>
      </w:r>
    </w:p>
    <w:p w14:paraId="370894FB">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二、质量保修期</w:t>
      </w:r>
    </w:p>
    <w:p w14:paraId="323387D7">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1、质量保修期从工程实际竣工之日起开始计算。分单项竣工验收的工程，按单项工程分别计算质量保修期。双方根据《建设工程质量管理条例》及有关规定，约定本工程的质量保修期如下：</w:t>
      </w:r>
    </w:p>
    <w:p w14:paraId="6F05DFC3">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本工程质量保修期为</w:t>
      </w:r>
      <w:r>
        <w:rPr>
          <w:rFonts w:hint="eastAsia" w:cs="宋体"/>
          <w:b/>
          <w:color w:val="auto"/>
          <w:sz w:val="21"/>
          <w:szCs w:val="21"/>
          <w:highlight w:val="none"/>
          <w:u w:val="single"/>
          <w:lang w:val="en-US" w:eastAsia="zh-CN"/>
        </w:rPr>
        <w:t>3</w:t>
      </w:r>
      <w:r>
        <w:rPr>
          <w:rFonts w:hint="eastAsia" w:cs="宋体"/>
          <w:b/>
          <w:color w:val="auto"/>
          <w:sz w:val="21"/>
          <w:szCs w:val="21"/>
          <w:highlight w:val="none"/>
          <w:u w:val="single"/>
        </w:rPr>
        <w:t>年</w:t>
      </w:r>
      <w:r>
        <w:rPr>
          <w:rFonts w:hint="eastAsia" w:cs="宋体"/>
          <w:color w:val="auto"/>
          <w:sz w:val="21"/>
          <w:szCs w:val="21"/>
          <w:highlight w:val="none"/>
        </w:rPr>
        <w:t>，从工程竣工验收合格之日起，</w:t>
      </w:r>
      <w:r>
        <w:rPr>
          <w:rFonts w:hint="eastAsia" w:cs="宋体"/>
          <w:color w:val="auto"/>
          <w:sz w:val="21"/>
          <w:szCs w:val="21"/>
          <w:highlight w:val="none"/>
          <w:lang w:val="en-US" w:eastAsia="zh-CN"/>
        </w:rPr>
        <w:t>3</w:t>
      </w:r>
      <w:r>
        <w:rPr>
          <w:rFonts w:hint="eastAsia" w:cs="宋体"/>
          <w:color w:val="auto"/>
          <w:sz w:val="21"/>
          <w:szCs w:val="21"/>
          <w:highlight w:val="none"/>
        </w:rPr>
        <w:t>年内因工程质量问题所发生的材料费、保修人工费等均由承包人负责免费维修和更换。</w:t>
      </w:r>
    </w:p>
    <w:p w14:paraId="7B8010D4">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2、在承包人对质量保证期内出现的质量问题进行维修时，承包人应相应延长维修或更换部分的质量保证期。</w:t>
      </w:r>
    </w:p>
    <w:p w14:paraId="0D42A358">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3、质量保证期内因发包人原因或自然灾害而造成的损坏，承包人不承担保修责任，但承包人有义务对此进行维修，维修发生的材料和人工费用由发包人承担。</w:t>
      </w:r>
    </w:p>
    <w:p w14:paraId="106C61C4">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三、质量保修责任</w:t>
      </w:r>
    </w:p>
    <w:p w14:paraId="3A61AADF">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1、属于保修范围、内容的项目，承包人应当在接到保修通知之曰起7天内派人保修。承包人不在约定期限内派人保修的，发包人可以委托他人修理，保修费用从质量保修金内扣除。</w:t>
      </w:r>
    </w:p>
    <w:p w14:paraId="67E5FA56">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2、发生紧急抢修事故的，承包人在接到事故通知后，应当立即到达事故现场抢修。非承包人施工质量引起的事故，费用由发包人承担。</w:t>
      </w:r>
    </w:p>
    <w:p w14:paraId="07B3065A">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3、在国家规定的工程合理使用年限内，承包人要确保工程质量。因承包人原因致使工程在合理使用年限内造成人身和财产损害的，承包人应承担损害赔偿责任。</w:t>
      </w:r>
    </w:p>
    <w:p w14:paraId="6E7D6E30">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四、保修费用</w:t>
      </w:r>
    </w:p>
    <w:p w14:paraId="4359D4F3">
      <w:pPr>
        <w:pStyle w:val="102"/>
        <w:spacing w:before="0" w:beforeAutospacing="0" w:after="0" w:afterAutospacing="0" w:line="360" w:lineRule="auto"/>
        <w:ind w:firstLine="420"/>
        <w:contextualSpacing/>
        <w:rPr>
          <w:rFonts w:cs="宋体"/>
          <w:color w:val="auto"/>
          <w:sz w:val="21"/>
          <w:szCs w:val="21"/>
          <w:highlight w:val="none"/>
          <w:u w:val="single"/>
        </w:rPr>
      </w:pPr>
      <w:r>
        <w:rPr>
          <w:rFonts w:hint="eastAsia" w:cs="宋体"/>
          <w:color w:val="auto"/>
          <w:sz w:val="21"/>
          <w:szCs w:val="21"/>
          <w:highlight w:val="none"/>
        </w:rPr>
        <w:t>保修费用由造成质量缺陷的责任方承担。本工程约定的工程质量保修金为施工</w:t>
      </w:r>
      <w:r>
        <w:rPr>
          <w:rFonts w:hint="eastAsia" w:cs="宋体"/>
          <w:color w:val="auto"/>
          <w:sz w:val="21"/>
          <w:szCs w:val="21"/>
          <w:highlight w:val="none"/>
          <w:lang w:val="en-US" w:eastAsia="zh-CN"/>
        </w:rPr>
        <w:t>审计</w:t>
      </w:r>
      <w:r>
        <w:rPr>
          <w:rFonts w:hint="eastAsia" w:cs="宋体"/>
          <w:color w:val="auto"/>
          <w:sz w:val="21"/>
          <w:szCs w:val="21"/>
          <w:highlight w:val="none"/>
        </w:rPr>
        <w:t>价的3%。本工程双方约定的工程质量保修金的金额为人民币（大写）：</w:t>
      </w:r>
    </w:p>
    <w:p w14:paraId="64D31355">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五、质量保修金的退还</w:t>
      </w:r>
    </w:p>
    <w:p w14:paraId="1492DCDE">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发包人在质量保修期满后21天内，将剩余保修金（不计利息）返还承包人。</w:t>
      </w:r>
    </w:p>
    <w:p w14:paraId="5E10A246">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六、其他</w:t>
      </w:r>
    </w:p>
    <w:p w14:paraId="0EE57884">
      <w:pPr>
        <w:pStyle w:val="102"/>
        <w:spacing w:before="0" w:beforeAutospacing="0" w:after="0" w:afterAutospacing="0" w:line="360" w:lineRule="auto"/>
        <w:ind w:firstLine="420"/>
        <w:contextualSpacing/>
        <w:rPr>
          <w:rFonts w:cs="宋体"/>
          <w:b/>
          <w:color w:val="auto"/>
          <w:sz w:val="21"/>
          <w:szCs w:val="21"/>
          <w:highlight w:val="none"/>
        </w:rPr>
      </w:pPr>
      <w:r>
        <w:rPr>
          <w:rFonts w:hint="eastAsia" w:cs="宋体"/>
          <w:color w:val="auto"/>
          <w:sz w:val="21"/>
          <w:szCs w:val="21"/>
          <w:highlight w:val="none"/>
        </w:rPr>
        <w:t>双方约定的其他工程质量保修事项：</w:t>
      </w:r>
      <w:r>
        <w:rPr>
          <w:rFonts w:hint="eastAsia" w:cs="宋体"/>
          <w:b/>
          <w:color w:val="auto"/>
          <w:sz w:val="21"/>
          <w:szCs w:val="21"/>
          <w:highlight w:val="none"/>
          <w:u w:val="single"/>
        </w:rPr>
        <w:t xml:space="preserve">       /       </w:t>
      </w:r>
      <w:r>
        <w:rPr>
          <w:rFonts w:hint="eastAsia" w:cs="宋体"/>
          <w:b/>
          <w:color w:val="auto"/>
          <w:sz w:val="21"/>
          <w:szCs w:val="21"/>
          <w:highlight w:val="none"/>
        </w:rPr>
        <w:t>。</w:t>
      </w:r>
    </w:p>
    <w:p w14:paraId="3D565DCA">
      <w:pPr>
        <w:pStyle w:val="102"/>
        <w:spacing w:before="0" w:beforeAutospacing="0" w:after="0" w:afterAutospacing="0" w:line="360" w:lineRule="auto"/>
        <w:ind w:firstLine="420"/>
        <w:contextualSpacing/>
        <w:rPr>
          <w:rFonts w:cs="宋体"/>
          <w:color w:val="auto"/>
          <w:sz w:val="21"/>
          <w:szCs w:val="21"/>
          <w:highlight w:val="none"/>
        </w:rPr>
      </w:pPr>
      <w:r>
        <w:rPr>
          <w:rFonts w:hint="eastAsia" w:cs="宋体"/>
          <w:color w:val="auto"/>
          <w:sz w:val="21"/>
          <w:szCs w:val="21"/>
          <w:highlight w:val="none"/>
        </w:rPr>
        <w:t>本工程质量保修书，由施工合同发包人、承包人双方在竣工验收前共同签署，作为施工合同附件其有效期限至保修期满。</w:t>
      </w:r>
    </w:p>
    <w:p w14:paraId="5C553428">
      <w:pPr>
        <w:spacing w:line="360" w:lineRule="auto"/>
        <w:contextualSpacing/>
        <w:rPr>
          <w:rFonts w:ascii="宋体" w:hAnsi="宋体" w:cs="宋体"/>
          <w:color w:val="auto"/>
          <w:szCs w:val="21"/>
          <w:highlight w:val="none"/>
        </w:rPr>
      </w:pPr>
    </w:p>
    <w:p w14:paraId="6BE6FB2D">
      <w:pPr>
        <w:pStyle w:val="79"/>
        <w:spacing w:before="0" w:after="0" w:line="360" w:lineRule="auto"/>
        <w:ind w:left="0" w:right="0" w:firstLine="420"/>
        <w:contextualSpacing/>
        <w:rPr>
          <w:rFonts w:ascii="宋体" w:hAnsi="宋体" w:cs="宋体"/>
          <w:b/>
          <w:color w:val="auto"/>
          <w:sz w:val="21"/>
          <w:highlight w:val="none"/>
        </w:rPr>
      </w:pPr>
      <w:r>
        <w:rPr>
          <w:rFonts w:hint="eastAsia" w:ascii="宋体" w:hAnsi="宋体" w:cs="宋体"/>
          <w:color w:val="auto"/>
          <w:sz w:val="21"/>
          <w:highlight w:val="none"/>
        </w:rPr>
        <w:t>发包人：（盖章）</w:t>
      </w:r>
      <w:r>
        <w:rPr>
          <w:rFonts w:hint="eastAsia" w:ascii="宋体" w:hAnsi="宋体" w:cs="宋体"/>
          <w:b/>
          <w:color w:val="auto"/>
          <w:sz w:val="21"/>
          <w:highlight w:val="none"/>
        </w:rPr>
        <w:t xml:space="preserve">扬州大学附属医院        </w:t>
      </w:r>
      <w:r>
        <w:rPr>
          <w:rFonts w:hint="eastAsia" w:ascii="宋体" w:hAnsi="宋体" w:cs="宋体"/>
          <w:color w:val="auto"/>
          <w:sz w:val="21"/>
          <w:highlight w:val="none"/>
        </w:rPr>
        <w:t>承包人：（盖章）</w:t>
      </w:r>
    </w:p>
    <w:p w14:paraId="149FEA68">
      <w:pPr>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法定代表人：                            法定代表人：</w:t>
      </w:r>
    </w:p>
    <w:p w14:paraId="5B77718A">
      <w:pPr>
        <w:spacing w:line="360" w:lineRule="auto"/>
        <w:ind w:firstLine="420"/>
        <w:contextualSpacing/>
        <w:rPr>
          <w:rFonts w:ascii="宋体" w:hAnsi="宋体" w:cs="宋体"/>
          <w:bCs/>
          <w:color w:val="auto"/>
          <w:szCs w:val="21"/>
          <w:highlight w:val="none"/>
        </w:rPr>
      </w:pPr>
      <w:r>
        <w:rPr>
          <w:rFonts w:hint="eastAsia" w:ascii="宋体" w:hAnsi="宋体" w:cs="宋体"/>
          <w:color w:val="auto"/>
          <w:szCs w:val="21"/>
          <w:highlight w:val="none"/>
        </w:rPr>
        <w:t>（或授权签约人）：                      （或授权签约人）：</w:t>
      </w:r>
    </w:p>
    <w:p w14:paraId="1EE0EB3D">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日期:2026年  月    日                   日期：2026年   月     日</w:t>
      </w:r>
    </w:p>
    <w:p w14:paraId="736304B4">
      <w:pPr>
        <w:spacing w:line="360" w:lineRule="auto"/>
        <w:ind w:firstLine="420"/>
        <w:contextualSpacing/>
        <w:rPr>
          <w:rFonts w:ascii="宋体" w:hAnsi="宋体" w:cs="宋体"/>
          <w:color w:val="auto"/>
          <w:szCs w:val="21"/>
          <w:highlight w:val="none"/>
        </w:rPr>
      </w:pPr>
    </w:p>
    <w:p w14:paraId="6EEA3E2F">
      <w:pPr>
        <w:spacing w:line="360" w:lineRule="auto"/>
        <w:ind w:firstLine="420"/>
        <w:rPr>
          <w:rFonts w:ascii="宋体" w:hAnsi="宋体" w:cs="宋体"/>
          <w:color w:val="auto"/>
          <w:szCs w:val="21"/>
          <w:highlight w:val="none"/>
        </w:rPr>
      </w:pPr>
    </w:p>
    <w:p w14:paraId="258014A6">
      <w:pPr>
        <w:spacing w:line="360" w:lineRule="auto"/>
        <w:rPr>
          <w:rFonts w:ascii="宋体" w:hAnsi="宋体" w:cs="宋体"/>
          <w:color w:val="auto"/>
          <w:sz w:val="36"/>
          <w:highlight w:val="none"/>
        </w:rPr>
      </w:pPr>
    </w:p>
    <w:p w14:paraId="6D13BDEE">
      <w:pPr>
        <w:spacing w:line="360" w:lineRule="auto"/>
        <w:ind w:firstLine="422"/>
        <w:rPr>
          <w:rFonts w:ascii="宋体" w:hAnsi="宋体" w:cs="宋体"/>
          <w:b/>
          <w:bCs/>
          <w:color w:val="auto"/>
          <w:szCs w:val="21"/>
          <w:highlight w:val="none"/>
        </w:rPr>
      </w:pPr>
    </w:p>
    <w:p w14:paraId="51725E1F">
      <w:pPr>
        <w:spacing w:line="360" w:lineRule="auto"/>
        <w:ind w:firstLine="422"/>
        <w:rPr>
          <w:rFonts w:ascii="宋体" w:hAnsi="宋体" w:cs="宋体"/>
          <w:b/>
          <w:bCs/>
          <w:color w:val="auto"/>
          <w:szCs w:val="21"/>
          <w:highlight w:val="none"/>
        </w:rPr>
      </w:pPr>
    </w:p>
    <w:p w14:paraId="4938B584">
      <w:pPr>
        <w:spacing w:line="360" w:lineRule="auto"/>
        <w:ind w:firstLine="422"/>
        <w:rPr>
          <w:rFonts w:ascii="宋体" w:hAnsi="宋体" w:cs="宋体"/>
          <w:b/>
          <w:bCs/>
          <w:color w:val="auto"/>
          <w:szCs w:val="21"/>
          <w:highlight w:val="none"/>
        </w:rPr>
      </w:pPr>
    </w:p>
    <w:p w14:paraId="2F26816D">
      <w:pPr>
        <w:spacing w:line="360" w:lineRule="auto"/>
        <w:ind w:firstLine="422"/>
        <w:rPr>
          <w:rFonts w:ascii="宋体" w:hAnsi="宋体" w:cs="宋体"/>
          <w:b/>
          <w:bCs/>
          <w:color w:val="auto"/>
          <w:szCs w:val="21"/>
          <w:highlight w:val="none"/>
        </w:rPr>
      </w:pPr>
    </w:p>
    <w:p w14:paraId="03C62694">
      <w:pPr>
        <w:spacing w:line="360" w:lineRule="auto"/>
        <w:ind w:firstLine="422"/>
        <w:rPr>
          <w:rFonts w:ascii="宋体" w:hAnsi="宋体" w:cs="宋体"/>
          <w:b/>
          <w:bCs/>
          <w:color w:val="auto"/>
          <w:szCs w:val="21"/>
          <w:highlight w:val="none"/>
        </w:rPr>
      </w:pPr>
    </w:p>
    <w:p w14:paraId="5BF0C258">
      <w:pPr>
        <w:spacing w:line="312" w:lineRule="auto"/>
        <w:ind w:firstLine="422"/>
        <w:jc w:val="center"/>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4F4B9986">
      <w:pPr>
        <w:spacing w:line="312" w:lineRule="auto"/>
        <w:ind w:firstLine="422"/>
        <w:jc w:val="center"/>
        <w:rPr>
          <w:rFonts w:ascii="宋体" w:hAnsi="宋体" w:cs="宋体"/>
          <w:b/>
          <w:bCs/>
          <w:color w:val="auto"/>
          <w:sz w:val="36"/>
          <w:szCs w:val="36"/>
          <w:highlight w:val="none"/>
        </w:rPr>
      </w:pPr>
      <w:r>
        <w:rPr>
          <w:rFonts w:hint="eastAsia" w:ascii="宋体" w:hAnsi="宋体" w:cs="宋体"/>
          <w:b/>
          <w:bCs/>
          <w:color w:val="auto"/>
          <w:sz w:val="32"/>
          <w:szCs w:val="32"/>
          <w:highlight w:val="none"/>
        </w:rPr>
        <w:t>廉洁协议书</w:t>
      </w:r>
    </w:p>
    <w:p w14:paraId="40A0D083">
      <w:pPr>
        <w:spacing w:line="312" w:lineRule="auto"/>
        <w:ind w:firstLine="420"/>
        <w:rPr>
          <w:rFonts w:ascii="宋体" w:hAnsi="宋体" w:cs="宋体"/>
          <w:b/>
          <w:color w:val="auto"/>
          <w:szCs w:val="21"/>
          <w:highlight w:val="none"/>
        </w:rPr>
      </w:pPr>
      <w:r>
        <w:rPr>
          <w:rFonts w:hint="eastAsia" w:ascii="宋体" w:hAnsi="宋体" w:cs="宋体"/>
          <w:color w:val="auto"/>
          <w:szCs w:val="21"/>
          <w:highlight w:val="none"/>
        </w:rPr>
        <w:t>发包人名称:</w:t>
      </w:r>
      <w:r>
        <w:rPr>
          <w:rFonts w:hint="eastAsia" w:ascii="宋体" w:hAnsi="宋体" w:cs="宋体"/>
          <w:b/>
          <w:color w:val="auto"/>
          <w:szCs w:val="21"/>
          <w:highlight w:val="none"/>
        </w:rPr>
        <w:t>扬州大学附属医院</w:t>
      </w:r>
    </w:p>
    <w:p w14:paraId="2A045E9C">
      <w:pPr>
        <w:spacing w:line="312" w:lineRule="auto"/>
        <w:ind w:firstLine="420"/>
        <w:contextualSpacing/>
        <w:rPr>
          <w:rFonts w:ascii="宋体" w:hAnsi="宋体" w:cs="宋体"/>
          <w:b/>
          <w:color w:val="auto"/>
          <w:szCs w:val="21"/>
          <w:highlight w:val="none"/>
        </w:rPr>
      </w:pPr>
      <w:r>
        <w:rPr>
          <w:rFonts w:hint="eastAsia" w:ascii="宋体" w:hAnsi="宋体" w:cs="宋体"/>
          <w:color w:val="auto"/>
          <w:szCs w:val="21"/>
          <w:highlight w:val="none"/>
        </w:rPr>
        <w:t>承包人名称:</w:t>
      </w:r>
    </w:p>
    <w:p w14:paraId="2E152FD9">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双方订立、履行合同过程中，为保持廉洁自律的工作作风，防止各种不正当行为的发生，</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双方订立协议如下：</w:t>
      </w:r>
    </w:p>
    <w:p w14:paraId="11703916">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双方应当自觉遵守国家、地方法律法规以及本合同的约定，在合同的订立、履行过程中廉洁自律。</w:t>
      </w:r>
    </w:p>
    <w:p w14:paraId="5928492D">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工作人员严禁进行商业目的的统方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不得对外泄露涉及业务或个人的隐私数据</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不得违规规提供医疗机构内未公开的数据、患者用药化验检查诊疗等信息</w:t>
      </w:r>
      <w:r>
        <w:rPr>
          <w:rFonts w:hint="eastAsia" w:ascii="宋体" w:hAnsi="宋体" w:cs="宋体"/>
          <w:color w:val="auto"/>
          <w:szCs w:val="21"/>
          <w:highlight w:val="none"/>
        </w:rPr>
        <w:t>。</w:t>
      </w:r>
    </w:p>
    <w:p w14:paraId="7FA5D50A">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三、</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工作人员应当保持与</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方的正常业务交往，不得以任何形式向</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方索要和收受个人回扣等好处费</w:t>
      </w:r>
      <w:r>
        <w:rPr>
          <w:rFonts w:hint="eastAsia" w:ascii="宋体" w:hAnsi="宋体" w:cs="宋体"/>
          <w:color w:val="auto"/>
          <w:szCs w:val="21"/>
          <w:highlight w:val="none"/>
          <w:lang w:eastAsia="zh-CN"/>
        </w:rPr>
        <w:t>，</w:t>
      </w:r>
      <w:r>
        <w:rPr>
          <w:rFonts w:hint="eastAsia" w:ascii="宋体" w:hAnsi="宋体" w:cs="宋体"/>
          <w:color w:val="auto"/>
          <w:szCs w:val="21"/>
          <w:highlight w:val="none"/>
        </w:rPr>
        <w:t>不得接受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w:t>
      </w:r>
      <w:r>
        <w:rPr>
          <w:rFonts w:hint="eastAsia" w:ascii="宋体" w:hAnsi="宋体" w:cs="宋体"/>
          <w:color w:val="auto"/>
          <w:szCs w:val="21"/>
          <w:highlight w:val="none"/>
          <w:lang w:val="en-US" w:eastAsia="zh-CN"/>
        </w:rPr>
        <w:t>或其关联机构</w:t>
      </w:r>
      <w:r>
        <w:rPr>
          <w:rFonts w:hint="eastAsia" w:ascii="宋体" w:hAnsi="宋体" w:cs="宋体"/>
          <w:color w:val="auto"/>
          <w:szCs w:val="21"/>
          <w:highlight w:val="none"/>
        </w:rPr>
        <w:t>的礼金、有价证券和贵重物品。</w:t>
      </w:r>
    </w:p>
    <w:p w14:paraId="741F857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四、</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工作人员不得参加可能对公正开展业务有影响的</w:t>
      </w:r>
      <w:r>
        <w:rPr>
          <w:rFonts w:hint="eastAsia" w:ascii="宋体" w:hAnsi="宋体" w:cs="宋体"/>
          <w:color w:val="auto"/>
          <w:szCs w:val="21"/>
          <w:highlight w:val="none"/>
          <w:lang w:val="en-US" w:eastAsia="zh-CN"/>
        </w:rPr>
        <w:t>宴请、旅游、学习、考察、健身、娱乐活动等，不以讲课费、顾问费、咨询费、课题费等名义牟取高额利益，不违规在对方机构等兼（任）职并取酬，不利用职权为本人及特定关系人经商办企业提供便利条件。</w:t>
      </w:r>
    </w:p>
    <w:p w14:paraId="4974A58F">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五、</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工作人员不得要求或者接受</w:t>
      </w:r>
      <w:r>
        <w:rPr>
          <w:rFonts w:hint="eastAsia" w:ascii="宋体" w:hAnsi="宋体" w:cs="宋体"/>
          <w:color w:val="auto"/>
          <w:szCs w:val="21"/>
          <w:highlight w:val="none"/>
          <w:lang w:val="en-US" w:eastAsia="zh-CN"/>
        </w:rPr>
        <w:t>合作</w:t>
      </w:r>
      <w:r>
        <w:rPr>
          <w:rFonts w:hint="eastAsia" w:ascii="宋体" w:hAnsi="宋体" w:cs="宋体"/>
          <w:color w:val="auto"/>
          <w:szCs w:val="21"/>
          <w:highlight w:val="none"/>
        </w:rPr>
        <w:t>方为其住房装修、婚丧嫁娶、家属和子女的工作安排以及出国等提供方便。不得接受</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工作人员介绍的家属</w:t>
      </w:r>
      <w:r>
        <w:rPr>
          <w:rFonts w:hint="eastAsia" w:ascii="宋体" w:hAnsi="宋体" w:cs="宋体"/>
          <w:color w:val="auto"/>
          <w:szCs w:val="21"/>
          <w:highlight w:val="none"/>
          <w:lang w:eastAsia="zh-CN"/>
        </w:rPr>
        <w:t>、</w:t>
      </w:r>
      <w:r>
        <w:rPr>
          <w:rFonts w:hint="eastAsia" w:ascii="宋体" w:hAnsi="宋体" w:cs="宋体"/>
          <w:color w:val="auto"/>
          <w:szCs w:val="21"/>
          <w:highlight w:val="none"/>
        </w:rPr>
        <w:t>亲友</w:t>
      </w:r>
      <w:r>
        <w:rPr>
          <w:rFonts w:hint="eastAsia" w:ascii="宋体" w:hAnsi="宋体" w:cs="宋体"/>
          <w:color w:val="auto"/>
          <w:szCs w:val="21"/>
          <w:highlight w:val="none"/>
          <w:lang w:val="en-US" w:eastAsia="zh-CN"/>
        </w:rPr>
        <w:t>等关系人</w:t>
      </w:r>
      <w:r>
        <w:rPr>
          <w:rFonts w:hint="eastAsia" w:ascii="宋体" w:hAnsi="宋体" w:cs="宋体"/>
          <w:color w:val="auto"/>
          <w:szCs w:val="21"/>
          <w:highlight w:val="none"/>
        </w:rPr>
        <w:t>从事与合同相关的业务。</w:t>
      </w:r>
    </w:p>
    <w:p w14:paraId="54733251">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六、</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103F1942">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七、</w:t>
      </w:r>
      <w:r>
        <w:rPr>
          <w:rFonts w:hint="eastAsia" w:ascii="宋体" w:hAnsi="宋体" w:cs="宋体"/>
          <w:color w:val="auto"/>
          <w:szCs w:val="21"/>
          <w:highlight w:val="none"/>
          <w:lang w:eastAsia="zh-CN"/>
        </w:rPr>
        <w:t>发包人承包人</w:t>
      </w:r>
      <w:r>
        <w:rPr>
          <w:rFonts w:hint="eastAsia" w:ascii="宋体" w:hAnsi="宋体" w:cs="宋体"/>
          <w:color w:val="auto"/>
          <w:szCs w:val="21"/>
          <w:highlight w:val="none"/>
        </w:rPr>
        <w:t>双</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不得</w:t>
      </w:r>
      <w:r>
        <w:rPr>
          <w:rFonts w:hint="eastAsia" w:ascii="宋体" w:hAnsi="宋体" w:cs="宋体"/>
          <w:color w:val="auto"/>
          <w:szCs w:val="21"/>
          <w:highlight w:val="none"/>
          <w:lang w:val="en-US" w:eastAsia="zh-CN"/>
        </w:rPr>
        <w:t>采用任何方式向对方索要、摊派或者变相摊派捐赠，不违规接受与医院采购、知识产权、科研成果、行业数据及信息等权利和主张相关的捐赠。</w:t>
      </w:r>
    </w:p>
    <w:p w14:paraId="58C1C8B5">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八、如发现工作人员有违反</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述合同者，应向</w:t>
      </w:r>
      <w:r>
        <w:rPr>
          <w:rFonts w:hint="eastAsia" w:ascii="宋体" w:hAnsi="宋体" w:cs="宋体"/>
          <w:color w:val="auto"/>
          <w:szCs w:val="21"/>
          <w:highlight w:val="none"/>
          <w:lang w:val="en-US" w:eastAsia="zh-CN"/>
        </w:rPr>
        <w:t>医院纪检部门举报（医院</w:t>
      </w:r>
      <w:r>
        <w:rPr>
          <w:rFonts w:hint="eastAsia" w:ascii="宋体" w:hAnsi="宋体" w:cs="宋体"/>
          <w:color w:val="auto"/>
          <w:szCs w:val="21"/>
          <w:highlight w:val="none"/>
        </w:rPr>
        <w:t>举报接待部门：纪委办公室：举报电话：87907263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"https://yangzhouyiyuan.com/infoSon/17/19/26"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yyyjcs@126.com</w:t>
      </w:r>
      <w:r>
        <w:rPr>
          <w:rFonts w:hint="eastAsia" w:ascii="宋体" w:hAnsi="宋体" w:cs="宋体"/>
          <w:color w:val="auto"/>
          <w:szCs w:val="21"/>
          <w:highlight w:val="none"/>
        </w:rPr>
        <w:fldChar w:fldCharType="end"/>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被投诉</w:t>
      </w:r>
      <w:r>
        <w:rPr>
          <w:rFonts w:hint="eastAsia" w:ascii="宋体" w:hAnsi="宋体" w:cs="宋体"/>
          <w:color w:val="auto"/>
          <w:szCs w:val="21"/>
          <w:highlight w:val="none"/>
        </w:rPr>
        <w:t>方不得找任何借口对</w:t>
      </w:r>
      <w:r>
        <w:rPr>
          <w:rFonts w:hint="eastAsia" w:ascii="宋体" w:hAnsi="宋体" w:cs="宋体"/>
          <w:color w:val="auto"/>
          <w:szCs w:val="21"/>
          <w:highlight w:val="none"/>
          <w:lang w:val="en-US" w:eastAsia="zh-CN"/>
        </w:rPr>
        <w:t>投诉人进行</w:t>
      </w:r>
      <w:r>
        <w:rPr>
          <w:rFonts w:hint="eastAsia" w:ascii="宋体" w:hAnsi="宋体" w:cs="宋体"/>
          <w:color w:val="auto"/>
          <w:szCs w:val="21"/>
          <w:highlight w:val="none"/>
        </w:rPr>
        <w:t>报复。</w:t>
      </w:r>
    </w:p>
    <w:p w14:paraId="496C5B17">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九、</w:t>
      </w:r>
      <w:r>
        <w:rPr>
          <w:rFonts w:hint="eastAsia" w:ascii="宋体" w:hAnsi="宋体" w:cs="宋体"/>
          <w:color w:val="auto"/>
          <w:szCs w:val="21"/>
          <w:highlight w:val="none"/>
          <w:lang w:val="en-US" w:eastAsia="zh-CN"/>
        </w:rPr>
        <w:t>任何一方发现对方</w:t>
      </w:r>
      <w:r>
        <w:rPr>
          <w:rFonts w:hint="eastAsia" w:ascii="宋体" w:hAnsi="宋体" w:cs="宋体"/>
          <w:color w:val="auto"/>
          <w:szCs w:val="21"/>
          <w:highlight w:val="none"/>
        </w:rPr>
        <w:t>有违反本合同或者采用不正当的手段行贿</w:t>
      </w:r>
      <w:r>
        <w:rPr>
          <w:rFonts w:hint="eastAsia" w:ascii="宋体" w:hAnsi="宋体" w:cs="宋体"/>
          <w:color w:val="auto"/>
          <w:szCs w:val="21"/>
          <w:highlight w:val="none"/>
          <w:lang w:val="en-US" w:eastAsia="zh-CN"/>
        </w:rPr>
        <w:t>合作方</w:t>
      </w:r>
      <w:r>
        <w:rPr>
          <w:rFonts w:hint="eastAsia" w:ascii="宋体" w:hAnsi="宋体" w:cs="宋体"/>
          <w:color w:val="auto"/>
          <w:szCs w:val="21"/>
          <w:highlight w:val="none"/>
        </w:rPr>
        <w:t>工作人员等不正当竞争行为的，有权解除合同。</w:t>
      </w:r>
    </w:p>
    <w:p w14:paraId="552B2CAC">
      <w:pPr>
        <w:keepNext w:val="0"/>
        <w:keepLines w:val="0"/>
        <w:pageBreakBefore w:val="0"/>
        <w:widowControl w:val="0"/>
        <w:kinsoku/>
        <w:wordWrap/>
        <w:overflowPunct/>
        <w:topLinePunct w:val="0"/>
        <w:bidi w:val="0"/>
        <w:spacing w:line="264" w:lineRule="auto"/>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十、本廉洁协议作为合同的附件，与合同具有同等法律效力。经合同双方签署后立即生效。</w:t>
      </w:r>
    </w:p>
    <w:p w14:paraId="526D1C06">
      <w:pPr>
        <w:pStyle w:val="79"/>
        <w:spacing w:before="0" w:after="0" w:line="312" w:lineRule="auto"/>
        <w:ind w:left="0" w:right="0" w:firstLine="420"/>
        <w:contextualSpacing/>
        <w:rPr>
          <w:rFonts w:hint="eastAsia" w:ascii="宋体" w:hAnsi="宋体" w:cs="宋体"/>
          <w:color w:val="auto"/>
          <w:szCs w:val="21"/>
          <w:highlight w:val="none"/>
        </w:rPr>
      </w:pPr>
      <w:r>
        <w:rPr>
          <w:rFonts w:hint="eastAsia" w:ascii="宋体" w:hAnsi="宋体" w:cs="宋体"/>
          <w:color w:val="auto"/>
          <w:szCs w:val="21"/>
          <w:highlight w:val="none"/>
        </w:rPr>
        <w:t>十一、本协议一式伍份，发包人方执叁份，承包人方执贰份，从签订之日起生效。</w:t>
      </w:r>
    </w:p>
    <w:p w14:paraId="05F0B21A">
      <w:pPr>
        <w:pStyle w:val="79"/>
        <w:spacing w:before="0" w:after="0" w:line="312" w:lineRule="auto"/>
        <w:ind w:left="0" w:right="0" w:firstLine="420"/>
        <w:contextualSpacing/>
        <w:rPr>
          <w:rFonts w:hint="eastAsia" w:ascii="宋体" w:hAnsi="宋体" w:cs="宋体"/>
          <w:color w:val="auto"/>
          <w:szCs w:val="21"/>
          <w:highlight w:val="none"/>
        </w:rPr>
      </w:pPr>
    </w:p>
    <w:p w14:paraId="0466D19C">
      <w:pPr>
        <w:pStyle w:val="79"/>
        <w:spacing w:before="0" w:after="0" w:line="312" w:lineRule="auto"/>
        <w:ind w:left="0" w:right="0"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发包人：（盖章）</w:t>
      </w:r>
      <w:r>
        <w:rPr>
          <w:rFonts w:hint="eastAsia" w:ascii="宋体" w:hAnsi="宋体" w:cs="宋体"/>
          <w:b/>
          <w:color w:val="auto"/>
          <w:sz w:val="21"/>
          <w:szCs w:val="21"/>
          <w:highlight w:val="none"/>
        </w:rPr>
        <w:t xml:space="preserve">扬州大学附属医院        </w:t>
      </w:r>
      <w:r>
        <w:rPr>
          <w:rFonts w:hint="eastAsia" w:ascii="宋体" w:hAnsi="宋体" w:cs="宋体"/>
          <w:color w:val="auto"/>
          <w:sz w:val="21"/>
          <w:szCs w:val="21"/>
          <w:highlight w:val="none"/>
        </w:rPr>
        <w:t>承包人：（盖章）</w:t>
      </w:r>
    </w:p>
    <w:p w14:paraId="06EBAA9F">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法定代表人：                            法定代表人：</w:t>
      </w:r>
    </w:p>
    <w:p w14:paraId="26A57D59">
      <w:pPr>
        <w:spacing w:line="312" w:lineRule="auto"/>
        <w:ind w:firstLine="420"/>
        <w:contextualSpacing/>
        <w:rPr>
          <w:rFonts w:ascii="宋体" w:hAnsi="宋体" w:cs="宋体"/>
          <w:bCs/>
          <w:color w:val="auto"/>
          <w:sz w:val="21"/>
          <w:szCs w:val="21"/>
          <w:highlight w:val="none"/>
        </w:rPr>
      </w:pPr>
      <w:r>
        <w:rPr>
          <w:rFonts w:hint="eastAsia" w:ascii="宋体" w:hAnsi="宋体" w:cs="宋体"/>
          <w:color w:val="auto"/>
          <w:sz w:val="21"/>
          <w:szCs w:val="21"/>
          <w:highlight w:val="none"/>
        </w:rPr>
        <w:t>（或授权签约人）：                      （或授权签约人）：</w:t>
      </w:r>
    </w:p>
    <w:p w14:paraId="6B0C8312">
      <w:pPr>
        <w:spacing w:line="312" w:lineRule="auto"/>
        <w:ind w:firstLine="420"/>
        <w:contextualSpacing/>
        <w:rPr>
          <w:rFonts w:ascii="宋体" w:hAnsi="宋体" w:cs="宋体"/>
          <w:b/>
          <w:color w:val="auto"/>
          <w:sz w:val="21"/>
          <w:szCs w:val="21"/>
          <w:highlight w:val="none"/>
        </w:rPr>
      </w:pPr>
      <w:r>
        <w:rPr>
          <w:rFonts w:hint="eastAsia" w:ascii="宋体" w:hAnsi="宋体" w:cs="宋体"/>
          <w:color w:val="auto"/>
          <w:sz w:val="21"/>
          <w:szCs w:val="21"/>
          <w:highlight w:val="none"/>
        </w:rPr>
        <w:t>日期:2026年  月    日                  日期：2026年   月     日</w:t>
      </w:r>
    </w:p>
    <w:p w14:paraId="4736B50F">
      <w:pPr>
        <w:spacing w:line="440" w:lineRule="exact"/>
        <w:contextualSpacing/>
        <w:jc w:val="center"/>
        <w:rPr>
          <w:rFonts w:ascii="宋体" w:hAnsi="宋体" w:cs="宋体"/>
          <w:b/>
          <w:bCs/>
          <w:color w:val="auto"/>
          <w:szCs w:val="21"/>
          <w:highlight w:val="none"/>
        </w:rPr>
      </w:pPr>
      <w:r>
        <w:rPr>
          <w:rFonts w:hint="eastAsia" w:ascii="宋体" w:hAnsi="宋体" w:cs="宋体"/>
          <w:b/>
          <w:bCs/>
          <w:color w:val="auto"/>
          <w:szCs w:val="21"/>
          <w:highlight w:val="none"/>
        </w:rPr>
        <w:br w:type="page" w:clear="all"/>
      </w:r>
    </w:p>
    <w:p w14:paraId="2FC1037D">
      <w:pPr>
        <w:spacing w:line="440" w:lineRule="exact"/>
        <w:contextualSpacing/>
        <w:jc w:val="center"/>
        <w:rPr>
          <w:rFonts w:ascii="宋体" w:hAnsi="宋体" w:cs="宋体"/>
          <w:b/>
          <w:bCs/>
          <w:color w:val="auto"/>
          <w:sz w:val="32"/>
          <w:szCs w:val="32"/>
          <w:highlight w:val="none"/>
        </w:rPr>
      </w:pPr>
    </w:p>
    <w:p w14:paraId="77CAF845">
      <w:pPr>
        <w:spacing w:line="440" w:lineRule="exact"/>
        <w:contextualSpacing/>
        <w:jc w:val="center"/>
        <w:rPr>
          <w:rFonts w:ascii="宋体" w:hAnsi="宋体" w:cs="宋体"/>
          <w:bCs/>
          <w:color w:val="auto"/>
          <w:highlight w:val="none"/>
        </w:rPr>
      </w:pPr>
      <w:r>
        <w:rPr>
          <w:rFonts w:hint="eastAsia" w:ascii="宋体" w:hAnsi="宋体" w:cs="宋体"/>
          <w:b/>
          <w:bCs/>
          <w:color w:val="auto"/>
          <w:sz w:val="32"/>
          <w:szCs w:val="32"/>
          <w:highlight w:val="none"/>
        </w:rPr>
        <w:t>施工单位安全施工承诺书</w:t>
      </w:r>
    </w:p>
    <w:p w14:paraId="1D6AE038">
      <w:pPr>
        <w:spacing w:line="360" w:lineRule="auto"/>
        <w:ind w:firstLine="420"/>
        <w:rPr>
          <w:rFonts w:ascii="宋体" w:hAnsi="宋体" w:cs="宋体"/>
          <w:bCs/>
          <w:color w:val="auto"/>
          <w:highlight w:val="none"/>
        </w:rPr>
      </w:pPr>
      <w:r>
        <w:rPr>
          <w:rFonts w:hint="eastAsia" w:ascii="宋体" w:hAnsi="宋体" w:cs="宋体"/>
          <w:bCs/>
          <w:color w:val="auto"/>
          <w:highlight w:val="none"/>
        </w:rPr>
        <w:t>本单位郑重承诺∶在___________工程施工过程中，严格遵守《中华人民共和国建筑法》、《中华人民共和国安全生产法》、《建设工程安全生产管理条例》、《安全生产许可证条例》、《施工企业安全生产评价标准》、《建筑施工安全检查标准》、《危险性较大的分部分项工程安全管理规定》《建筑工程施工发包与承包违法行为认定查处管理办法》等法律法规规章、规范标准和各项规定。</w:t>
      </w:r>
    </w:p>
    <w:p w14:paraId="70535A64">
      <w:pPr>
        <w:spacing w:line="360" w:lineRule="auto"/>
        <w:ind w:firstLine="420"/>
        <w:rPr>
          <w:rFonts w:ascii="宋体" w:hAnsi="宋体" w:cs="宋体"/>
          <w:bCs/>
          <w:color w:val="auto"/>
          <w:highlight w:val="none"/>
        </w:rPr>
      </w:pPr>
      <w:r>
        <w:rPr>
          <w:rFonts w:hint="eastAsia" w:ascii="宋体" w:hAnsi="宋体" w:cs="宋体"/>
          <w:bCs/>
          <w:color w:val="auto"/>
          <w:highlight w:val="none"/>
        </w:rPr>
        <w:t>建立健全各项安全生产管理体系和安全生产管理责任制，按要求设置安全生产管理机构和配备专职安全管理人员，落实各项安全生产管理制度，保证安全文明施工措施费的投入和使用，编制、审核及实施施工组织设计和专项施工方案，制定和实施安全生产教育培训计划，开展安全生产检查和落实事故隐患整改措施，确保工程建设施工过程中安全生产，依法承担和落实建设工程安全生产主体责任。切实履行总承包单位对施工现场的安全生产负总责的法定义务，决不以包代管，决不违法分包、转包和挂靠，确保工程质量和施工安全。</w:t>
      </w:r>
    </w:p>
    <w:p w14:paraId="05C2E572">
      <w:pPr>
        <w:spacing w:line="360" w:lineRule="auto"/>
        <w:ind w:firstLine="420"/>
        <w:rPr>
          <w:rFonts w:ascii="宋体" w:hAnsi="宋体" w:cs="宋体"/>
          <w:bCs/>
          <w:color w:val="auto"/>
          <w:highlight w:val="none"/>
        </w:rPr>
      </w:pPr>
      <w:r>
        <w:rPr>
          <w:rFonts w:hint="eastAsia" w:ascii="宋体" w:hAnsi="宋体" w:cs="宋体"/>
          <w:bCs/>
          <w:color w:val="auto"/>
          <w:highlight w:val="none"/>
        </w:rPr>
        <w:t>单位法定代表人</w:t>
      </w:r>
      <w:r>
        <w:rPr>
          <w:rFonts w:hint="eastAsia" w:ascii="宋体" w:hAnsi="宋体" w:cs="宋体"/>
          <w:bCs/>
          <w:color w:val="auto"/>
          <w:highlight w:val="none"/>
          <w:u w:val="single"/>
        </w:rPr>
        <w:t xml:space="preserve">_         </w:t>
      </w:r>
      <w:r>
        <w:rPr>
          <w:rFonts w:hint="eastAsia" w:ascii="宋体" w:hAnsi="宋体" w:cs="宋体"/>
          <w:bCs/>
          <w:color w:val="auto"/>
          <w:highlight w:val="none"/>
        </w:rPr>
        <w:t>授权为本工程项目经理。</w:t>
      </w:r>
    </w:p>
    <w:p w14:paraId="51B8BB73">
      <w:pPr>
        <w:spacing w:line="360" w:lineRule="auto"/>
        <w:ind w:firstLine="420"/>
        <w:rPr>
          <w:rFonts w:ascii="宋体" w:hAnsi="宋体" w:cs="宋体"/>
          <w:bCs/>
          <w:color w:val="auto"/>
          <w:highlight w:val="none"/>
        </w:rPr>
      </w:pPr>
      <w:r>
        <w:rPr>
          <w:rFonts w:hint="eastAsia" w:ascii="宋体" w:hAnsi="宋体" w:cs="宋体"/>
          <w:bCs/>
          <w:color w:val="auto"/>
          <w:highlight w:val="none"/>
        </w:rPr>
        <w:t>承诺期内，若违反上述承诺内容，本企业和承诺人愿意接受建设行政主管部门及其他有关部门依据有关法律法规给予的处罚。</w:t>
      </w:r>
    </w:p>
    <w:tbl>
      <w:tblPr>
        <w:tblStyle w:val="30"/>
        <w:tblW w:w="9310" w:type="dxa"/>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22"/>
        <w:gridCol w:w="2200"/>
        <w:gridCol w:w="1734"/>
        <w:gridCol w:w="2754"/>
      </w:tblGrid>
      <w:tr w14:paraId="2A9E5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5A53B2F3">
            <w:pPr>
              <w:pStyle w:val="60"/>
              <w:ind w:firstLine="420"/>
              <w:jc w:val="center"/>
              <w:rPr>
                <w:rFonts w:ascii="宋体" w:hAnsi="宋体" w:cs="宋体"/>
                <w:color w:val="auto"/>
                <w:highlight w:val="none"/>
              </w:rPr>
            </w:pPr>
            <w:r>
              <w:rPr>
                <w:rFonts w:hint="eastAsia" w:ascii="宋体" w:hAnsi="宋体" w:cs="宋体"/>
                <w:color w:val="auto"/>
                <w:highlight w:val="none"/>
              </w:rPr>
              <w:t>法定代表人（签名）</w:t>
            </w:r>
          </w:p>
        </w:tc>
        <w:tc>
          <w:tcPr>
            <w:tcW w:w="2200" w:type="dxa"/>
            <w:noWrap/>
          </w:tcPr>
          <w:p w14:paraId="09765CCA">
            <w:pPr>
              <w:pStyle w:val="60"/>
              <w:ind w:firstLine="420"/>
              <w:jc w:val="center"/>
              <w:rPr>
                <w:rFonts w:ascii="宋体" w:hAnsi="宋体" w:cs="宋体"/>
                <w:color w:val="auto"/>
                <w:highlight w:val="none"/>
              </w:rPr>
            </w:pPr>
          </w:p>
        </w:tc>
        <w:tc>
          <w:tcPr>
            <w:tcW w:w="1734" w:type="dxa"/>
            <w:noWrap/>
          </w:tcPr>
          <w:p w14:paraId="2A2BC77E">
            <w:pPr>
              <w:pStyle w:val="60"/>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70B89880">
            <w:pPr>
              <w:pStyle w:val="60"/>
              <w:ind w:firstLine="420"/>
              <w:jc w:val="center"/>
              <w:rPr>
                <w:rFonts w:ascii="宋体" w:hAnsi="宋体" w:cs="宋体"/>
                <w:color w:val="auto"/>
                <w:highlight w:val="none"/>
              </w:rPr>
            </w:pPr>
          </w:p>
        </w:tc>
      </w:tr>
      <w:tr w14:paraId="41B21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707955FC">
            <w:pPr>
              <w:pStyle w:val="60"/>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65603952">
            <w:pPr>
              <w:pStyle w:val="60"/>
              <w:ind w:firstLine="420"/>
              <w:jc w:val="center"/>
              <w:rPr>
                <w:rFonts w:ascii="宋体" w:hAnsi="宋体" w:cs="宋体"/>
                <w:color w:val="auto"/>
                <w:highlight w:val="none"/>
              </w:rPr>
            </w:pPr>
          </w:p>
        </w:tc>
      </w:tr>
      <w:tr w14:paraId="2750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4D087BA6">
            <w:pPr>
              <w:pStyle w:val="60"/>
              <w:ind w:firstLine="420"/>
              <w:jc w:val="center"/>
              <w:rPr>
                <w:rFonts w:ascii="宋体" w:hAnsi="宋体" w:cs="宋体"/>
                <w:color w:val="auto"/>
                <w:highlight w:val="none"/>
              </w:rPr>
            </w:pPr>
            <w:r>
              <w:rPr>
                <w:rFonts w:hint="eastAsia" w:ascii="宋体" w:hAnsi="宋体" w:cs="宋体"/>
                <w:color w:val="auto"/>
                <w:highlight w:val="none"/>
              </w:rPr>
              <w:t>项目经理（签名）</w:t>
            </w:r>
          </w:p>
        </w:tc>
        <w:tc>
          <w:tcPr>
            <w:tcW w:w="2200" w:type="dxa"/>
            <w:noWrap/>
          </w:tcPr>
          <w:p w14:paraId="21629F1B">
            <w:pPr>
              <w:pStyle w:val="60"/>
              <w:ind w:firstLine="420"/>
              <w:jc w:val="center"/>
              <w:rPr>
                <w:rFonts w:ascii="宋体" w:hAnsi="宋体" w:cs="宋体"/>
                <w:color w:val="auto"/>
                <w:highlight w:val="none"/>
              </w:rPr>
            </w:pPr>
          </w:p>
        </w:tc>
        <w:tc>
          <w:tcPr>
            <w:tcW w:w="1734" w:type="dxa"/>
            <w:noWrap/>
          </w:tcPr>
          <w:p w14:paraId="5941509B">
            <w:pPr>
              <w:pStyle w:val="60"/>
              <w:ind w:firstLine="420"/>
              <w:jc w:val="center"/>
              <w:rPr>
                <w:rFonts w:ascii="宋体" w:hAnsi="宋体" w:cs="宋体"/>
                <w:color w:val="auto"/>
                <w:highlight w:val="none"/>
              </w:rPr>
            </w:pPr>
            <w:r>
              <w:rPr>
                <w:rFonts w:hint="eastAsia" w:ascii="宋体" w:hAnsi="宋体" w:cs="宋体"/>
                <w:color w:val="auto"/>
                <w:highlight w:val="none"/>
              </w:rPr>
              <w:t>承诺日期</w:t>
            </w:r>
          </w:p>
        </w:tc>
        <w:tc>
          <w:tcPr>
            <w:tcW w:w="2754" w:type="dxa"/>
            <w:noWrap/>
          </w:tcPr>
          <w:p w14:paraId="3CC63467">
            <w:pPr>
              <w:pStyle w:val="60"/>
              <w:ind w:firstLine="420"/>
              <w:jc w:val="center"/>
              <w:rPr>
                <w:rFonts w:ascii="宋体" w:hAnsi="宋体" w:cs="宋体"/>
                <w:color w:val="auto"/>
                <w:highlight w:val="none"/>
              </w:rPr>
            </w:pPr>
          </w:p>
        </w:tc>
      </w:tr>
      <w:tr w14:paraId="2D42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22" w:type="dxa"/>
            <w:noWrap/>
          </w:tcPr>
          <w:p w14:paraId="3680FCE8">
            <w:pPr>
              <w:pStyle w:val="60"/>
              <w:ind w:firstLine="420"/>
              <w:jc w:val="center"/>
              <w:rPr>
                <w:rFonts w:ascii="宋体" w:hAnsi="宋体" w:cs="宋体"/>
                <w:color w:val="auto"/>
                <w:highlight w:val="none"/>
              </w:rPr>
            </w:pPr>
            <w:r>
              <w:rPr>
                <w:rFonts w:hint="eastAsia" w:ascii="宋体" w:hAnsi="宋体" w:cs="宋体"/>
                <w:color w:val="auto"/>
                <w:highlight w:val="none"/>
              </w:rPr>
              <w:t>联系方式</w:t>
            </w:r>
          </w:p>
        </w:tc>
        <w:tc>
          <w:tcPr>
            <w:tcW w:w="6688" w:type="dxa"/>
            <w:gridSpan w:val="3"/>
            <w:noWrap/>
          </w:tcPr>
          <w:p w14:paraId="30D2BD43">
            <w:pPr>
              <w:pStyle w:val="60"/>
              <w:ind w:firstLine="420"/>
              <w:jc w:val="center"/>
              <w:rPr>
                <w:rFonts w:ascii="宋体" w:hAnsi="宋体" w:cs="宋体"/>
                <w:color w:val="auto"/>
                <w:highlight w:val="none"/>
              </w:rPr>
            </w:pPr>
          </w:p>
        </w:tc>
      </w:tr>
    </w:tbl>
    <w:p w14:paraId="653CB522">
      <w:pPr>
        <w:spacing w:line="460" w:lineRule="exact"/>
        <w:ind w:firstLine="735" w:firstLineChars="350"/>
        <w:jc w:val="right"/>
        <w:outlineLvl w:val="1"/>
        <w:rPr>
          <w:rFonts w:ascii="宋体" w:hAnsi="宋体" w:cs="宋体"/>
          <w:color w:val="auto"/>
          <w:szCs w:val="21"/>
          <w:highlight w:val="none"/>
          <w:u w:val="single"/>
        </w:rPr>
      </w:pPr>
      <w:r>
        <w:rPr>
          <w:rFonts w:hint="eastAsia" w:ascii="宋体" w:hAnsi="宋体" w:cs="宋体"/>
          <w:color w:val="auto"/>
          <w:highlight w:val="none"/>
        </w:rPr>
        <w:t>（单位公章）</w:t>
      </w:r>
    </w:p>
    <w:p w14:paraId="1F941547">
      <w:pPr>
        <w:spacing w:line="460" w:lineRule="exact"/>
        <w:ind w:firstLine="735" w:firstLineChars="350"/>
        <w:outlineLvl w:val="1"/>
        <w:rPr>
          <w:rFonts w:ascii="宋体" w:hAnsi="宋体" w:cs="宋体"/>
          <w:color w:val="auto"/>
          <w:szCs w:val="21"/>
          <w:highlight w:val="none"/>
          <w:u w:val="single"/>
        </w:rPr>
      </w:pPr>
    </w:p>
    <w:p w14:paraId="3C6BE80A">
      <w:pPr>
        <w:spacing w:line="460" w:lineRule="exact"/>
        <w:ind w:firstLine="735" w:firstLineChars="350"/>
        <w:outlineLvl w:val="1"/>
        <w:rPr>
          <w:rFonts w:ascii="宋体" w:hAnsi="宋体" w:cs="宋体"/>
          <w:color w:val="auto"/>
          <w:szCs w:val="21"/>
          <w:highlight w:val="none"/>
          <w:u w:val="single"/>
        </w:rPr>
      </w:pPr>
    </w:p>
    <w:p w14:paraId="45128DE5">
      <w:pPr>
        <w:spacing w:line="460" w:lineRule="exact"/>
        <w:ind w:firstLine="735" w:firstLineChars="350"/>
        <w:outlineLvl w:val="1"/>
        <w:rPr>
          <w:rFonts w:ascii="宋体" w:hAnsi="宋体" w:cs="宋体"/>
          <w:color w:val="auto"/>
          <w:szCs w:val="21"/>
          <w:highlight w:val="none"/>
          <w:u w:val="single"/>
        </w:rPr>
      </w:pPr>
    </w:p>
    <w:p w14:paraId="41FC5DDC">
      <w:pPr>
        <w:spacing w:line="460" w:lineRule="exact"/>
        <w:ind w:firstLine="735" w:firstLineChars="350"/>
        <w:outlineLvl w:val="1"/>
        <w:rPr>
          <w:rFonts w:ascii="宋体" w:hAnsi="宋体" w:cs="宋体"/>
          <w:color w:val="auto"/>
          <w:szCs w:val="21"/>
          <w:highlight w:val="none"/>
          <w:u w:val="single"/>
        </w:rPr>
      </w:pPr>
    </w:p>
    <w:p w14:paraId="70A81FA8">
      <w:pPr>
        <w:spacing w:line="460" w:lineRule="exact"/>
        <w:ind w:firstLine="735" w:firstLineChars="350"/>
        <w:outlineLvl w:val="1"/>
        <w:rPr>
          <w:rFonts w:ascii="宋体" w:hAnsi="宋体" w:cs="宋体"/>
          <w:color w:val="auto"/>
          <w:szCs w:val="21"/>
          <w:highlight w:val="none"/>
          <w:u w:val="single"/>
        </w:rPr>
      </w:pPr>
    </w:p>
    <w:p w14:paraId="78A625AF">
      <w:pPr>
        <w:spacing w:line="460" w:lineRule="exact"/>
        <w:ind w:firstLine="735" w:firstLineChars="350"/>
        <w:outlineLvl w:val="1"/>
        <w:rPr>
          <w:rFonts w:ascii="宋体" w:hAnsi="宋体" w:cs="宋体"/>
          <w:color w:val="auto"/>
          <w:szCs w:val="21"/>
          <w:highlight w:val="none"/>
          <w:u w:val="single"/>
        </w:rPr>
      </w:pPr>
    </w:p>
    <w:bookmarkEnd w:id="119"/>
    <w:bookmarkEnd w:id="120"/>
    <w:bookmarkEnd w:id="121"/>
    <w:bookmarkEnd w:id="122"/>
    <w:p w14:paraId="0FE1BFE4">
      <w:pPr>
        <w:pStyle w:val="2"/>
        <w:jc w:val="center"/>
        <w:rPr>
          <w:color w:val="auto"/>
          <w:highlight w:val="none"/>
        </w:rPr>
      </w:pPr>
      <w:bookmarkStart w:id="123" w:name="_Toc2329"/>
      <w:r>
        <w:rPr>
          <w:color w:val="auto"/>
          <w:highlight w:val="none"/>
        </w:rPr>
        <w:t>第四章 项目需求</w:t>
      </w:r>
      <w:bookmarkEnd w:id="118"/>
      <w:bookmarkEnd w:id="123"/>
    </w:p>
    <w:p w14:paraId="44E0B3CC">
      <w:pPr>
        <w:spacing w:line="360" w:lineRule="auto"/>
        <w:ind w:firstLine="422" w:firstLineChars="200"/>
        <w:rPr>
          <w:b/>
          <w:strike/>
          <w:color w:val="auto"/>
          <w:szCs w:val="21"/>
          <w:highlight w:val="none"/>
        </w:rPr>
      </w:pPr>
      <w:r>
        <w:rPr>
          <w:rFonts w:hint="eastAsia" w:ascii="宋体" w:hAnsi="宋体" w:cs="宋体"/>
          <w:b/>
          <w:bCs/>
          <w:i/>
          <w:iCs/>
          <w:color w:val="auto"/>
          <w:szCs w:val="21"/>
          <w:highlight w:val="none"/>
          <w:u w:val="single"/>
        </w:rPr>
        <w:t>本磋商文件中斜体下划线部分为实质性响应条件，为必须遵守的条件，如不满足将作无效响应文件处理。</w:t>
      </w:r>
    </w:p>
    <w:p w14:paraId="248007F3">
      <w:pPr>
        <w:spacing w:line="360" w:lineRule="auto"/>
        <w:ind w:firstLine="422"/>
        <w:rPr>
          <w:rFonts w:ascii="宋体" w:hAnsi="宋体"/>
          <w:b/>
          <w:color w:val="000000"/>
          <w:highlight w:val="none"/>
        </w:rPr>
      </w:pPr>
      <w:bookmarkStart w:id="124" w:name="OLE_LINK1"/>
      <w:bookmarkStart w:id="125" w:name="OLE_LINK7"/>
      <w:bookmarkStart w:id="126" w:name="OLE_LINK5"/>
      <w:bookmarkStart w:id="127" w:name="OLE_LINK8"/>
      <w:bookmarkStart w:id="128" w:name="OLE_LINK6"/>
      <w:r>
        <w:rPr>
          <w:rFonts w:hint="eastAsia" w:ascii="宋体" w:hAnsi="宋体"/>
          <w:b/>
          <w:color w:val="000000"/>
          <w:highlight w:val="none"/>
        </w:rPr>
        <w:t>一、工程概况</w:t>
      </w:r>
    </w:p>
    <w:bookmarkEnd w:id="124"/>
    <w:p w14:paraId="7840942F">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1、项目名称：</w:t>
      </w:r>
      <w:r>
        <w:rPr>
          <w:rFonts w:hint="eastAsia" w:ascii="宋体" w:hAnsi="宋体" w:cs="宋体"/>
          <w:color w:val="000000"/>
          <w:highlight w:val="none"/>
          <w:lang w:eastAsia="zh-CN"/>
        </w:rPr>
        <w:t>扬州大学附属医院科教综合楼</w:t>
      </w:r>
      <w:r>
        <w:rPr>
          <w:rFonts w:hint="eastAsia" w:ascii="宋体" w:hAnsi="宋体" w:cs="宋体"/>
          <w:color w:val="000000"/>
          <w:highlight w:val="none"/>
          <w:lang w:val="en-US" w:eastAsia="zh-CN"/>
        </w:rPr>
        <w:t>医学</w:t>
      </w:r>
      <w:r>
        <w:rPr>
          <w:rFonts w:hint="eastAsia" w:ascii="宋体" w:hAnsi="宋体" w:cs="宋体"/>
          <w:color w:val="000000"/>
          <w:highlight w:val="none"/>
          <w:lang w:eastAsia="zh-CN"/>
        </w:rPr>
        <w:t>检验科</w:t>
      </w:r>
      <w:r>
        <w:rPr>
          <w:rFonts w:hint="eastAsia" w:ascii="宋体" w:hAnsi="宋体" w:cs="宋体"/>
          <w:color w:val="000000"/>
          <w:highlight w:val="none"/>
          <w:lang w:val="en-US" w:eastAsia="zh-CN"/>
        </w:rPr>
        <w:t>设置实验室门关</w:t>
      </w:r>
      <w:r>
        <w:rPr>
          <w:rFonts w:hint="eastAsia" w:ascii="宋体" w:hAnsi="宋体" w:cs="宋体"/>
          <w:color w:val="000000"/>
          <w:highlight w:val="none"/>
          <w:lang w:eastAsia="zh-CN"/>
        </w:rPr>
        <w:t>项目</w:t>
      </w:r>
      <w:r>
        <w:rPr>
          <w:rFonts w:hint="eastAsia" w:ascii="宋体" w:hAnsi="宋体" w:eastAsia="宋体" w:cs="宋体"/>
          <w:color w:val="000000"/>
          <w:highlight w:val="none"/>
        </w:rPr>
        <w:t>；</w:t>
      </w:r>
    </w:p>
    <w:p w14:paraId="094DDA8D">
      <w:pPr>
        <w:spacing w:line="360" w:lineRule="auto"/>
        <w:ind w:firstLine="420"/>
        <w:rPr>
          <w:rFonts w:hint="eastAsia" w:ascii="宋体" w:hAnsi="宋体" w:eastAsia="宋体" w:cs="Times New Roman"/>
          <w:color w:val="000000"/>
          <w:highlight w:val="none"/>
        </w:rPr>
      </w:pPr>
      <w:r>
        <w:rPr>
          <w:rFonts w:hint="eastAsia" w:ascii="宋体" w:hAnsi="宋体"/>
          <w:color w:val="000000"/>
          <w:highlight w:val="none"/>
        </w:rPr>
        <w:t>2、建设地点：</w:t>
      </w:r>
      <w:r>
        <w:rPr>
          <w:rFonts w:hint="eastAsia" w:ascii="宋体" w:hAnsi="宋体" w:eastAsia="宋体" w:cs="Times New Roman"/>
          <w:color w:val="000000"/>
          <w:highlight w:val="none"/>
        </w:rPr>
        <w:t>扬州大学附属医院</w:t>
      </w:r>
      <w:r>
        <w:rPr>
          <w:rFonts w:hint="eastAsia" w:ascii="宋体" w:hAnsi="宋体" w:eastAsia="宋体" w:cs="Times New Roman"/>
          <w:color w:val="000000"/>
          <w:highlight w:val="none"/>
          <w:lang w:val="en-US" w:eastAsia="zh-CN"/>
        </w:rPr>
        <w:t>科教综合楼6-8层</w:t>
      </w:r>
      <w:r>
        <w:rPr>
          <w:rFonts w:hint="eastAsia" w:ascii="宋体" w:hAnsi="宋体" w:eastAsia="宋体" w:cs="Times New Roman"/>
          <w:color w:val="000000"/>
          <w:highlight w:val="none"/>
        </w:rPr>
        <w:t>；</w:t>
      </w:r>
    </w:p>
    <w:p w14:paraId="0A8C538E">
      <w:pPr>
        <w:spacing w:line="360" w:lineRule="auto"/>
        <w:ind w:firstLine="420"/>
        <w:rPr>
          <w:rFonts w:hint="eastAsia" w:ascii="宋体" w:hAnsi="宋体" w:eastAsia="宋体" w:cs="Times New Roman"/>
          <w:color w:val="000000"/>
          <w:highlight w:val="none"/>
        </w:rPr>
      </w:pPr>
      <w:r>
        <w:rPr>
          <w:rFonts w:hint="eastAsia" w:ascii="宋体" w:hAnsi="宋体" w:eastAsia="宋体" w:cs="Times New Roman"/>
          <w:color w:val="000000"/>
          <w:highlight w:val="none"/>
        </w:rPr>
        <w:t>3、项目概况：</w:t>
      </w:r>
      <w:r>
        <w:rPr>
          <w:rFonts w:hint="eastAsia" w:ascii="宋体" w:hAnsi="宋体" w:eastAsia="宋体" w:cs="Times New Roman"/>
          <w:color w:val="000000"/>
          <w:highlight w:val="none"/>
          <w:lang w:val="en-US" w:eastAsia="zh-CN"/>
        </w:rPr>
        <w:t>科教综合楼6-7层每层增设三道感应门，其中两道双向开启电动感应门（见图1中绿框位置），一道单向开启电动感应门（见图1中蓝框位置）。8层增设一道单向开启电动感应门（见图2红框位置），一道普通对开门（见图2紫框位置）。改造完成后，上述三层将实现清洁区、半污染区、污染区、缓冲区的分隔，满足生物安全实验室分级管理要求。</w:t>
      </w:r>
    </w:p>
    <w:p w14:paraId="79BC8EE1">
      <w:pPr>
        <w:spacing w:line="360" w:lineRule="auto"/>
        <w:ind w:firstLine="420"/>
        <w:rPr>
          <w:rFonts w:hint="eastAsia" w:ascii="宋体" w:hAnsi="宋体"/>
          <w:color w:val="000000"/>
          <w:highlight w:val="none"/>
        </w:rPr>
      </w:pPr>
      <w:r>
        <w:rPr>
          <w:rFonts w:hint="eastAsia" w:ascii="宋体" w:hAnsi="宋体"/>
          <w:color w:val="000000"/>
          <w:highlight w:val="none"/>
        </w:rPr>
        <w:t>4、合同工期：</w:t>
      </w:r>
      <w:r>
        <w:rPr>
          <w:rFonts w:hint="eastAsia" w:ascii="宋体" w:hAnsi="宋体"/>
          <w:color w:val="000000"/>
          <w:highlight w:val="none"/>
          <w:lang w:val="en-US" w:eastAsia="zh-CN"/>
        </w:rPr>
        <w:t>3</w:t>
      </w:r>
      <w:r>
        <w:rPr>
          <w:rFonts w:hint="eastAsia" w:ascii="宋体" w:hAnsi="宋体"/>
          <w:color w:val="000000"/>
          <w:highlight w:val="none"/>
        </w:rPr>
        <w:t>0日历天；成交单位施工期间，不得以材料设备等订货周期不够等借口要求延长工期，必须采取各种措施保质保量坚决完成本次项目。</w:t>
      </w:r>
    </w:p>
    <w:p w14:paraId="2B2E6DCD">
      <w:pPr>
        <w:spacing w:line="360" w:lineRule="auto"/>
        <w:ind w:firstLine="420"/>
        <w:rPr>
          <w:rFonts w:hint="eastAsia" w:ascii="宋体" w:hAnsi="宋体"/>
          <w:color w:val="000000"/>
          <w:highlight w:val="none"/>
        </w:rPr>
      </w:pPr>
      <w:r>
        <w:rPr>
          <w:rFonts w:hint="eastAsia" w:ascii="宋体" w:hAnsi="宋体"/>
          <w:color w:val="000000"/>
          <w:highlight w:val="none"/>
        </w:rPr>
        <w:t>5、施工现场实际情况：投标人自行考虑施工现场施工条件；</w:t>
      </w:r>
    </w:p>
    <w:p w14:paraId="5C2C7987">
      <w:pPr>
        <w:spacing w:line="360" w:lineRule="auto"/>
        <w:ind w:firstLine="420"/>
        <w:rPr>
          <w:rFonts w:hint="eastAsia" w:ascii="宋体" w:hAnsi="宋体"/>
          <w:color w:val="000000"/>
          <w:highlight w:val="none"/>
        </w:rPr>
      </w:pPr>
      <w:r>
        <w:rPr>
          <w:rFonts w:hint="eastAsia" w:ascii="宋体" w:hAnsi="宋体"/>
          <w:color w:val="000000"/>
          <w:highlight w:val="none"/>
        </w:rPr>
        <w:t>6、交通条件：交通便利，有道路通入施工现场；</w:t>
      </w:r>
    </w:p>
    <w:p w14:paraId="1BC07FB2">
      <w:pPr>
        <w:spacing w:line="360" w:lineRule="auto"/>
        <w:ind w:firstLine="420"/>
        <w:rPr>
          <w:rFonts w:hint="eastAsia" w:ascii="宋体" w:hAnsi="宋体"/>
          <w:color w:val="000000"/>
          <w:highlight w:val="none"/>
        </w:rPr>
      </w:pPr>
      <w:r>
        <w:rPr>
          <w:rFonts w:hint="eastAsia" w:ascii="宋体" w:hAnsi="宋体"/>
          <w:color w:val="000000"/>
          <w:highlight w:val="none"/>
        </w:rPr>
        <w:t>7、环境保护要求：必须符合当地环保部门对噪音、粉尘、污水、垃圾的限制或处理的要求。</w:t>
      </w:r>
    </w:p>
    <w:p w14:paraId="46F15844">
      <w:pPr>
        <w:spacing w:line="360" w:lineRule="auto"/>
        <w:ind w:firstLine="422"/>
        <w:rPr>
          <w:rFonts w:hint="eastAsia" w:ascii="宋体" w:hAnsi="宋体" w:eastAsia="宋体" w:cs="宋体"/>
          <w:b/>
          <w:color w:val="000000"/>
          <w:highlight w:val="none"/>
        </w:rPr>
      </w:pPr>
      <w:bookmarkStart w:id="129" w:name="OLE_LINK2"/>
      <w:r>
        <w:rPr>
          <w:rFonts w:ascii="楷体_GB2312" w:hAnsi="Arial" w:eastAsia="楷体_GB2312" w:cs="Times New Roman"/>
          <w:kern w:val="0"/>
          <w:sz w:val="28"/>
          <w:szCs w:val="28"/>
          <w:highlight w:val="none"/>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5641340</wp:posOffset>
                </wp:positionH>
                <wp:positionV relativeFrom="paragraph">
                  <wp:posOffset>1160145</wp:posOffset>
                </wp:positionV>
                <wp:extent cx="288925" cy="356235"/>
                <wp:effectExtent l="25400" t="25400" r="28575" b="37465"/>
                <wp:wrapNone/>
                <wp:docPr id="11" name="矩形 10"/>
                <wp:cNvGraphicFramePr/>
                <a:graphic xmlns:a="http://schemas.openxmlformats.org/drawingml/2006/main">
                  <a:graphicData uri="http://schemas.microsoft.com/office/word/2010/wordprocessingShape">
                    <wps:wsp>
                      <wps:cNvSpPr/>
                      <wps:spPr>
                        <a:xfrm>
                          <a:off x="0" y="0"/>
                          <a:ext cx="288925" cy="356235"/>
                        </a:xfrm>
                        <a:prstGeom prst="rect">
                          <a:avLst/>
                        </a:prstGeom>
                        <a:noFill/>
                        <a:ln w="50800" cap="flat" cmpd="sng" algn="ctr">
                          <a:solidFill>
                            <a:srgbClr val="00B0F0"/>
                          </a:solidFill>
                          <a:prstDash val="solid"/>
                        </a:ln>
                        <a:effectLst/>
                      </wps:spPr>
                      <wps:bodyPr vert="horz" rtlCol="0" anchor="ctr" anchorCtr="0"/>
                    </wps:wsp>
                  </a:graphicData>
                </a:graphic>
              </wp:anchor>
            </w:drawing>
          </mc:Choice>
          <mc:Fallback>
            <w:pict>
              <v:rect id="矩形 10" o:spid="_x0000_s1026" o:spt="1" style="position:absolute;left:0pt;margin-left:444.2pt;margin-top:91.35pt;height:28.05pt;width:22.75pt;z-index:251660288;v-text-anchor:middle;mso-width-relative:page;mso-height-relative:page;" filled="f" stroked="t" coordsize="21600,21600" o:gfxdata="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Hyiz9gAAAALAQAADwAAAAAAAAABACAAAAAiAAAAZHJzL2Rvd25yZXYueG1sUEsBAhQA&#10;FAAAAAgAh07iQFoU4u/yAQAA2AMAAA4AAAAAAAAAAQAgAAAAJwEAAGRycy9lMm9Eb2MueG1sUEsF&#10;BgAAAAAGAAYAWQEAAIsFAAAAAA==&#10;">
                <v:fill on="f" focussize="0,0"/>
                <v:stroke weight="4pt" color="#00B0F0" joinstyle="round"/>
                <v:imagedata o:title=""/>
                <o:lock v:ext="edit" aspectratio="f"/>
              </v:rect>
            </w:pict>
          </mc:Fallback>
        </mc:AlternateContent>
      </w:r>
      <w:r>
        <w:rPr>
          <w:rFonts w:ascii="楷体_GB2312" w:hAnsi="Arial" w:eastAsia="楷体_GB2312" w:cs="Times New Roman"/>
          <w:kern w:val="0"/>
          <w:sz w:val="28"/>
          <w:szCs w:val="28"/>
          <w:highlight w:val="none"/>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1787525</wp:posOffset>
                </wp:positionH>
                <wp:positionV relativeFrom="paragraph">
                  <wp:posOffset>1205230</wp:posOffset>
                </wp:positionV>
                <wp:extent cx="539115" cy="279400"/>
                <wp:effectExtent l="25400" t="25400" r="26035" b="38100"/>
                <wp:wrapNone/>
                <wp:docPr id="6" name="矩形 2"/>
                <wp:cNvGraphicFramePr/>
                <a:graphic xmlns:a="http://schemas.openxmlformats.org/drawingml/2006/main">
                  <a:graphicData uri="http://schemas.microsoft.com/office/word/2010/wordprocessingShape">
                    <wps:wsp>
                      <wps:cNvSpPr/>
                      <wps:spPr>
                        <a:xfrm>
                          <a:off x="0" y="0"/>
                          <a:ext cx="539115" cy="279400"/>
                        </a:xfrm>
                        <a:prstGeom prst="rect">
                          <a:avLst/>
                        </a:prstGeom>
                        <a:noFill/>
                        <a:ln w="50800" cap="flat" cmpd="sng" algn="ctr">
                          <a:solidFill>
                            <a:srgbClr val="00B050"/>
                          </a:solidFill>
                          <a:prstDash val="solid"/>
                        </a:ln>
                        <a:effectLst/>
                      </wps:spPr>
                      <wps:bodyPr vert="horz" rtlCol="0" anchor="ctr" anchorCtr="0"/>
                    </wps:wsp>
                  </a:graphicData>
                </a:graphic>
              </wp:anchor>
            </w:drawing>
          </mc:Choice>
          <mc:Fallback>
            <w:pict>
              <v:rect id="矩形 2" o:spid="_x0000_s1026" o:spt="1" style="position:absolute;left:0pt;margin-left:140.75pt;margin-top:94.9pt;height:22pt;width:42.45pt;z-index:251659264;v-text-anchor:middle;mso-width-relative:page;mso-height-relative:page;" filled="f" stroked="t" coordsize="21600,21600" o:gfxdata="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B6BEE2QAAAAsBAAAPAAAAAAAAAAEAIAAAACIAAABkcnMvZG93bnJldi54bWxQSwEC&#10;FAAUAAAACACHTuJAhNB8Y/MBAADWAwAADgAAAAAAAAABACAAAAAoAQAAZHJzL2Uyb0RvYy54bWxQ&#10;SwUGAAAAAAYABgBZAQAAjQUAAAAA&#10;">
                <v:fill on="f" focussize="0,0"/>
                <v:stroke weight="4pt" color="#00B050" joinstyle="round"/>
                <v:imagedata o:title=""/>
                <o:lock v:ext="edit" aspectratio="f"/>
              </v:rect>
            </w:pict>
          </mc:Fallback>
        </mc:AlternateContent>
      </w:r>
      <w:r>
        <w:rPr>
          <w:rFonts w:ascii="楷体_GB2312" w:hAnsi="Arial" w:eastAsia="楷体_GB2312" w:cs="Times New Roman"/>
          <w:kern w:val="0"/>
          <w:sz w:val="28"/>
          <w:szCs w:val="28"/>
          <w:highlight w:val="none"/>
          <w:lang w:val="en-US" w:eastAsia="zh-CN" w:bidi="ar-SA"/>
        </w:rPr>
        <w:drawing>
          <wp:inline distT="0" distB="0" distL="114300" distR="114300">
            <wp:extent cx="6165215" cy="2625090"/>
            <wp:effectExtent l="0" t="0" r="6985"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6165215" cy="2625090"/>
                    </a:xfrm>
                    <a:prstGeom prst="rect">
                      <a:avLst/>
                    </a:prstGeom>
                  </pic:spPr>
                </pic:pic>
              </a:graphicData>
            </a:graphic>
          </wp:inline>
        </w:drawing>
      </w:r>
    </w:p>
    <w:p w14:paraId="2FCBD1F0">
      <w:pPr>
        <w:spacing w:line="360" w:lineRule="auto"/>
        <w:ind w:firstLine="422"/>
        <w:rPr>
          <w:rFonts w:hint="eastAsia" w:ascii="宋体" w:hAnsi="宋体" w:eastAsia="宋体" w:cs="宋体"/>
          <w:b/>
          <w:color w:val="000000"/>
          <w:highlight w:val="none"/>
        </w:rPr>
      </w:pPr>
    </w:p>
    <w:p w14:paraId="2006A18A">
      <w:pPr>
        <w:widowControl w:val="0"/>
        <w:jc w:val="center"/>
        <w:rPr>
          <w:rFonts w:hint="eastAsia" w:ascii="Cambria" w:hAnsi="Cambria" w:eastAsia="黑体" w:cs="Times New Roman"/>
          <w:kern w:val="2"/>
          <w:sz w:val="20"/>
          <w:szCs w:val="20"/>
          <w:highlight w:val="none"/>
          <w:lang w:val="en-US" w:eastAsia="zh-CN" w:bidi="ar-SA"/>
        </w:rPr>
      </w:pPr>
      <w:r>
        <w:rPr>
          <w:rFonts w:ascii="Cambria" w:hAnsi="Cambria" w:eastAsia="黑体" w:cs="Times New Roman"/>
          <w:kern w:val="2"/>
          <w:sz w:val="20"/>
          <w:szCs w:val="20"/>
          <w:highlight w:val="none"/>
          <w:lang w:val="en-US" w:eastAsia="zh-CN" w:bidi="ar-SA"/>
        </w:rPr>
        <w:t xml:space="preserve">图 </w:t>
      </w:r>
      <w:r>
        <w:rPr>
          <w:rFonts w:ascii="Cambria" w:hAnsi="Cambria" w:eastAsia="黑体" w:cs="Times New Roman"/>
          <w:kern w:val="2"/>
          <w:sz w:val="20"/>
          <w:szCs w:val="20"/>
          <w:highlight w:val="none"/>
          <w:lang w:val="en-US" w:eastAsia="zh-CN" w:bidi="ar-SA"/>
        </w:rPr>
        <w:fldChar w:fldCharType="begin"/>
      </w:r>
      <w:r>
        <w:rPr>
          <w:rFonts w:ascii="Cambria" w:hAnsi="Cambria" w:eastAsia="黑体" w:cs="Times New Roman"/>
          <w:kern w:val="2"/>
          <w:sz w:val="20"/>
          <w:szCs w:val="20"/>
          <w:highlight w:val="none"/>
          <w:lang w:val="en-US" w:eastAsia="zh-CN" w:bidi="ar-SA"/>
        </w:rPr>
        <w:instrText xml:space="preserve"> SEQ 图 \* ARABIC </w:instrText>
      </w:r>
      <w:r>
        <w:rPr>
          <w:rFonts w:ascii="Cambria" w:hAnsi="Cambria" w:eastAsia="黑体" w:cs="Times New Roman"/>
          <w:kern w:val="2"/>
          <w:sz w:val="20"/>
          <w:szCs w:val="20"/>
          <w:highlight w:val="none"/>
          <w:lang w:val="en-US" w:eastAsia="zh-CN" w:bidi="ar-SA"/>
        </w:rPr>
        <w:fldChar w:fldCharType="separate"/>
      </w:r>
      <w:r>
        <w:rPr>
          <w:rFonts w:ascii="Cambria" w:hAnsi="Cambria" w:eastAsia="黑体" w:cs="Times New Roman"/>
          <w:kern w:val="2"/>
          <w:sz w:val="20"/>
          <w:szCs w:val="20"/>
          <w:highlight w:val="none"/>
          <w:lang w:val="en-US" w:eastAsia="zh-CN" w:bidi="ar-SA"/>
        </w:rPr>
        <w:t>1</w:t>
      </w:r>
      <w:r>
        <w:rPr>
          <w:rFonts w:ascii="Cambria" w:hAnsi="Cambria" w:eastAsia="黑体" w:cs="Times New Roman"/>
          <w:kern w:val="2"/>
          <w:sz w:val="20"/>
          <w:szCs w:val="20"/>
          <w:highlight w:val="none"/>
          <w:lang w:val="en-US" w:eastAsia="zh-CN" w:bidi="ar-SA"/>
        </w:rPr>
        <w:fldChar w:fldCharType="end"/>
      </w:r>
      <w:r>
        <w:rPr>
          <w:rFonts w:hint="eastAsia" w:ascii="Cambria" w:hAnsi="Cambria" w:eastAsia="黑体" w:cs="Times New Roman"/>
          <w:kern w:val="2"/>
          <w:sz w:val="20"/>
          <w:szCs w:val="20"/>
          <w:highlight w:val="none"/>
          <w:lang w:val="en-US" w:eastAsia="zh-CN" w:bidi="ar-SA"/>
        </w:rPr>
        <w:t xml:space="preserve"> 6-7层分区门安装示意图</w:t>
      </w:r>
    </w:p>
    <w:p w14:paraId="55B10199">
      <w:pPr>
        <w:spacing w:line="360" w:lineRule="auto"/>
        <w:ind w:firstLine="422"/>
        <w:rPr>
          <w:rFonts w:hint="eastAsia" w:ascii="宋体" w:hAnsi="宋体" w:eastAsia="宋体" w:cs="宋体"/>
          <w:b/>
          <w:color w:val="000000"/>
          <w:highlight w:val="none"/>
        </w:rPr>
      </w:pPr>
      <w:r>
        <w:rPr>
          <w:rFonts w:hint="eastAsia" w:ascii="宋体" w:hAnsi="宋体" w:cs="宋体"/>
          <w:b/>
          <w:color w:val="000000"/>
          <w:highlight w:val="none"/>
          <w:lang w:val="en-US" w:eastAsia="zh-CN"/>
        </w:rPr>
        <mc:AlternateContent>
          <mc:Choice Requires="wps">
            <w:drawing>
              <wp:anchor distT="0" distB="0" distL="114300" distR="114300" simplePos="0" relativeHeight="251662336" behindDoc="0" locked="0" layoutInCell="1" allowOverlap="1">
                <wp:simplePos x="0" y="0"/>
                <wp:positionH relativeFrom="column">
                  <wp:posOffset>5386070</wp:posOffset>
                </wp:positionH>
                <wp:positionV relativeFrom="paragraph">
                  <wp:posOffset>1176655</wp:posOffset>
                </wp:positionV>
                <wp:extent cx="288925" cy="356235"/>
                <wp:effectExtent l="25400" t="25400" r="28575" b="37465"/>
                <wp:wrapNone/>
                <wp:docPr id="7" name="矩形 6"/>
                <wp:cNvGraphicFramePr/>
                <a:graphic xmlns:a="http://schemas.openxmlformats.org/drawingml/2006/main">
                  <a:graphicData uri="http://schemas.microsoft.com/office/word/2010/wordprocessingShape">
                    <wps:wsp>
                      <wps:cNvSpPr/>
                      <wps:spPr>
                        <a:xfrm>
                          <a:off x="0" y="0"/>
                          <a:ext cx="288925" cy="356235"/>
                        </a:xfrm>
                        <a:prstGeom prst="rect">
                          <a:avLst/>
                        </a:prstGeom>
                        <a:noFill/>
                        <a:ln w="50800" cap="flat" cmpd="sng" algn="ctr">
                          <a:solidFill>
                            <a:srgbClr val="FF0000"/>
                          </a:solidFill>
                          <a:prstDash val="solid"/>
                        </a:ln>
                        <a:effectLst/>
                      </wps:spPr>
                      <wps:bodyPr vert="horz" rtlCol="0" anchor="ctr" anchorCtr="0"/>
                    </wps:wsp>
                  </a:graphicData>
                </a:graphic>
              </wp:anchor>
            </w:drawing>
          </mc:Choice>
          <mc:Fallback>
            <w:pict>
              <v:rect id="矩形 6" o:spid="_x0000_s1026" o:spt="1" style="position:absolute;left:0pt;margin-left:424.1pt;margin-top:92.65pt;height:28.05pt;width:22.75pt;z-index:251662336;v-text-anchor:middle;mso-width-relative:page;mso-height-relative:page;" filled="f" stroked="t" coordsize="21600,21600" o:gfxdata="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aRpV2gAAAAsBAAAPAAAAAAAAAAEAIAAAACIAAABkcnMvZG93bnJldi54bWxQSwEC&#10;FAAUAAAACACHTuJA73KVsfIBAADWAwAADgAAAAAAAAABACAAAAApAQAAZHJzL2Uyb0RvYy54bWxQ&#10;SwUGAAAAAAYABgBZAQAAjQUAAAAA&#10;">
                <v:fill on="f" focussize="0,0"/>
                <v:stroke weight="4pt" color="#FF0000" joinstyle="round"/>
                <v:imagedata o:title=""/>
                <o:lock v:ext="edit" aspectratio="f"/>
              </v:rect>
            </w:pict>
          </mc:Fallback>
        </mc:AlternateContent>
      </w:r>
      <w:r>
        <w:rPr>
          <w:rFonts w:hint="eastAsia" w:ascii="宋体" w:hAnsi="宋体" w:cs="宋体"/>
          <w:b/>
          <w:color w:val="000000"/>
          <w:highlight w:val="none"/>
          <w:lang w:val="en-US" w:eastAsia="zh-CN"/>
        </w:rPr>
        <mc:AlternateContent>
          <mc:Choice Requires="wps">
            <w:drawing>
              <wp:anchor distT="0" distB="0" distL="114300" distR="114300" simplePos="0" relativeHeight="251661312" behindDoc="0" locked="0" layoutInCell="1" allowOverlap="1">
                <wp:simplePos x="0" y="0"/>
                <wp:positionH relativeFrom="column">
                  <wp:posOffset>1598295</wp:posOffset>
                </wp:positionH>
                <wp:positionV relativeFrom="paragraph">
                  <wp:posOffset>1216025</wp:posOffset>
                </wp:positionV>
                <wp:extent cx="456565" cy="360045"/>
                <wp:effectExtent l="25400" t="25400" r="32385" b="33655"/>
                <wp:wrapNone/>
                <wp:docPr id="8" name="矩形 5"/>
                <wp:cNvGraphicFramePr/>
                <a:graphic xmlns:a="http://schemas.openxmlformats.org/drawingml/2006/main">
                  <a:graphicData uri="http://schemas.microsoft.com/office/word/2010/wordprocessingShape">
                    <wps:wsp>
                      <wps:cNvSpPr/>
                      <wps:spPr>
                        <a:xfrm>
                          <a:off x="0" y="0"/>
                          <a:ext cx="456565" cy="360045"/>
                        </a:xfrm>
                        <a:prstGeom prst="rect">
                          <a:avLst/>
                        </a:prstGeom>
                        <a:noFill/>
                        <a:ln w="50800" cap="flat" cmpd="sng" algn="ctr">
                          <a:solidFill>
                            <a:srgbClr val="7030A0"/>
                          </a:solidFill>
                          <a:prstDash val="solid"/>
                        </a:ln>
                        <a:effectLst/>
                      </wps:spPr>
                      <wps:bodyPr vert="horz" rtlCol="0" anchor="ctr" anchorCtr="0"/>
                    </wps:wsp>
                  </a:graphicData>
                </a:graphic>
              </wp:anchor>
            </w:drawing>
          </mc:Choice>
          <mc:Fallback>
            <w:pict>
              <v:rect id="矩形 5" o:spid="_x0000_s1026" o:spt="1" style="position:absolute;left:0pt;margin-left:125.85pt;margin-top:95.75pt;height:28.35pt;width:35.95pt;z-index:251661312;v-text-anchor:middle;mso-width-relative:page;mso-height-relative:page;" filled="f" stroked="t" coordsize="21600,21600" o:gfxdata="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tTettkAAAALAQAADwAAAAAAAAABACAAAAAiAAAAZHJzL2Rvd25yZXYueG1sUEsB&#10;AhQAFAAAAAgAh07iQN9h96T0AQAA1gMAAA4AAAAAAAAAAQAgAAAAKAEAAGRycy9lMm9Eb2MueG1s&#10;UEsFBgAAAAAGAAYAWQEAAI4FAAAAAA==&#10;">
                <v:fill on="f" focussize="0,0"/>
                <v:stroke weight="4pt" color="#7030A0" joinstyle="round"/>
                <v:imagedata o:title=""/>
                <o:lock v:ext="edit" aspectratio="f"/>
              </v:rect>
            </w:pict>
          </mc:Fallback>
        </mc:AlternateContent>
      </w:r>
      <w:r>
        <w:rPr>
          <w:rFonts w:ascii="Times New Roman" w:hAnsi="Times New Roman"/>
          <w:highlight w:val="none"/>
        </w:rPr>
        <w:drawing>
          <wp:inline distT="0" distB="0" distL="114300" distR="114300">
            <wp:extent cx="6166485" cy="2624455"/>
            <wp:effectExtent l="0" t="0" r="5715" b="4445"/>
            <wp:docPr id="4" name="图片 3"/>
            <wp:cNvGraphicFramePr/>
            <a:graphic xmlns:a="http://schemas.openxmlformats.org/drawingml/2006/main">
              <a:graphicData uri="http://schemas.openxmlformats.org/drawingml/2006/picture">
                <pic:pic xmlns:pic="http://schemas.openxmlformats.org/drawingml/2006/picture">
                  <pic:nvPicPr>
                    <pic:cNvPr id="4" name="图片 3"/>
                    <pic:cNvPicPr/>
                  </pic:nvPicPr>
                  <pic:blipFill>
                    <a:blip r:embed="rId10"/>
                    <a:stretch>
                      <a:fillRect/>
                    </a:stretch>
                  </pic:blipFill>
                  <pic:spPr>
                    <a:xfrm>
                      <a:off x="0" y="0"/>
                      <a:ext cx="6166485" cy="2624455"/>
                    </a:xfrm>
                    <a:prstGeom prst="rect">
                      <a:avLst/>
                    </a:prstGeom>
                  </pic:spPr>
                </pic:pic>
              </a:graphicData>
            </a:graphic>
          </wp:inline>
        </w:drawing>
      </w:r>
    </w:p>
    <w:p w14:paraId="61C975C4">
      <w:pPr>
        <w:widowControl w:val="0"/>
        <w:jc w:val="center"/>
        <w:rPr>
          <w:rFonts w:hint="eastAsia" w:ascii="Cambria" w:hAnsi="Cambria" w:eastAsia="楷体_GB2312" w:cs="Times New Roman"/>
          <w:kern w:val="2"/>
          <w:sz w:val="20"/>
          <w:szCs w:val="20"/>
          <w:highlight w:val="none"/>
          <w:lang w:val="en-US" w:eastAsia="zh-CN" w:bidi="ar-SA"/>
        </w:rPr>
      </w:pPr>
      <w:r>
        <w:rPr>
          <w:rFonts w:ascii="Cambria" w:hAnsi="Cambria" w:eastAsia="黑体" w:cs="Times New Roman"/>
          <w:kern w:val="2"/>
          <w:sz w:val="20"/>
          <w:szCs w:val="20"/>
          <w:highlight w:val="none"/>
          <w:lang w:val="en-US" w:eastAsia="zh-CN" w:bidi="ar-SA"/>
        </w:rPr>
        <w:t xml:space="preserve">图 </w:t>
      </w:r>
      <w:r>
        <w:rPr>
          <w:rFonts w:ascii="Cambria" w:hAnsi="Cambria" w:eastAsia="黑体" w:cs="Times New Roman"/>
          <w:kern w:val="2"/>
          <w:sz w:val="20"/>
          <w:szCs w:val="20"/>
          <w:highlight w:val="none"/>
          <w:lang w:val="en-US" w:eastAsia="zh-CN" w:bidi="ar-SA"/>
        </w:rPr>
        <w:fldChar w:fldCharType="begin"/>
      </w:r>
      <w:r>
        <w:rPr>
          <w:rFonts w:ascii="Cambria" w:hAnsi="Cambria" w:eastAsia="黑体" w:cs="Times New Roman"/>
          <w:kern w:val="2"/>
          <w:sz w:val="20"/>
          <w:szCs w:val="20"/>
          <w:highlight w:val="none"/>
          <w:lang w:val="en-US" w:eastAsia="zh-CN" w:bidi="ar-SA"/>
        </w:rPr>
        <w:instrText xml:space="preserve"> SEQ 图 \* ARABIC </w:instrText>
      </w:r>
      <w:r>
        <w:rPr>
          <w:rFonts w:ascii="Cambria" w:hAnsi="Cambria" w:eastAsia="黑体" w:cs="Times New Roman"/>
          <w:kern w:val="2"/>
          <w:sz w:val="20"/>
          <w:szCs w:val="20"/>
          <w:highlight w:val="none"/>
          <w:lang w:val="en-US" w:eastAsia="zh-CN" w:bidi="ar-SA"/>
        </w:rPr>
        <w:fldChar w:fldCharType="separate"/>
      </w:r>
      <w:r>
        <w:rPr>
          <w:rFonts w:ascii="Cambria" w:hAnsi="Cambria" w:eastAsia="黑体" w:cs="Times New Roman"/>
          <w:kern w:val="2"/>
          <w:sz w:val="20"/>
          <w:szCs w:val="20"/>
          <w:highlight w:val="none"/>
          <w:lang w:val="en-US" w:eastAsia="zh-CN" w:bidi="ar-SA"/>
        </w:rPr>
        <w:t>2</w:t>
      </w:r>
      <w:r>
        <w:rPr>
          <w:rFonts w:ascii="Cambria" w:hAnsi="Cambria" w:eastAsia="黑体" w:cs="Times New Roman"/>
          <w:kern w:val="2"/>
          <w:sz w:val="20"/>
          <w:szCs w:val="20"/>
          <w:highlight w:val="none"/>
          <w:lang w:val="en-US" w:eastAsia="zh-CN" w:bidi="ar-SA"/>
        </w:rPr>
        <w:fldChar w:fldCharType="end"/>
      </w:r>
      <w:r>
        <w:rPr>
          <w:rFonts w:hint="eastAsia" w:ascii="Cambria" w:hAnsi="Cambria" w:eastAsia="黑体" w:cs="Times New Roman"/>
          <w:kern w:val="2"/>
          <w:sz w:val="20"/>
          <w:szCs w:val="20"/>
          <w:highlight w:val="none"/>
          <w:lang w:val="en-US" w:eastAsia="zh-CN" w:bidi="ar-SA"/>
        </w:rPr>
        <w:t xml:space="preserve"> 8层分区门安装示意图</w:t>
      </w:r>
    </w:p>
    <w:p w14:paraId="32B8979E">
      <w:pPr>
        <w:spacing w:line="360" w:lineRule="auto"/>
        <w:ind w:firstLine="422"/>
        <w:rPr>
          <w:rFonts w:hint="eastAsia" w:ascii="宋体" w:hAnsi="宋体" w:cs="宋体"/>
          <w:b/>
          <w:color w:val="000000"/>
          <w:highlight w:val="none"/>
          <w:lang w:val="en-US" w:eastAsia="zh-CN"/>
        </w:rPr>
      </w:pPr>
    </w:p>
    <w:p w14:paraId="36F3EA21">
      <w:pPr>
        <w:numPr>
          <w:ilvl w:val="0"/>
          <w:numId w:val="5"/>
        </w:numPr>
        <w:spacing w:line="360" w:lineRule="auto"/>
        <w:ind w:firstLine="422"/>
        <w:rPr>
          <w:rFonts w:hint="eastAsia" w:ascii="宋体" w:hAnsi="宋体" w:cs="宋体"/>
          <w:b/>
          <w:color w:val="000000"/>
          <w:highlight w:val="none"/>
          <w:lang w:val="en-US" w:eastAsia="zh-CN"/>
        </w:rPr>
      </w:pPr>
      <w:r>
        <w:rPr>
          <w:rFonts w:hint="eastAsia" w:ascii="宋体" w:hAnsi="宋体" w:cs="宋体"/>
          <w:b/>
          <w:color w:val="000000"/>
          <w:highlight w:val="none"/>
          <w:lang w:val="en-US" w:eastAsia="zh-CN"/>
        </w:rPr>
        <w:t>技术要求（含电动门及普通钢质门）：</w:t>
      </w:r>
    </w:p>
    <w:p w14:paraId="05C8EDFB">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 现场需由成交单位进行勘测、测量，门体安装方案需由中标单位进行深化设计，确保满足规范要求，包括安装位置图、节点安装图、效果图、弱电及强电施工图等。</w:t>
      </w:r>
    </w:p>
    <w:p w14:paraId="33AE1475">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2.2 项目包含现场门体安装及为了达到运行效果所需的开槽、开孔、拆除、补强。补强需用50*50的专用龙骨固定。中标单位不得以任何理由主张此部分费用。</w:t>
      </w:r>
    </w:p>
    <w:p w14:paraId="0697E222">
      <w:pPr>
        <w:spacing w:line="360" w:lineRule="auto"/>
        <w:ind w:firstLine="42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2.3 项目包含现场因门体安装所导致的装饰面破坏的恢复工作，包含顶面、地面、墙面的修复、收口。所用材料应与原施工材料一致。</w:t>
      </w:r>
    </w:p>
    <w:p w14:paraId="7067D12A">
      <w:pPr>
        <w:spacing w:line="360" w:lineRule="auto"/>
        <w:ind w:firstLine="42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2.4 每个门体须包含门禁。门禁款式型号应与科教综合楼内6-8层在用门禁一致，需确保能接入医院在用系统。</w:t>
      </w:r>
    </w:p>
    <w:p w14:paraId="250B3352">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2.5 项目须包含门和五金的运输、安装、调试。</w:t>
      </w:r>
    </w:p>
    <w:p w14:paraId="51002BDA">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2.6 项目须与科教综合楼在用消防系统联动，可以达到紧急情况下门能手动打开的需求，需包含引线、外接电源电线工作。</w:t>
      </w:r>
    </w:p>
    <w:p w14:paraId="50C4E8C7">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2.7 门体玻璃部位须采用加强措施确保安全。门体须包含毛条。</w:t>
      </w:r>
    </w:p>
    <w:p w14:paraId="1A415970">
      <w:pPr>
        <w:spacing w:line="360" w:lineRule="auto"/>
        <w:ind w:firstLine="42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2.8 门框采用1.5mm以上优质热熔镀锌钢板，门板采用0.8mm以上优质热熔镀锌钢板，加工尺寸根据现场实际测量复核后生产。钢板品牌：宝钢、首钢、本钢。</w:t>
      </w:r>
      <w:r>
        <w:rPr>
          <w:rFonts w:hint="eastAsia" w:ascii="宋体" w:hAnsi="宋体" w:cs="宋体"/>
          <w:color w:val="000000"/>
          <w:highlight w:val="none"/>
          <w:lang w:val="en-US" w:eastAsia="zh-CN"/>
        </w:rPr>
        <w:t>门体表面须进行喷涂，喷涂厚度满足规范要求。</w:t>
      </w:r>
    </w:p>
    <w:p w14:paraId="2E67A2F2">
      <w:pPr>
        <w:spacing w:line="360" w:lineRule="auto"/>
        <w:ind w:firstLine="42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2.9 门板侧面采用圆弧形，防止夹手；门板内的填充物为高强度蜂窝纸。</w:t>
      </w:r>
    </w:p>
    <w:p w14:paraId="3EC926BD">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2.10 视窗采用6mm钢化透明玻璃，视窗边框颜色同门色，玻璃品牌：南玻、耀皮、硝子旭；</w:t>
      </w:r>
    </w:p>
    <w:p w14:paraId="49E1DC98">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2.11 电动门不采用拉手，非电动门采用拉手，拉手材质为优质304不锈钢；</w:t>
      </w:r>
    </w:p>
    <w:p w14:paraId="1137A457">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2.12 地弹簧、门机系统可设置单项或双向开启，需配置开门机、控制器、安全感应器、同步线、感应开关等配置。</w:t>
      </w:r>
    </w:p>
    <w:p w14:paraId="349AE959">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高IP防护的直流电机及驱动齿轮箱系统，通过传动臂实现门体的180度双向开启功能；</w:t>
      </w:r>
    </w:p>
    <w:p w14:paraId="6A5C06C0">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16端口控制器满足安全感应器，电锁及后备电池等多种模块介入；</w:t>
      </w:r>
    </w:p>
    <w:p w14:paraId="6031846B">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提供四键无线钥匙开关选配，四种模式的运行设定；</w:t>
      </w:r>
    </w:p>
    <w:p w14:paraId="16919468">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单枚门板宽500-1200mm，承重</w:t>
      </w:r>
      <w:r>
        <w:rPr>
          <w:rFonts w:hint="eastAsia" w:ascii="宋体" w:hAnsi="宋体" w:cs="宋体"/>
          <w:color w:val="000000"/>
          <w:highlight w:val="none"/>
          <w:lang w:val="en-US" w:eastAsia="zh-CN"/>
        </w:rPr>
        <w:t>不低于</w:t>
      </w:r>
      <w:r>
        <w:rPr>
          <w:rFonts w:hint="eastAsia" w:ascii="宋体" w:hAnsi="宋体" w:eastAsia="宋体" w:cs="宋体"/>
          <w:color w:val="000000"/>
          <w:highlight w:val="none"/>
          <w:lang w:val="en-US" w:eastAsia="zh-CN"/>
        </w:rPr>
        <w:t>150kg；</w:t>
      </w:r>
    </w:p>
    <w:p w14:paraId="6BA1E3B6">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适合左、右开门和单、双向开门；</w:t>
      </w:r>
    </w:p>
    <w:p w14:paraId="7609A3A5">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品牌：多玛、盖泽、松下</w:t>
      </w:r>
    </w:p>
    <w:p w14:paraId="6C9B7B87">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2.13 颜色采用喷涂色；颜色色卡需经确认后方可加工。</w:t>
      </w:r>
    </w:p>
    <w:p w14:paraId="1A7C1F2C">
      <w:pPr>
        <w:spacing w:line="360" w:lineRule="auto"/>
        <w:ind w:firstLine="420"/>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2.14 现场使用的材料品牌须报审并经招标单位确认后方可进场。</w:t>
      </w:r>
    </w:p>
    <w:p w14:paraId="7E8673B7">
      <w:pPr>
        <w:spacing w:line="360" w:lineRule="auto"/>
        <w:ind w:firstLine="420"/>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2.14 门品牌:北京霍曼（Hörmann）、南京格满林（COMANY）、诺沃芬（Novoferm）；</w:t>
      </w:r>
    </w:p>
    <w:tbl>
      <w:tblPr>
        <w:tblStyle w:val="31"/>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916"/>
        <w:gridCol w:w="1030"/>
        <w:gridCol w:w="1030"/>
        <w:gridCol w:w="1030"/>
        <w:gridCol w:w="1031"/>
      </w:tblGrid>
      <w:tr w14:paraId="5F61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44549D1A">
            <w:pPr>
              <w:jc w:val="center"/>
              <w:rPr>
                <w:rFonts w:hint="eastAsia"/>
                <w:b/>
                <w:bCs/>
                <w:sz w:val="21"/>
                <w:szCs w:val="21"/>
                <w:highlight w:val="none"/>
                <w:lang w:val="en-US" w:eastAsia="zh-CN"/>
              </w:rPr>
            </w:pPr>
            <w:r>
              <w:rPr>
                <w:rFonts w:hint="eastAsia"/>
                <w:b/>
                <w:bCs/>
                <w:sz w:val="21"/>
                <w:szCs w:val="21"/>
                <w:highlight w:val="none"/>
                <w:lang w:val="en-US" w:eastAsia="zh-CN"/>
              </w:rPr>
              <w:t>序号</w:t>
            </w:r>
          </w:p>
        </w:tc>
        <w:tc>
          <w:tcPr>
            <w:tcW w:w="3916" w:type="dxa"/>
            <w:shd w:val="clear" w:color="auto" w:fill="auto"/>
            <w:vAlign w:val="center"/>
          </w:tcPr>
          <w:p w14:paraId="07BB4589">
            <w:pPr>
              <w:jc w:val="center"/>
              <w:rPr>
                <w:rFonts w:hint="eastAsia"/>
                <w:b/>
                <w:bCs/>
                <w:sz w:val="21"/>
                <w:szCs w:val="21"/>
                <w:highlight w:val="none"/>
                <w:lang w:val="en-US" w:eastAsia="zh-CN"/>
              </w:rPr>
            </w:pPr>
            <w:r>
              <w:rPr>
                <w:rFonts w:hint="eastAsia"/>
                <w:b/>
                <w:bCs/>
                <w:sz w:val="21"/>
                <w:szCs w:val="21"/>
                <w:highlight w:val="none"/>
                <w:lang w:val="en-US" w:eastAsia="zh-CN"/>
              </w:rPr>
              <w:t>门型</w:t>
            </w:r>
          </w:p>
        </w:tc>
        <w:tc>
          <w:tcPr>
            <w:tcW w:w="1030" w:type="dxa"/>
            <w:shd w:val="clear" w:color="auto" w:fill="auto"/>
            <w:vAlign w:val="center"/>
          </w:tcPr>
          <w:p w14:paraId="1275F917">
            <w:pPr>
              <w:jc w:val="center"/>
              <w:rPr>
                <w:rFonts w:hint="eastAsia"/>
                <w:b/>
                <w:bCs/>
                <w:sz w:val="21"/>
                <w:szCs w:val="21"/>
                <w:highlight w:val="none"/>
                <w:lang w:val="en-US" w:eastAsia="zh-CN"/>
              </w:rPr>
            </w:pPr>
            <w:r>
              <w:rPr>
                <w:rFonts w:hint="eastAsia"/>
                <w:b/>
                <w:bCs/>
                <w:sz w:val="21"/>
                <w:szCs w:val="21"/>
                <w:highlight w:val="none"/>
                <w:lang w:val="en-US" w:eastAsia="zh-CN"/>
              </w:rPr>
              <w:t>数量</w:t>
            </w:r>
          </w:p>
        </w:tc>
        <w:tc>
          <w:tcPr>
            <w:tcW w:w="1030" w:type="dxa"/>
            <w:shd w:val="clear" w:color="auto" w:fill="auto"/>
            <w:vAlign w:val="center"/>
          </w:tcPr>
          <w:p w14:paraId="58B1076E">
            <w:pPr>
              <w:jc w:val="center"/>
              <w:rPr>
                <w:rFonts w:hint="default"/>
                <w:b/>
                <w:bCs/>
                <w:sz w:val="21"/>
                <w:szCs w:val="21"/>
                <w:highlight w:val="none"/>
                <w:lang w:val="en-US" w:eastAsia="zh-CN"/>
              </w:rPr>
            </w:pPr>
            <w:r>
              <w:rPr>
                <w:rFonts w:hint="eastAsia"/>
                <w:b/>
                <w:bCs/>
                <w:sz w:val="21"/>
                <w:szCs w:val="21"/>
                <w:highlight w:val="none"/>
                <w:lang w:val="en-US" w:eastAsia="zh-CN"/>
              </w:rPr>
              <w:t>单价</w:t>
            </w:r>
          </w:p>
          <w:p w14:paraId="728BFD24">
            <w:pPr>
              <w:jc w:val="center"/>
              <w:rPr>
                <w:rFonts w:hint="eastAsia"/>
                <w:b/>
                <w:bCs/>
                <w:sz w:val="21"/>
                <w:szCs w:val="21"/>
                <w:highlight w:val="none"/>
                <w:lang w:val="en-US" w:eastAsia="zh-CN"/>
              </w:rPr>
            </w:pPr>
            <w:r>
              <w:rPr>
                <w:rFonts w:hint="eastAsia"/>
                <w:b/>
                <w:bCs/>
                <w:sz w:val="21"/>
                <w:szCs w:val="21"/>
                <w:highlight w:val="none"/>
                <w:lang w:val="en-US" w:eastAsia="zh-CN"/>
              </w:rPr>
              <w:t>（万元）</w:t>
            </w:r>
          </w:p>
        </w:tc>
        <w:tc>
          <w:tcPr>
            <w:tcW w:w="1030" w:type="dxa"/>
            <w:shd w:val="clear" w:color="auto" w:fill="auto"/>
            <w:vAlign w:val="center"/>
          </w:tcPr>
          <w:p w14:paraId="59B2CB12">
            <w:pPr>
              <w:jc w:val="center"/>
              <w:rPr>
                <w:rFonts w:hint="eastAsia" w:eastAsia="宋体" w:cs="Times New Roman"/>
                <w:b/>
                <w:bCs/>
                <w:sz w:val="21"/>
                <w:szCs w:val="21"/>
                <w:highlight w:val="none"/>
                <w:lang w:val="en-US" w:eastAsia="zh-CN"/>
              </w:rPr>
            </w:pPr>
            <w:r>
              <w:rPr>
                <w:rFonts w:hint="eastAsia" w:eastAsia="宋体" w:cs="Times New Roman"/>
                <w:b/>
                <w:bCs/>
                <w:sz w:val="21"/>
                <w:szCs w:val="21"/>
                <w:highlight w:val="none"/>
                <w:lang w:val="en-US" w:eastAsia="zh-CN"/>
              </w:rPr>
              <w:t>总价</w:t>
            </w:r>
          </w:p>
          <w:p w14:paraId="70BBFF19">
            <w:pPr>
              <w:jc w:val="center"/>
              <w:rPr>
                <w:rFonts w:hint="eastAsia"/>
                <w:b/>
                <w:bCs/>
                <w:sz w:val="21"/>
                <w:szCs w:val="21"/>
                <w:highlight w:val="none"/>
                <w:lang w:val="en-US" w:eastAsia="zh-CN"/>
              </w:rPr>
            </w:pPr>
            <w:r>
              <w:rPr>
                <w:rFonts w:hint="eastAsia" w:eastAsia="宋体" w:cs="Times New Roman"/>
                <w:b/>
                <w:bCs/>
                <w:sz w:val="21"/>
                <w:szCs w:val="21"/>
                <w:highlight w:val="none"/>
                <w:lang w:val="en-US" w:eastAsia="zh-CN"/>
              </w:rPr>
              <w:t>（万元）</w:t>
            </w:r>
          </w:p>
        </w:tc>
        <w:tc>
          <w:tcPr>
            <w:tcW w:w="1031" w:type="dxa"/>
            <w:shd w:val="clear" w:color="auto" w:fill="auto"/>
            <w:vAlign w:val="center"/>
          </w:tcPr>
          <w:p w14:paraId="70D0311F">
            <w:pPr>
              <w:jc w:val="center"/>
              <w:rPr>
                <w:rFonts w:hint="default"/>
                <w:b/>
                <w:bCs/>
                <w:sz w:val="21"/>
                <w:szCs w:val="21"/>
                <w:highlight w:val="none"/>
                <w:lang w:val="en-US" w:eastAsia="zh-CN"/>
              </w:rPr>
            </w:pPr>
            <w:r>
              <w:rPr>
                <w:rFonts w:hint="eastAsia"/>
                <w:b/>
                <w:bCs/>
                <w:sz w:val="21"/>
                <w:szCs w:val="21"/>
                <w:highlight w:val="none"/>
                <w:lang w:val="en-US" w:eastAsia="zh-CN"/>
              </w:rPr>
              <w:t>备注</w:t>
            </w:r>
          </w:p>
        </w:tc>
      </w:tr>
      <w:tr w14:paraId="5295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4E70F0A9">
            <w:pPr>
              <w:jc w:val="center"/>
              <w:rPr>
                <w:rFonts w:hint="eastAsia"/>
                <w:sz w:val="21"/>
                <w:szCs w:val="21"/>
                <w:highlight w:val="none"/>
                <w:lang w:val="en-US" w:eastAsia="zh-CN"/>
              </w:rPr>
            </w:pPr>
            <w:r>
              <w:rPr>
                <w:rFonts w:hint="eastAsia"/>
                <w:sz w:val="21"/>
                <w:szCs w:val="21"/>
                <w:highlight w:val="none"/>
                <w:lang w:val="en-US" w:eastAsia="zh-CN"/>
              </w:rPr>
              <w:t>1</w:t>
            </w:r>
          </w:p>
        </w:tc>
        <w:tc>
          <w:tcPr>
            <w:tcW w:w="3916" w:type="dxa"/>
            <w:shd w:val="clear" w:color="auto" w:fill="auto"/>
            <w:vAlign w:val="center"/>
          </w:tcPr>
          <w:p w14:paraId="04E285C3">
            <w:pPr>
              <w:jc w:val="left"/>
              <w:rPr>
                <w:rFonts w:hint="default"/>
                <w:sz w:val="21"/>
                <w:szCs w:val="21"/>
                <w:highlight w:val="none"/>
                <w:lang w:val="en-US" w:eastAsia="zh-CN"/>
              </w:rPr>
            </w:pPr>
            <w:r>
              <w:rPr>
                <w:rFonts w:hint="eastAsia"/>
                <w:sz w:val="21"/>
                <w:szCs w:val="21"/>
                <w:highlight w:val="none"/>
                <w:lang w:val="en-US" w:eastAsia="zh-CN"/>
              </w:rPr>
              <w:t>电动钢质门</w:t>
            </w:r>
            <w:r>
              <w:rPr>
                <w:rFonts w:hint="eastAsia"/>
                <w:b/>
                <w:bCs/>
                <w:sz w:val="21"/>
                <w:szCs w:val="21"/>
                <w:highlight w:val="none"/>
                <w:lang w:val="en-US" w:eastAsia="zh-CN"/>
              </w:rPr>
              <w:t>（双向开启）</w:t>
            </w:r>
            <w:r>
              <w:rPr>
                <w:rFonts w:hint="eastAsia"/>
                <w:sz w:val="21"/>
                <w:szCs w:val="21"/>
                <w:highlight w:val="none"/>
                <w:lang w:val="en-US" w:eastAsia="zh-CN"/>
              </w:rPr>
              <w:t>，含门禁、单个电机及感应探头等配套五金，单个门体约4.24m</w:t>
            </w:r>
            <w:r>
              <w:rPr>
                <w:rFonts w:hint="eastAsia"/>
                <w:sz w:val="21"/>
                <w:szCs w:val="21"/>
                <w:highlight w:val="none"/>
                <w:vertAlign w:val="superscript"/>
                <w:lang w:val="en-US" w:eastAsia="zh-CN"/>
              </w:rPr>
              <w:t>2</w:t>
            </w:r>
          </w:p>
        </w:tc>
        <w:tc>
          <w:tcPr>
            <w:tcW w:w="1030" w:type="dxa"/>
            <w:shd w:val="clear" w:color="auto" w:fill="auto"/>
            <w:vAlign w:val="center"/>
          </w:tcPr>
          <w:p w14:paraId="1BCD1669">
            <w:pPr>
              <w:jc w:val="center"/>
              <w:rPr>
                <w:rFonts w:hint="eastAsia"/>
                <w:sz w:val="21"/>
                <w:szCs w:val="21"/>
                <w:highlight w:val="none"/>
                <w:lang w:val="en-US" w:eastAsia="zh-CN"/>
              </w:rPr>
            </w:pPr>
            <w:r>
              <w:rPr>
                <w:rFonts w:hint="eastAsia"/>
                <w:sz w:val="21"/>
                <w:szCs w:val="21"/>
                <w:highlight w:val="none"/>
                <w:lang w:val="en-US" w:eastAsia="zh-CN"/>
              </w:rPr>
              <w:t>4樘</w:t>
            </w:r>
          </w:p>
        </w:tc>
        <w:tc>
          <w:tcPr>
            <w:tcW w:w="1030" w:type="dxa"/>
            <w:shd w:val="clear" w:color="auto" w:fill="auto"/>
            <w:vAlign w:val="center"/>
          </w:tcPr>
          <w:p w14:paraId="7C0FB633">
            <w:pPr>
              <w:jc w:val="center"/>
              <w:rPr>
                <w:rFonts w:hint="eastAsia"/>
                <w:sz w:val="21"/>
                <w:szCs w:val="21"/>
                <w:highlight w:val="none"/>
                <w:lang w:val="en-US" w:eastAsia="zh-CN"/>
              </w:rPr>
            </w:pPr>
          </w:p>
        </w:tc>
        <w:tc>
          <w:tcPr>
            <w:tcW w:w="1030" w:type="dxa"/>
            <w:shd w:val="clear" w:color="auto" w:fill="auto"/>
            <w:vAlign w:val="center"/>
          </w:tcPr>
          <w:p w14:paraId="0C1EF0DA">
            <w:pPr>
              <w:jc w:val="center"/>
              <w:rPr>
                <w:rFonts w:hint="eastAsia"/>
                <w:sz w:val="21"/>
                <w:szCs w:val="21"/>
                <w:highlight w:val="none"/>
                <w:lang w:val="en-US" w:eastAsia="zh-CN"/>
              </w:rPr>
            </w:pPr>
          </w:p>
        </w:tc>
        <w:tc>
          <w:tcPr>
            <w:tcW w:w="1031" w:type="dxa"/>
            <w:shd w:val="clear" w:color="auto" w:fill="auto"/>
            <w:vAlign w:val="center"/>
          </w:tcPr>
          <w:p w14:paraId="01ED13ED">
            <w:pPr>
              <w:jc w:val="center"/>
              <w:rPr>
                <w:rFonts w:hint="default"/>
                <w:sz w:val="21"/>
                <w:szCs w:val="21"/>
                <w:highlight w:val="none"/>
                <w:lang w:val="en-US" w:eastAsia="zh-CN"/>
              </w:rPr>
            </w:pPr>
          </w:p>
        </w:tc>
      </w:tr>
      <w:tr w14:paraId="6E28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60BE21B3">
            <w:pPr>
              <w:jc w:val="center"/>
              <w:rPr>
                <w:rFonts w:hint="eastAsia"/>
                <w:sz w:val="21"/>
                <w:szCs w:val="21"/>
                <w:highlight w:val="none"/>
                <w:lang w:val="en-US" w:eastAsia="zh-CN"/>
              </w:rPr>
            </w:pPr>
            <w:r>
              <w:rPr>
                <w:rFonts w:hint="eastAsia"/>
                <w:sz w:val="21"/>
                <w:szCs w:val="21"/>
                <w:highlight w:val="none"/>
                <w:lang w:val="en-US" w:eastAsia="zh-CN"/>
              </w:rPr>
              <w:t>2</w:t>
            </w:r>
          </w:p>
        </w:tc>
        <w:tc>
          <w:tcPr>
            <w:tcW w:w="3916" w:type="dxa"/>
            <w:shd w:val="clear" w:color="auto" w:fill="auto"/>
            <w:vAlign w:val="center"/>
          </w:tcPr>
          <w:p w14:paraId="0CAC00B9">
            <w:pPr>
              <w:jc w:val="left"/>
              <w:rPr>
                <w:rFonts w:hint="eastAsia"/>
                <w:sz w:val="21"/>
                <w:szCs w:val="21"/>
                <w:highlight w:val="none"/>
                <w:lang w:val="en-US" w:eastAsia="zh-CN"/>
              </w:rPr>
            </w:pPr>
            <w:r>
              <w:rPr>
                <w:rFonts w:hint="eastAsia"/>
                <w:sz w:val="21"/>
                <w:szCs w:val="21"/>
                <w:highlight w:val="none"/>
                <w:lang w:val="en-US" w:eastAsia="zh-CN"/>
              </w:rPr>
              <w:t>电动钢质门</w:t>
            </w:r>
            <w:r>
              <w:rPr>
                <w:rFonts w:hint="eastAsia"/>
                <w:b/>
                <w:bCs/>
                <w:sz w:val="21"/>
                <w:szCs w:val="21"/>
                <w:highlight w:val="none"/>
                <w:lang w:val="en-US" w:eastAsia="zh-CN"/>
              </w:rPr>
              <w:t>（单向开启）</w:t>
            </w:r>
            <w:r>
              <w:rPr>
                <w:rFonts w:hint="eastAsia"/>
                <w:sz w:val="21"/>
                <w:szCs w:val="21"/>
                <w:highlight w:val="none"/>
                <w:lang w:val="en-US" w:eastAsia="zh-CN"/>
              </w:rPr>
              <w:t>，含门禁、单个电机及感应探头等配套五金，单个门体约4.24m</w:t>
            </w:r>
            <w:r>
              <w:rPr>
                <w:rFonts w:hint="eastAsia"/>
                <w:sz w:val="21"/>
                <w:szCs w:val="21"/>
                <w:highlight w:val="none"/>
                <w:vertAlign w:val="superscript"/>
                <w:lang w:val="en-US" w:eastAsia="zh-CN"/>
              </w:rPr>
              <w:t>2</w:t>
            </w:r>
          </w:p>
        </w:tc>
        <w:tc>
          <w:tcPr>
            <w:tcW w:w="1030" w:type="dxa"/>
            <w:shd w:val="clear" w:color="auto" w:fill="auto"/>
            <w:vAlign w:val="center"/>
          </w:tcPr>
          <w:p w14:paraId="239339CA">
            <w:pPr>
              <w:jc w:val="center"/>
              <w:rPr>
                <w:rFonts w:hint="eastAsia"/>
                <w:sz w:val="21"/>
                <w:szCs w:val="21"/>
                <w:highlight w:val="none"/>
                <w:lang w:val="en-US" w:eastAsia="zh-CN"/>
              </w:rPr>
            </w:pPr>
            <w:r>
              <w:rPr>
                <w:rFonts w:hint="eastAsia"/>
                <w:sz w:val="21"/>
                <w:szCs w:val="21"/>
                <w:highlight w:val="none"/>
                <w:lang w:val="en-US" w:eastAsia="zh-CN"/>
              </w:rPr>
              <w:t>3樘</w:t>
            </w:r>
          </w:p>
        </w:tc>
        <w:tc>
          <w:tcPr>
            <w:tcW w:w="1030" w:type="dxa"/>
            <w:shd w:val="clear" w:color="auto" w:fill="auto"/>
            <w:vAlign w:val="center"/>
          </w:tcPr>
          <w:p w14:paraId="4649D783">
            <w:pPr>
              <w:jc w:val="center"/>
              <w:rPr>
                <w:rFonts w:hint="eastAsia"/>
                <w:sz w:val="21"/>
                <w:szCs w:val="21"/>
                <w:highlight w:val="none"/>
                <w:lang w:val="en-US" w:eastAsia="zh-CN"/>
              </w:rPr>
            </w:pPr>
          </w:p>
        </w:tc>
        <w:tc>
          <w:tcPr>
            <w:tcW w:w="1030" w:type="dxa"/>
            <w:shd w:val="clear" w:color="auto" w:fill="auto"/>
            <w:vAlign w:val="center"/>
          </w:tcPr>
          <w:p w14:paraId="31988738">
            <w:pPr>
              <w:jc w:val="center"/>
              <w:rPr>
                <w:rFonts w:hint="eastAsia"/>
                <w:sz w:val="21"/>
                <w:szCs w:val="21"/>
                <w:highlight w:val="none"/>
                <w:lang w:val="en-US" w:eastAsia="zh-CN"/>
              </w:rPr>
            </w:pPr>
          </w:p>
        </w:tc>
        <w:tc>
          <w:tcPr>
            <w:tcW w:w="1031" w:type="dxa"/>
            <w:shd w:val="clear" w:color="auto" w:fill="auto"/>
            <w:vAlign w:val="center"/>
          </w:tcPr>
          <w:p w14:paraId="2EC4E1BF">
            <w:pPr>
              <w:jc w:val="center"/>
              <w:rPr>
                <w:rFonts w:hint="default"/>
                <w:sz w:val="21"/>
                <w:szCs w:val="21"/>
                <w:highlight w:val="none"/>
                <w:lang w:val="en-US" w:eastAsia="zh-CN"/>
              </w:rPr>
            </w:pPr>
          </w:p>
        </w:tc>
      </w:tr>
      <w:tr w14:paraId="7411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4" w:type="dxa"/>
            <w:shd w:val="clear" w:color="auto" w:fill="auto"/>
            <w:vAlign w:val="center"/>
          </w:tcPr>
          <w:p w14:paraId="77A55CA0">
            <w:pPr>
              <w:jc w:val="center"/>
              <w:rPr>
                <w:rFonts w:hint="eastAsia"/>
                <w:sz w:val="21"/>
                <w:szCs w:val="21"/>
                <w:highlight w:val="none"/>
                <w:lang w:val="en-US" w:eastAsia="zh-CN"/>
              </w:rPr>
            </w:pPr>
            <w:r>
              <w:rPr>
                <w:rFonts w:hint="eastAsia"/>
                <w:sz w:val="21"/>
                <w:szCs w:val="21"/>
                <w:highlight w:val="none"/>
                <w:lang w:val="en-US" w:eastAsia="zh-CN"/>
              </w:rPr>
              <w:t>3</w:t>
            </w:r>
          </w:p>
        </w:tc>
        <w:tc>
          <w:tcPr>
            <w:tcW w:w="3916" w:type="dxa"/>
            <w:shd w:val="clear" w:color="auto" w:fill="auto"/>
            <w:vAlign w:val="center"/>
          </w:tcPr>
          <w:p w14:paraId="097E1AC1">
            <w:pPr>
              <w:jc w:val="left"/>
              <w:rPr>
                <w:rFonts w:hint="eastAsia"/>
                <w:sz w:val="21"/>
                <w:szCs w:val="21"/>
                <w:highlight w:val="none"/>
                <w:lang w:val="en-US" w:eastAsia="zh-CN"/>
              </w:rPr>
            </w:pPr>
            <w:r>
              <w:rPr>
                <w:rFonts w:hint="eastAsia"/>
                <w:sz w:val="21"/>
                <w:szCs w:val="21"/>
                <w:highlight w:val="none"/>
                <w:lang w:val="en-US" w:eastAsia="zh-CN"/>
              </w:rPr>
              <w:t>普通对开门，含门禁、约4.24m</w:t>
            </w:r>
            <w:r>
              <w:rPr>
                <w:rFonts w:hint="eastAsia"/>
                <w:sz w:val="21"/>
                <w:szCs w:val="21"/>
                <w:highlight w:val="none"/>
                <w:vertAlign w:val="superscript"/>
                <w:lang w:val="en-US" w:eastAsia="zh-CN"/>
              </w:rPr>
              <w:t>2</w:t>
            </w:r>
          </w:p>
        </w:tc>
        <w:tc>
          <w:tcPr>
            <w:tcW w:w="1030" w:type="dxa"/>
            <w:shd w:val="clear" w:color="auto" w:fill="auto"/>
            <w:vAlign w:val="center"/>
          </w:tcPr>
          <w:p w14:paraId="511CFFDD">
            <w:pPr>
              <w:jc w:val="center"/>
              <w:rPr>
                <w:rFonts w:hint="eastAsia"/>
                <w:sz w:val="21"/>
                <w:szCs w:val="21"/>
                <w:highlight w:val="none"/>
                <w:lang w:val="en-US" w:eastAsia="zh-CN"/>
              </w:rPr>
            </w:pPr>
            <w:r>
              <w:rPr>
                <w:rFonts w:hint="eastAsia"/>
                <w:sz w:val="21"/>
                <w:szCs w:val="21"/>
                <w:highlight w:val="none"/>
                <w:lang w:val="en-US" w:eastAsia="zh-CN"/>
              </w:rPr>
              <w:t>1樘</w:t>
            </w:r>
          </w:p>
        </w:tc>
        <w:tc>
          <w:tcPr>
            <w:tcW w:w="1030" w:type="dxa"/>
            <w:shd w:val="clear" w:color="auto" w:fill="auto"/>
            <w:vAlign w:val="center"/>
          </w:tcPr>
          <w:p w14:paraId="5753A4C1">
            <w:pPr>
              <w:jc w:val="center"/>
              <w:rPr>
                <w:rFonts w:hint="eastAsia"/>
                <w:sz w:val="21"/>
                <w:szCs w:val="21"/>
                <w:highlight w:val="none"/>
                <w:lang w:val="en-US" w:eastAsia="zh-CN"/>
              </w:rPr>
            </w:pPr>
          </w:p>
        </w:tc>
        <w:tc>
          <w:tcPr>
            <w:tcW w:w="1030" w:type="dxa"/>
            <w:shd w:val="clear" w:color="auto" w:fill="auto"/>
            <w:vAlign w:val="center"/>
          </w:tcPr>
          <w:p w14:paraId="0D98C9DF">
            <w:pPr>
              <w:jc w:val="center"/>
              <w:rPr>
                <w:rFonts w:hint="eastAsia"/>
                <w:sz w:val="21"/>
                <w:szCs w:val="21"/>
                <w:highlight w:val="none"/>
                <w:lang w:val="en-US" w:eastAsia="zh-CN"/>
              </w:rPr>
            </w:pPr>
          </w:p>
        </w:tc>
        <w:tc>
          <w:tcPr>
            <w:tcW w:w="1031" w:type="dxa"/>
            <w:shd w:val="clear" w:color="auto" w:fill="auto"/>
            <w:vAlign w:val="center"/>
          </w:tcPr>
          <w:p w14:paraId="75F37E18">
            <w:pPr>
              <w:jc w:val="center"/>
              <w:rPr>
                <w:rFonts w:hint="default"/>
                <w:sz w:val="21"/>
                <w:szCs w:val="21"/>
                <w:highlight w:val="none"/>
                <w:lang w:val="en-US" w:eastAsia="zh-CN"/>
              </w:rPr>
            </w:pPr>
          </w:p>
        </w:tc>
      </w:tr>
      <w:tr w14:paraId="195D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shd w:val="clear" w:color="auto" w:fill="auto"/>
            <w:vAlign w:val="center"/>
          </w:tcPr>
          <w:p w14:paraId="151E06AA">
            <w:pPr>
              <w:jc w:val="center"/>
              <w:rPr>
                <w:rFonts w:hint="eastAsia"/>
                <w:sz w:val="21"/>
                <w:szCs w:val="21"/>
                <w:highlight w:val="none"/>
                <w:lang w:val="en-US" w:eastAsia="zh-CN"/>
              </w:rPr>
            </w:pPr>
            <w:r>
              <w:rPr>
                <w:rFonts w:hint="eastAsia"/>
                <w:sz w:val="21"/>
                <w:szCs w:val="21"/>
                <w:highlight w:val="none"/>
                <w:lang w:val="en-US" w:eastAsia="zh-CN"/>
              </w:rPr>
              <w:t>4</w:t>
            </w:r>
          </w:p>
        </w:tc>
        <w:tc>
          <w:tcPr>
            <w:tcW w:w="3916" w:type="dxa"/>
            <w:shd w:val="clear" w:color="auto" w:fill="auto"/>
            <w:vAlign w:val="center"/>
          </w:tcPr>
          <w:p w14:paraId="2CE924F0">
            <w:pPr>
              <w:jc w:val="left"/>
              <w:rPr>
                <w:rFonts w:hint="default"/>
                <w:sz w:val="21"/>
                <w:szCs w:val="21"/>
                <w:highlight w:val="none"/>
                <w:lang w:val="en-US" w:eastAsia="zh-CN"/>
              </w:rPr>
            </w:pPr>
            <w:r>
              <w:rPr>
                <w:rFonts w:hint="eastAsia"/>
                <w:sz w:val="21"/>
                <w:szCs w:val="21"/>
                <w:highlight w:val="none"/>
                <w:lang w:val="en-US" w:eastAsia="zh-CN"/>
              </w:rPr>
              <w:t>现场开槽开孔、装饰修复，含材料</w:t>
            </w:r>
          </w:p>
        </w:tc>
        <w:tc>
          <w:tcPr>
            <w:tcW w:w="1030" w:type="dxa"/>
            <w:shd w:val="clear" w:color="auto" w:fill="auto"/>
            <w:vAlign w:val="center"/>
          </w:tcPr>
          <w:p w14:paraId="5EA1C7FB">
            <w:pPr>
              <w:jc w:val="center"/>
              <w:rPr>
                <w:rFonts w:hint="default"/>
                <w:sz w:val="21"/>
                <w:szCs w:val="21"/>
                <w:highlight w:val="none"/>
                <w:lang w:val="en-US" w:eastAsia="zh-CN"/>
              </w:rPr>
            </w:pPr>
            <w:r>
              <w:rPr>
                <w:rFonts w:hint="eastAsia"/>
                <w:sz w:val="21"/>
                <w:szCs w:val="21"/>
                <w:highlight w:val="none"/>
                <w:lang w:val="en-US" w:eastAsia="zh-CN"/>
              </w:rPr>
              <w:t>1项</w:t>
            </w:r>
          </w:p>
        </w:tc>
        <w:tc>
          <w:tcPr>
            <w:tcW w:w="1030" w:type="dxa"/>
            <w:shd w:val="clear" w:color="auto" w:fill="auto"/>
            <w:vAlign w:val="center"/>
          </w:tcPr>
          <w:p w14:paraId="28C1E35D">
            <w:pPr>
              <w:jc w:val="center"/>
              <w:rPr>
                <w:rFonts w:hint="eastAsia"/>
                <w:sz w:val="21"/>
                <w:szCs w:val="21"/>
                <w:highlight w:val="none"/>
                <w:lang w:val="en-US" w:eastAsia="zh-CN"/>
              </w:rPr>
            </w:pPr>
          </w:p>
        </w:tc>
        <w:tc>
          <w:tcPr>
            <w:tcW w:w="1030" w:type="dxa"/>
            <w:shd w:val="clear" w:color="auto" w:fill="auto"/>
            <w:vAlign w:val="center"/>
          </w:tcPr>
          <w:p w14:paraId="479EFB59">
            <w:pPr>
              <w:jc w:val="center"/>
              <w:rPr>
                <w:rFonts w:hint="eastAsia"/>
                <w:sz w:val="21"/>
                <w:szCs w:val="21"/>
                <w:highlight w:val="none"/>
                <w:lang w:val="en-US" w:eastAsia="zh-CN"/>
              </w:rPr>
            </w:pPr>
          </w:p>
        </w:tc>
        <w:tc>
          <w:tcPr>
            <w:tcW w:w="1031" w:type="dxa"/>
            <w:shd w:val="clear" w:color="auto" w:fill="auto"/>
            <w:vAlign w:val="center"/>
          </w:tcPr>
          <w:p w14:paraId="06482C37">
            <w:pPr>
              <w:jc w:val="center"/>
              <w:rPr>
                <w:rFonts w:hint="default"/>
                <w:sz w:val="21"/>
                <w:szCs w:val="21"/>
                <w:highlight w:val="none"/>
                <w:lang w:val="en-US" w:eastAsia="zh-CN"/>
              </w:rPr>
            </w:pPr>
          </w:p>
        </w:tc>
      </w:tr>
      <w:tr w14:paraId="445A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24" w:type="dxa"/>
            <w:shd w:val="clear" w:color="auto" w:fill="auto"/>
            <w:vAlign w:val="center"/>
          </w:tcPr>
          <w:p w14:paraId="0C3CDB80">
            <w:pPr>
              <w:jc w:val="center"/>
              <w:rPr>
                <w:rFonts w:hint="eastAsia"/>
                <w:sz w:val="21"/>
                <w:szCs w:val="21"/>
                <w:highlight w:val="none"/>
                <w:lang w:val="en-US" w:eastAsia="zh-CN"/>
              </w:rPr>
            </w:pPr>
            <w:r>
              <w:rPr>
                <w:rFonts w:hint="eastAsia"/>
                <w:sz w:val="21"/>
                <w:szCs w:val="21"/>
                <w:highlight w:val="none"/>
                <w:lang w:val="en-US" w:eastAsia="zh-CN"/>
              </w:rPr>
              <w:t>5</w:t>
            </w:r>
          </w:p>
        </w:tc>
        <w:tc>
          <w:tcPr>
            <w:tcW w:w="3916" w:type="dxa"/>
            <w:shd w:val="clear" w:color="auto" w:fill="auto"/>
            <w:vAlign w:val="center"/>
          </w:tcPr>
          <w:p w14:paraId="24FEB4B5">
            <w:pPr>
              <w:jc w:val="left"/>
              <w:rPr>
                <w:rFonts w:hint="eastAsia"/>
                <w:sz w:val="21"/>
                <w:szCs w:val="21"/>
                <w:highlight w:val="none"/>
                <w:lang w:val="en-US" w:eastAsia="zh-CN"/>
              </w:rPr>
            </w:pPr>
            <w:r>
              <w:rPr>
                <w:rFonts w:hint="eastAsia"/>
                <w:sz w:val="21"/>
                <w:szCs w:val="21"/>
                <w:highlight w:val="none"/>
                <w:lang w:val="en-US" w:eastAsia="zh-CN"/>
              </w:rPr>
              <w:t>安装费用，含材料、接电、导线、调试</w:t>
            </w:r>
          </w:p>
        </w:tc>
        <w:tc>
          <w:tcPr>
            <w:tcW w:w="1030" w:type="dxa"/>
            <w:shd w:val="clear" w:color="auto" w:fill="auto"/>
            <w:vAlign w:val="center"/>
          </w:tcPr>
          <w:p w14:paraId="6FB44D2D">
            <w:pPr>
              <w:jc w:val="center"/>
              <w:rPr>
                <w:rFonts w:hint="default"/>
                <w:sz w:val="21"/>
                <w:szCs w:val="21"/>
                <w:highlight w:val="none"/>
                <w:lang w:val="en-US" w:eastAsia="zh-CN"/>
              </w:rPr>
            </w:pPr>
            <w:r>
              <w:rPr>
                <w:rFonts w:hint="eastAsia"/>
                <w:sz w:val="21"/>
                <w:szCs w:val="21"/>
                <w:highlight w:val="none"/>
                <w:lang w:val="en-US" w:eastAsia="zh-CN"/>
              </w:rPr>
              <w:t>1项</w:t>
            </w:r>
          </w:p>
        </w:tc>
        <w:tc>
          <w:tcPr>
            <w:tcW w:w="1030" w:type="dxa"/>
            <w:shd w:val="clear" w:color="auto" w:fill="auto"/>
            <w:vAlign w:val="center"/>
          </w:tcPr>
          <w:p w14:paraId="2B594ADA">
            <w:pPr>
              <w:jc w:val="center"/>
              <w:rPr>
                <w:rFonts w:hint="eastAsia"/>
                <w:sz w:val="21"/>
                <w:szCs w:val="21"/>
                <w:highlight w:val="none"/>
                <w:lang w:val="en-US" w:eastAsia="zh-CN"/>
              </w:rPr>
            </w:pPr>
          </w:p>
        </w:tc>
        <w:tc>
          <w:tcPr>
            <w:tcW w:w="1030" w:type="dxa"/>
            <w:shd w:val="clear" w:color="auto" w:fill="auto"/>
            <w:vAlign w:val="center"/>
          </w:tcPr>
          <w:p w14:paraId="5F9B1FFB">
            <w:pPr>
              <w:jc w:val="center"/>
              <w:rPr>
                <w:rFonts w:hint="eastAsia"/>
                <w:sz w:val="21"/>
                <w:szCs w:val="21"/>
                <w:highlight w:val="none"/>
                <w:lang w:val="en-US" w:eastAsia="zh-CN"/>
              </w:rPr>
            </w:pPr>
          </w:p>
        </w:tc>
        <w:tc>
          <w:tcPr>
            <w:tcW w:w="1031" w:type="dxa"/>
            <w:shd w:val="clear" w:color="auto" w:fill="auto"/>
            <w:vAlign w:val="center"/>
          </w:tcPr>
          <w:p w14:paraId="71ED680D">
            <w:pPr>
              <w:jc w:val="center"/>
              <w:rPr>
                <w:rFonts w:hint="default"/>
                <w:sz w:val="21"/>
                <w:szCs w:val="21"/>
                <w:highlight w:val="none"/>
                <w:lang w:val="en-US" w:eastAsia="zh-CN"/>
              </w:rPr>
            </w:pPr>
          </w:p>
        </w:tc>
      </w:tr>
      <w:tr w14:paraId="4907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24" w:type="dxa"/>
            <w:shd w:val="clear" w:color="auto" w:fill="auto"/>
            <w:vAlign w:val="center"/>
          </w:tcPr>
          <w:p w14:paraId="05C2AAD5">
            <w:pPr>
              <w:jc w:val="center"/>
              <w:rPr>
                <w:rFonts w:hint="default"/>
                <w:sz w:val="21"/>
                <w:szCs w:val="21"/>
                <w:highlight w:val="none"/>
                <w:lang w:val="en-US" w:eastAsia="zh-CN"/>
              </w:rPr>
            </w:pPr>
            <w:r>
              <w:rPr>
                <w:rFonts w:hint="eastAsia"/>
                <w:sz w:val="21"/>
                <w:szCs w:val="21"/>
                <w:highlight w:val="none"/>
                <w:lang w:val="en-US" w:eastAsia="zh-CN"/>
              </w:rPr>
              <w:t>合计</w:t>
            </w:r>
          </w:p>
        </w:tc>
        <w:tc>
          <w:tcPr>
            <w:tcW w:w="8037" w:type="dxa"/>
            <w:gridSpan w:val="5"/>
            <w:shd w:val="clear" w:color="auto" w:fill="auto"/>
            <w:vAlign w:val="center"/>
          </w:tcPr>
          <w:p w14:paraId="2F4B349F">
            <w:pPr>
              <w:jc w:val="center"/>
              <w:rPr>
                <w:rFonts w:hint="eastAsia"/>
                <w:sz w:val="21"/>
                <w:szCs w:val="21"/>
                <w:highlight w:val="none"/>
                <w:lang w:val="en-US" w:eastAsia="zh-CN"/>
              </w:rPr>
            </w:pPr>
          </w:p>
        </w:tc>
      </w:tr>
      <w:tr w14:paraId="3AB9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824" w:type="dxa"/>
            <w:shd w:val="clear" w:color="auto" w:fill="auto"/>
            <w:vAlign w:val="center"/>
          </w:tcPr>
          <w:p w14:paraId="79C16188">
            <w:pPr>
              <w:jc w:val="center"/>
              <w:rPr>
                <w:rFonts w:hint="default"/>
                <w:sz w:val="21"/>
                <w:szCs w:val="21"/>
                <w:highlight w:val="none"/>
                <w:lang w:val="en-US" w:eastAsia="zh-CN"/>
              </w:rPr>
            </w:pPr>
            <w:r>
              <w:rPr>
                <w:rFonts w:hint="eastAsia"/>
                <w:sz w:val="21"/>
                <w:szCs w:val="21"/>
                <w:highlight w:val="none"/>
                <w:lang w:val="en-US" w:eastAsia="zh-CN"/>
              </w:rPr>
              <w:t>备注</w:t>
            </w:r>
          </w:p>
        </w:tc>
        <w:tc>
          <w:tcPr>
            <w:tcW w:w="8037" w:type="dxa"/>
            <w:gridSpan w:val="5"/>
            <w:shd w:val="clear" w:color="auto" w:fill="auto"/>
            <w:vAlign w:val="center"/>
          </w:tcPr>
          <w:p w14:paraId="31A4AEC5">
            <w:pPr>
              <w:jc w:val="left"/>
              <w:rPr>
                <w:rFonts w:hint="eastAsia"/>
                <w:sz w:val="21"/>
                <w:szCs w:val="21"/>
                <w:highlight w:val="none"/>
                <w:lang w:val="en-US" w:eastAsia="zh-CN"/>
              </w:rPr>
            </w:pPr>
          </w:p>
        </w:tc>
      </w:tr>
    </w:tbl>
    <w:p w14:paraId="11CF335B">
      <w:pPr>
        <w:numPr>
          <w:ilvl w:val="0"/>
          <w:numId w:val="0"/>
        </w:numPr>
        <w:spacing w:line="360" w:lineRule="auto"/>
        <w:rPr>
          <w:rFonts w:hint="eastAsia" w:ascii="宋体" w:hAnsi="宋体" w:eastAsia="宋体" w:cs="宋体"/>
          <w:b/>
          <w:color w:val="000000"/>
          <w:highlight w:val="none"/>
        </w:rPr>
      </w:pPr>
      <w:r>
        <w:rPr>
          <w:rFonts w:hint="eastAsia" w:ascii="宋体" w:hAnsi="宋体" w:cs="宋体"/>
          <w:b/>
          <w:color w:val="000000"/>
          <w:highlight w:val="none"/>
          <w:lang w:val="en-US" w:eastAsia="zh-CN"/>
        </w:rPr>
        <w:t>三、</w:t>
      </w:r>
      <w:r>
        <w:rPr>
          <w:rFonts w:hint="eastAsia" w:ascii="宋体" w:hAnsi="宋体" w:eastAsia="宋体" w:cs="宋体"/>
          <w:b/>
          <w:color w:val="000000"/>
          <w:highlight w:val="none"/>
        </w:rPr>
        <w:t>材料要求：</w:t>
      </w:r>
      <w:bookmarkEnd w:id="129"/>
    </w:p>
    <w:p w14:paraId="014E8445">
      <w:pPr>
        <w:spacing w:line="360" w:lineRule="auto"/>
        <w:ind w:firstLine="420"/>
        <w:rPr>
          <w:rFonts w:hint="eastAsia" w:ascii="宋体" w:hAnsi="宋体" w:eastAsia="宋体" w:cs="宋体"/>
          <w:color w:val="000000"/>
          <w:highlight w:val="none"/>
        </w:rPr>
      </w:pPr>
      <w:r>
        <w:rPr>
          <w:rFonts w:hint="eastAsia" w:ascii="宋体" w:hAnsi="宋体" w:eastAsia="宋体" w:cs="宋体"/>
          <w:color w:val="000000"/>
          <w:highlight w:val="none"/>
        </w:rPr>
        <w:t>1、所有材料均应符合国家标准与环保要求。</w:t>
      </w:r>
    </w:p>
    <w:p w14:paraId="3BF9FAD6">
      <w:pPr>
        <w:spacing w:line="360" w:lineRule="auto"/>
        <w:ind w:firstLine="422"/>
        <w:rPr>
          <w:rFonts w:hint="eastAsia" w:ascii="宋体" w:hAnsi="宋体" w:eastAsia="宋体" w:cs="宋体"/>
          <w:b/>
          <w:bCs/>
          <w:i/>
          <w:iCs/>
          <w:color w:val="000000"/>
          <w:highlight w:val="none"/>
          <w:u w:val="single"/>
        </w:rPr>
      </w:pPr>
      <w:r>
        <w:rPr>
          <w:rFonts w:hint="eastAsia" w:ascii="宋体" w:hAnsi="宋体" w:eastAsia="宋体" w:cs="宋体"/>
          <w:b/>
          <w:bCs/>
          <w:i/>
          <w:iCs/>
          <w:color w:val="000000"/>
          <w:highlight w:val="none"/>
          <w:u w:val="single"/>
        </w:rPr>
        <w:t>2、供应商采购的主要材料应在主要材料品牌推荐表推荐的品牌中选择或自行选定其他同等品牌，自行选定的需填写详细的品牌、规格、型号、技术指标。所有材料进场前在征得采购人确认后才能使用,重要主材进场前应送样确认，重要技术指标不得小于采购人规定。（提供针对前述内容的承诺书和对应的主要材料品牌表，格式自拟，原件加盖供应商公章）</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57"/>
        <w:gridCol w:w="2914"/>
        <w:gridCol w:w="3598"/>
        <w:gridCol w:w="2019"/>
      </w:tblGrid>
      <w:tr w14:paraId="45DDB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9288" w:type="dxa"/>
            <w:gridSpan w:val="4"/>
            <w:shd w:val="clear" w:color="auto" w:fill="auto"/>
            <w:noWrap w:val="0"/>
            <w:vAlign w:val="center"/>
          </w:tcPr>
          <w:p w14:paraId="46057C96">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主要材料品牌要求一览表</w:t>
            </w:r>
          </w:p>
        </w:tc>
      </w:tr>
      <w:tr w14:paraId="71C0C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 w:hRule="atLeast"/>
          <w:jc w:val="center"/>
        </w:trPr>
        <w:tc>
          <w:tcPr>
            <w:tcW w:w="757" w:type="dxa"/>
            <w:shd w:val="clear" w:color="auto" w:fill="auto"/>
            <w:noWrap w:val="0"/>
            <w:vAlign w:val="center"/>
          </w:tcPr>
          <w:p w14:paraId="6EFDC344">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序号</w:t>
            </w:r>
          </w:p>
        </w:tc>
        <w:tc>
          <w:tcPr>
            <w:tcW w:w="2914" w:type="dxa"/>
            <w:shd w:val="clear" w:color="auto" w:fill="auto"/>
            <w:noWrap w:val="0"/>
            <w:vAlign w:val="center"/>
          </w:tcPr>
          <w:p w14:paraId="24F669FB">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主要材料名称</w:t>
            </w:r>
          </w:p>
        </w:tc>
        <w:tc>
          <w:tcPr>
            <w:tcW w:w="3598" w:type="dxa"/>
            <w:shd w:val="clear" w:color="auto" w:fill="auto"/>
            <w:noWrap w:val="0"/>
            <w:vAlign w:val="center"/>
          </w:tcPr>
          <w:p w14:paraId="110D26EE">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品牌</w:t>
            </w:r>
          </w:p>
        </w:tc>
        <w:tc>
          <w:tcPr>
            <w:tcW w:w="2019" w:type="dxa"/>
            <w:shd w:val="clear" w:color="auto" w:fill="auto"/>
            <w:noWrap w:val="0"/>
            <w:vAlign w:val="center"/>
          </w:tcPr>
          <w:p w14:paraId="0C998337">
            <w:pPr>
              <w:keepNext w:val="0"/>
              <w:keepLines w:val="0"/>
              <w:pageBreakBefore w:val="0"/>
              <w:widowControl w:val="0"/>
              <w:spacing w:beforeAutospacing="0" w:afterAutospacing="0" w:line="240" w:lineRule="auto"/>
              <w:ind w:left="0" w:firstLine="0"/>
              <w:jc w:val="center"/>
              <w:rPr>
                <w:rFonts w:hint="eastAsia" w:ascii="宋体" w:hAnsi="宋体" w:eastAsia="宋体" w:cs="宋体"/>
                <w:b/>
                <w:i w:val="0"/>
                <w:iCs w:val="0"/>
                <w:color w:val="000000"/>
                <w:kern w:val="0"/>
                <w:sz w:val="21"/>
                <w:szCs w:val="21"/>
                <w:highlight w:val="none"/>
              </w:rPr>
            </w:pPr>
            <w:r>
              <w:rPr>
                <w:rFonts w:hint="eastAsia" w:ascii="宋体" w:hAnsi="宋体" w:eastAsia="宋体" w:cs="宋体"/>
                <w:b/>
                <w:i w:val="0"/>
                <w:iCs w:val="0"/>
                <w:color w:val="000000"/>
                <w:kern w:val="0"/>
                <w:sz w:val="21"/>
                <w:szCs w:val="21"/>
                <w:highlight w:val="none"/>
              </w:rPr>
              <w:t>备注</w:t>
            </w:r>
          </w:p>
        </w:tc>
      </w:tr>
      <w:tr w14:paraId="14EEE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1D26133F">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1</w:t>
            </w:r>
          </w:p>
        </w:tc>
        <w:tc>
          <w:tcPr>
            <w:tcW w:w="2914" w:type="dxa"/>
            <w:shd w:val="clear" w:color="auto" w:fill="auto"/>
            <w:noWrap w:val="0"/>
            <w:vAlign w:val="center"/>
          </w:tcPr>
          <w:p w14:paraId="48A0A6BF">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钢质门</w:t>
            </w:r>
            <w:r>
              <w:rPr>
                <w:rFonts w:hint="eastAsia" w:ascii="宋体" w:hAnsi="宋体" w:cs="宋体"/>
                <w:i w:val="0"/>
                <w:iCs w:val="0"/>
                <w:color w:val="000000"/>
                <w:kern w:val="0"/>
                <w:sz w:val="21"/>
                <w:szCs w:val="21"/>
                <w:highlight w:val="none"/>
                <w:lang w:val="en-US" w:eastAsia="zh-CN"/>
              </w:rPr>
              <w:t>（含电动门及普通钢质门）</w:t>
            </w:r>
          </w:p>
        </w:tc>
        <w:tc>
          <w:tcPr>
            <w:tcW w:w="3598" w:type="dxa"/>
            <w:shd w:val="clear" w:color="auto" w:fill="auto"/>
            <w:noWrap w:val="0"/>
            <w:vAlign w:val="center"/>
          </w:tcPr>
          <w:p w14:paraId="747927DD">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rPr>
            </w:pPr>
            <w:r>
              <w:rPr>
                <w:rFonts w:hint="eastAsia" w:ascii="宋体" w:hAnsi="宋体" w:eastAsia="宋体" w:cs="宋体"/>
                <w:i w:val="0"/>
                <w:iCs w:val="0"/>
                <w:color w:val="000000"/>
                <w:kern w:val="0"/>
                <w:sz w:val="21"/>
                <w:szCs w:val="21"/>
                <w:highlight w:val="none"/>
                <w:lang w:val="en-US" w:eastAsia="zh-CN"/>
              </w:rPr>
              <w:t>北京霍曼（Hörmann）、南京格满林（COMANY）、诺沃芬（Novoferm）</w:t>
            </w:r>
            <w:r>
              <w:rPr>
                <w:rFonts w:hint="eastAsia" w:ascii="宋体" w:hAnsi="宋体" w:cs="宋体"/>
                <w:i w:val="0"/>
                <w:iCs w:val="0"/>
                <w:color w:val="000000"/>
                <w:kern w:val="0"/>
                <w:sz w:val="21"/>
                <w:szCs w:val="21"/>
                <w:highlight w:val="none"/>
                <w:lang w:val="en-US" w:eastAsia="zh-CN"/>
              </w:rPr>
              <w:t>、中盾</w:t>
            </w:r>
          </w:p>
        </w:tc>
        <w:tc>
          <w:tcPr>
            <w:tcW w:w="2019" w:type="dxa"/>
            <w:shd w:val="clear" w:color="auto" w:fill="auto"/>
            <w:noWrap w:val="0"/>
            <w:vAlign w:val="center"/>
          </w:tcPr>
          <w:p w14:paraId="68834E2A">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3DFE0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6A713F80">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rPr>
              <w:t>2</w:t>
            </w:r>
          </w:p>
        </w:tc>
        <w:tc>
          <w:tcPr>
            <w:tcW w:w="2914" w:type="dxa"/>
            <w:shd w:val="clear" w:color="auto" w:fill="auto"/>
            <w:noWrap w:val="0"/>
            <w:vAlign w:val="center"/>
          </w:tcPr>
          <w:p w14:paraId="20B5DBA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钢板</w:t>
            </w:r>
          </w:p>
        </w:tc>
        <w:tc>
          <w:tcPr>
            <w:tcW w:w="3598" w:type="dxa"/>
            <w:shd w:val="clear" w:color="auto" w:fill="auto"/>
            <w:noWrap w:val="0"/>
            <w:vAlign w:val="center"/>
          </w:tcPr>
          <w:p w14:paraId="0335CF0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宝钢、首钢、本钢</w:t>
            </w:r>
          </w:p>
        </w:tc>
        <w:tc>
          <w:tcPr>
            <w:tcW w:w="2019" w:type="dxa"/>
            <w:shd w:val="clear" w:color="auto" w:fill="auto"/>
            <w:noWrap w:val="0"/>
            <w:vAlign w:val="center"/>
          </w:tcPr>
          <w:p w14:paraId="5CD3B55F">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22582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9" w:hRule="atLeast"/>
          <w:jc w:val="center"/>
        </w:trPr>
        <w:tc>
          <w:tcPr>
            <w:tcW w:w="757" w:type="dxa"/>
            <w:shd w:val="clear" w:color="auto" w:fill="auto"/>
            <w:noWrap w:val="0"/>
            <w:vAlign w:val="center"/>
          </w:tcPr>
          <w:p w14:paraId="12288258">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3</w:t>
            </w:r>
          </w:p>
        </w:tc>
        <w:tc>
          <w:tcPr>
            <w:tcW w:w="2914" w:type="dxa"/>
            <w:shd w:val="clear" w:color="auto" w:fill="auto"/>
            <w:noWrap w:val="0"/>
            <w:vAlign w:val="center"/>
          </w:tcPr>
          <w:p w14:paraId="1479F255">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地弹簧、门机</w:t>
            </w:r>
          </w:p>
        </w:tc>
        <w:tc>
          <w:tcPr>
            <w:tcW w:w="3598" w:type="dxa"/>
            <w:shd w:val="clear" w:color="auto" w:fill="auto"/>
            <w:noWrap w:val="0"/>
            <w:vAlign w:val="center"/>
          </w:tcPr>
          <w:p w14:paraId="3A00C29C">
            <w:pPr>
              <w:keepNext w:val="0"/>
              <w:keepLines w:val="0"/>
              <w:pageBreakBefore w:val="0"/>
              <w:widowControl w:val="0"/>
              <w:spacing w:beforeAutospacing="0" w:afterAutospacing="0" w:line="240" w:lineRule="auto"/>
              <w:ind w:left="0" w:firstLine="0"/>
              <w:jc w:val="center"/>
              <w:rPr>
                <w:rFonts w:hint="default" w:ascii="宋体" w:hAnsi="宋体" w:eastAsia="宋体" w:cs="宋体"/>
                <w:i w:val="0"/>
                <w:iCs w:val="0"/>
                <w:color w:val="000000"/>
                <w:kern w:val="0"/>
                <w:sz w:val="21"/>
                <w:szCs w:val="21"/>
                <w:highlight w:val="none"/>
                <w:lang w:val="en-US" w:eastAsia="zh-CN"/>
              </w:rPr>
            </w:pPr>
            <w:r>
              <w:rPr>
                <w:rFonts w:hint="default" w:ascii="宋体" w:hAnsi="宋体" w:eastAsia="宋体" w:cs="宋体"/>
                <w:i w:val="0"/>
                <w:iCs w:val="0"/>
                <w:color w:val="000000"/>
                <w:kern w:val="0"/>
                <w:sz w:val="21"/>
                <w:szCs w:val="21"/>
                <w:highlight w:val="none"/>
                <w:lang w:val="en-US" w:eastAsia="zh-CN"/>
              </w:rPr>
              <w:t>多玛、盖泽、松下</w:t>
            </w:r>
          </w:p>
        </w:tc>
        <w:tc>
          <w:tcPr>
            <w:tcW w:w="2019" w:type="dxa"/>
            <w:shd w:val="clear" w:color="auto" w:fill="auto"/>
            <w:noWrap w:val="0"/>
            <w:vAlign w:val="center"/>
          </w:tcPr>
          <w:p w14:paraId="19B288B4">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23AE7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37" w:hRule="atLeast"/>
          <w:jc w:val="center"/>
        </w:trPr>
        <w:tc>
          <w:tcPr>
            <w:tcW w:w="757" w:type="dxa"/>
            <w:shd w:val="clear" w:color="auto" w:fill="auto"/>
            <w:noWrap w:val="0"/>
            <w:vAlign w:val="center"/>
          </w:tcPr>
          <w:p w14:paraId="18414F86">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4</w:t>
            </w:r>
          </w:p>
        </w:tc>
        <w:tc>
          <w:tcPr>
            <w:tcW w:w="2914" w:type="dxa"/>
            <w:shd w:val="clear" w:color="auto" w:fill="auto"/>
            <w:noWrap w:val="0"/>
            <w:vAlign w:val="center"/>
          </w:tcPr>
          <w:p w14:paraId="346D8506">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lang w:val="en-US" w:eastAsia="zh-CN"/>
              </w:rPr>
            </w:pPr>
            <w:r>
              <w:rPr>
                <w:rFonts w:hint="eastAsia" w:ascii="宋体" w:hAnsi="宋体" w:eastAsia="宋体" w:cs="宋体"/>
                <w:i w:val="0"/>
                <w:iCs w:val="0"/>
                <w:color w:val="000000"/>
                <w:kern w:val="0"/>
                <w:sz w:val="21"/>
                <w:szCs w:val="21"/>
                <w:highlight w:val="none"/>
                <w:lang w:val="en-US" w:eastAsia="zh-CN"/>
              </w:rPr>
              <w:t>闭门器</w:t>
            </w:r>
          </w:p>
        </w:tc>
        <w:tc>
          <w:tcPr>
            <w:tcW w:w="3598" w:type="dxa"/>
            <w:shd w:val="clear" w:color="auto" w:fill="auto"/>
            <w:noWrap w:val="0"/>
            <w:vAlign w:val="center"/>
          </w:tcPr>
          <w:p w14:paraId="07157A61">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r>
              <w:rPr>
                <w:rFonts w:hint="eastAsia" w:ascii="宋体" w:hAnsi="宋体" w:eastAsia="宋体" w:cs="宋体"/>
                <w:i w:val="0"/>
                <w:iCs w:val="0"/>
                <w:color w:val="000000"/>
                <w:kern w:val="0"/>
                <w:sz w:val="21"/>
                <w:szCs w:val="21"/>
                <w:highlight w:val="none"/>
              </w:rPr>
              <w:t>盖泽、多玛、</w:t>
            </w:r>
            <w:r>
              <w:rPr>
                <w:rFonts w:hint="eastAsia" w:ascii="宋体" w:hAnsi="宋体" w:eastAsia="宋体" w:cs="宋体"/>
                <w:i w:val="0"/>
                <w:iCs w:val="0"/>
                <w:color w:val="000000"/>
                <w:kern w:val="0"/>
                <w:sz w:val="21"/>
                <w:szCs w:val="21"/>
                <w:highlight w:val="none"/>
                <w:lang w:val="en-US" w:eastAsia="zh-CN"/>
              </w:rPr>
              <w:t>美和</w:t>
            </w:r>
          </w:p>
        </w:tc>
        <w:tc>
          <w:tcPr>
            <w:tcW w:w="2019" w:type="dxa"/>
            <w:shd w:val="clear" w:color="auto" w:fill="auto"/>
            <w:noWrap w:val="0"/>
            <w:vAlign w:val="center"/>
          </w:tcPr>
          <w:p w14:paraId="3A06E62D">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A9FA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6061FA42">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5</w:t>
            </w:r>
          </w:p>
        </w:tc>
        <w:tc>
          <w:tcPr>
            <w:tcW w:w="2914" w:type="dxa"/>
            <w:shd w:val="clear" w:color="auto" w:fill="auto"/>
            <w:noWrap w:val="0"/>
            <w:vAlign w:val="center"/>
          </w:tcPr>
          <w:p w14:paraId="1D28E3F1">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铝板天花</w:t>
            </w:r>
          </w:p>
        </w:tc>
        <w:tc>
          <w:tcPr>
            <w:tcW w:w="3598" w:type="dxa"/>
            <w:shd w:val="clear" w:color="auto" w:fill="auto"/>
            <w:noWrap w:val="0"/>
            <w:vAlign w:val="center"/>
          </w:tcPr>
          <w:p w14:paraId="0A01B0A3">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浦</w:t>
            </w:r>
            <w:r>
              <w:rPr>
                <w:rFonts w:hint="eastAsia" w:ascii="宋体" w:hAnsi="宋体" w:eastAsia="宋体" w:cs="宋体"/>
                <w:i w:val="0"/>
                <w:iCs w:val="0"/>
                <w:color w:val="000000"/>
                <w:kern w:val="0"/>
                <w:sz w:val="21"/>
                <w:szCs w:val="21"/>
                <w:highlight w:val="none"/>
                <w:lang w:val="en-US" w:eastAsia="zh-CN"/>
              </w:rPr>
              <w:t>菲</w:t>
            </w:r>
            <w:r>
              <w:rPr>
                <w:rFonts w:hint="eastAsia" w:ascii="宋体" w:hAnsi="宋体" w:eastAsia="宋体" w:cs="宋体"/>
                <w:i w:val="0"/>
                <w:iCs w:val="0"/>
                <w:color w:val="000000"/>
                <w:kern w:val="0"/>
                <w:sz w:val="21"/>
                <w:szCs w:val="21"/>
                <w:highlight w:val="none"/>
              </w:rPr>
              <w:t>尔、西姆顿、史泰博</w:t>
            </w:r>
          </w:p>
        </w:tc>
        <w:tc>
          <w:tcPr>
            <w:tcW w:w="2019" w:type="dxa"/>
            <w:shd w:val="clear" w:color="auto" w:fill="auto"/>
            <w:noWrap w:val="0"/>
            <w:vAlign w:val="center"/>
          </w:tcPr>
          <w:p w14:paraId="40ABDB4B">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437F3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57F149D1">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6</w:t>
            </w:r>
          </w:p>
        </w:tc>
        <w:tc>
          <w:tcPr>
            <w:tcW w:w="2914" w:type="dxa"/>
            <w:shd w:val="clear" w:color="auto" w:fill="auto"/>
            <w:noWrap w:val="0"/>
            <w:vAlign w:val="center"/>
          </w:tcPr>
          <w:p w14:paraId="7E6B75F3">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网线</w:t>
            </w:r>
          </w:p>
        </w:tc>
        <w:tc>
          <w:tcPr>
            <w:tcW w:w="3598" w:type="dxa"/>
            <w:shd w:val="clear" w:color="auto" w:fill="auto"/>
            <w:noWrap w:val="0"/>
            <w:vAlign w:val="center"/>
          </w:tcPr>
          <w:p w14:paraId="6C13409D">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b/>
                <w:bCs/>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帝一、安普、天诚</w:t>
            </w:r>
          </w:p>
        </w:tc>
        <w:tc>
          <w:tcPr>
            <w:tcW w:w="2019" w:type="dxa"/>
            <w:shd w:val="clear" w:color="auto" w:fill="auto"/>
            <w:noWrap w:val="0"/>
            <w:vAlign w:val="center"/>
          </w:tcPr>
          <w:p w14:paraId="339CEF5E">
            <w:pPr>
              <w:keepNext w:val="0"/>
              <w:keepLines w:val="0"/>
              <w:pageBreakBefore w:val="0"/>
              <w:widowControl w:val="0"/>
              <w:spacing w:beforeAutospacing="0" w:afterAutospacing="0" w:line="240" w:lineRule="auto"/>
              <w:ind w:left="0" w:firstLine="0"/>
              <w:jc w:val="center"/>
              <w:rPr>
                <w:rFonts w:hint="eastAsia" w:ascii="宋体" w:hAnsi="宋体" w:eastAsia="宋体" w:cs="宋体"/>
                <w:i w:val="0"/>
                <w:iCs w:val="0"/>
                <w:color w:val="000000"/>
                <w:kern w:val="0"/>
                <w:sz w:val="21"/>
                <w:szCs w:val="21"/>
                <w:highlight w:val="none"/>
              </w:rPr>
            </w:pPr>
          </w:p>
        </w:tc>
      </w:tr>
      <w:tr w14:paraId="33D89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487CA271">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7</w:t>
            </w:r>
          </w:p>
        </w:tc>
        <w:tc>
          <w:tcPr>
            <w:tcW w:w="2914" w:type="dxa"/>
            <w:shd w:val="clear" w:color="auto" w:fill="auto"/>
            <w:noWrap w:val="0"/>
            <w:vAlign w:val="center"/>
          </w:tcPr>
          <w:p w14:paraId="2C33A020">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sz w:val="21"/>
                <w:szCs w:val="21"/>
                <w:highlight w:val="none"/>
              </w:rPr>
              <w:t>门禁设施</w:t>
            </w:r>
          </w:p>
        </w:tc>
        <w:tc>
          <w:tcPr>
            <w:tcW w:w="3598" w:type="dxa"/>
            <w:shd w:val="clear" w:color="auto" w:fill="auto"/>
            <w:noWrap w:val="0"/>
            <w:vAlign w:val="center"/>
          </w:tcPr>
          <w:p w14:paraId="12B03028">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sz w:val="21"/>
                <w:szCs w:val="21"/>
                <w:highlight w:val="none"/>
              </w:rPr>
              <w:t>捷顺、大华、海康</w:t>
            </w:r>
          </w:p>
        </w:tc>
        <w:tc>
          <w:tcPr>
            <w:tcW w:w="2019" w:type="dxa"/>
            <w:shd w:val="clear" w:color="auto" w:fill="auto"/>
            <w:noWrap w:val="0"/>
            <w:vAlign w:val="center"/>
          </w:tcPr>
          <w:p w14:paraId="22EC0A68">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2"/>
                <w:sz w:val="21"/>
                <w:szCs w:val="21"/>
                <w:highlight w:val="none"/>
                <w:lang w:val="en-US" w:eastAsia="zh-CN" w:bidi="ar-SA"/>
              </w:rPr>
            </w:pPr>
            <w:r>
              <w:rPr>
                <w:rFonts w:hint="eastAsia" w:ascii="宋体" w:hAnsi="宋体" w:eastAsia="宋体" w:cs="宋体"/>
                <w:i w:val="0"/>
                <w:iCs w:val="0"/>
                <w:color w:val="000000"/>
                <w:sz w:val="21"/>
                <w:szCs w:val="21"/>
                <w:highlight w:val="none"/>
              </w:rPr>
              <w:t>与原系统兼容调试到位</w:t>
            </w:r>
          </w:p>
        </w:tc>
      </w:tr>
      <w:tr w14:paraId="0D203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77DF929B">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8</w:t>
            </w:r>
          </w:p>
        </w:tc>
        <w:tc>
          <w:tcPr>
            <w:tcW w:w="2914" w:type="dxa"/>
            <w:shd w:val="clear" w:color="auto" w:fill="auto"/>
            <w:noWrap w:val="0"/>
            <w:vAlign w:val="center"/>
          </w:tcPr>
          <w:p w14:paraId="17B5FF8B">
            <w:pPr>
              <w:keepNext w:val="0"/>
              <w:keepLines w:val="0"/>
              <w:pageBreakBefore w:val="0"/>
              <w:widowControl w:val="0"/>
              <w:spacing w:beforeAutospacing="0" w:afterAutospacing="0" w:line="240" w:lineRule="auto"/>
              <w:ind w:left="0" w:leftChars="0" w:firstLine="0" w:firstLineChars="0"/>
              <w:jc w:val="center"/>
              <w:rPr>
                <w:rFonts w:hint="default" w:ascii="宋体" w:hAnsi="宋体" w:eastAsia="宋体" w:cs="宋体"/>
                <w:i w:val="0"/>
                <w:iCs w:val="0"/>
                <w:color w:val="000000"/>
                <w:sz w:val="21"/>
                <w:szCs w:val="21"/>
                <w:highlight w:val="none"/>
                <w:lang w:val="en-US" w:eastAsia="zh-CN"/>
              </w:rPr>
            </w:pPr>
            <w:r>
              <w:rPr>
                <w:rFonts w:hint="eastAsia" w:ascii="宋体" w:hAnsi="宋体" w:eastAsia="宋体" w:cs="宋体"/>
                <w:i w:val="0"/>
                <w:iCs w:val="0"/>
                <w:color w:val="000000"/>
                <w:sz w:val="21"/>
                <w:szCs w:val="21"/>
                <w:highlight w:val="none"/>
                <w:lang w:val="en-US" w:eastAsia="zh-CN"/>
              </w:rPr>
              <w:t>冰火板</w:t>
            </w:r>
          </w:p>
        </w:tc>
        <w:tc>
          <w:tcPr>
            <w:tcW w:w="3598" w:type="dxa"/>
            <w:shd w:val="clear" w:color="auto" w:fill="auto"/>
            <w:noWrap w:val="0"/>
            <w:vAlign w:val="center"/>
          </w:tcPr>
          <w:p w14:paraId="02EE8D25">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sz w:val="21"/>
                <w:szCs w:val="21"/>
                <w:highlight w:val="none"/>
              </w:rPr>
            </w:pPr>
            <w:r>
              <w:rPr>
                <w:rFonts w:hint="eastAsia" w:ascii="宋体" w:hAnsi="宋体" w:eastAsia="宋体" w:cs="宋体"/>
                <w:i w:val="0"/>
                <w:iCs w:val="0"/>
                <w:color w:val="000000"/>
                <w:sz w:val="21"/>
                <w:szCs w:val="21"/>
                <w:highlight w:val="none"/>
              </w:rPr>
              <w:t>帝龙、威盛亚、富美家</w:t>
            </w:r>
          </w:p>
        </w:tc>
        <w:tc>
          <w:tcPr>
            <w:tcW w:w="2019" w:type="dxa"/>
            <w:shd w:val="clear" w:color="auto" w:fill="auto"/>
            <w:noWrap w:val="0"/>
            <w:vAlign w:val="center"/>
          </w:tcPr>
          <w:p w14:paraId="77625E47">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sz w:val="21"/>
                <w:szCs w:val="21"/>
                <w:highlight w:val="none"/>
              </w:rPr>
            </w:pPr>
          </w:p>
        </w:tc>
      </w:tr>
      <w:tr w14:paraId="0BD1B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7" w:type="dxa"/>
            <w:shd w:val="clear" w:color="auto" w:fill="auto"/>
            <w:noWrap w:val="0"/>
            <w:vAlign w:val="center"/>
          </w:tcPr>
          <w:p w14:paraId="32322C89">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lang w:val="en-US" w:eastAsia="zh-CN" w:bidi="ar-SA"/>
              </w:rPr>
              <w:t>9</w:t>
            </w:r>
          </w:p>
        </w:tc>
        <w:tc>
          <w:tcPr>
            <w:tcW w:w="2914" w:type="dxa"/>
            <w:shd w:val="clear" w:color="auto" w:fill="auto"/>
            <w:noWrap w:val="0"/>
            <w:vAlign w:val="center"/>
          </w:tcPr>
          <w:p w14:paraId="3A9E1236">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内墙乳胶漆</w:t>
            </w:r>
          </w:p>
        </w:tc>
        <w:tc>
          <w:tcPr>
            <w:tcW w:w="3598" w:type="dxa"/>
            <w:shd w:val="clear" w:color="auto" w:fill="auto"/>
            <w:noWrap w:val="0"/>
            <w:vAlign w:val="center"/>
          </w:tcPr>
          <w:p w14:paraId="7B55FF6C">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SKK(白帆系列)、立邦(净味120)、佐敦(金佰士)</w:t>
            </w:r>
          </w:p>
        </w:tc>
        <w:tc>
          <w:tcPr>
            <w:tcW w:w="2019" w:type="dxa"/>
            <w:shd w:val="clear" w:color="auto" w:fill="auto"/>
            <w:noWrap w:val="0"/>
            <w:vAlign w:val="center"/>
          </w:tcPr>
          <w:p w14:paraId="6DC89AC3">
            <w:pPr>
              <w:keepNext w:val="0"/>
              <w:keepLines w:val="0"/>
              <w:pageBreakBefore w:val="0"/>
              <w:widowControl w:val="0"/>
              <w:spacing w:beforeAutospacing="0" w:afterAutospacing="0" w:line="240" w:lineRule="auto"/>
              <w:ind w:left="0" w:leftChars="0" w:firstLine="0" w:firstLineChars="0"/>
              <w:jc w:val="center"/>
              <w:rPr>
                <w:rFonts w:hint="eastAsia" w:ascii="宋体" w:hAnsi="宋体" w:eastAsia="宋体" w:cs="宋体"/>
                <w:i w:val="0"/>
                <w:iCs w:val="0"/>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rPr>
              <w:t>符合室内环保要求</w:t>
            </w:r>
          </w:p>
        </w:tc>
      </w:tr>
      <w:bookmarkEnd w:id="125"/>
      <w:bookmarkEnd w:id="126"/>
      <w:bookmarkEnd w:id="127"/>
      <w:bookmarkEnd w:id="128"/>
    </w:tbl>
    <w:p w14:paraId="206821D3">
      <w:pPr>
        <w:spacing w:line="360" w:lineRule="auto"/>
        <w:rPr>
          <w:rFonts w:ascii="宋体" w:hAnsi="宋体" w:cs="宋体"/>
          <w:b/>
          <w:color w:val="auto"/>
          <w:szCs w:val="21"/>
          <w:highlight w:val="none"/>
        </w:rPr>
      </w:pP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施工注意事项</w:t>
      </w:r>
    </w:p>
    <w:p w14:paraId="29039086">
      <w:pPr>
        <w:tabs>
          <w:tab w:val="left" w:pos="0"/>
          <w:tab w:val="left" w:pos="495"/>
        </w:tabs>
        <w:spacing w:line="360" w:lineRule="auto"/>
        <w:ind w:firstLine="422"/>
        <w:rPr>
          <w:rFonts w:ascii="宋体" w:hAnsi="宋体" w:cs="宋体"/>
          <w:bCs/>
          <w:color w:val="auto"/>
          <w:szCs w:val="21"/>
          <w:highlight w:val="none"/>
        </w:rPr>
      </w:pPr>
      <w:r>
        <w:rPr>
          <w:rFonts w:hint="eastAsia" w:ascii="宋体" w:hAnsi="宋体" w:cs="宋体"/>
          <w:bCs/>
          <w:color w:val="auto"/>
          <w:szCs w:val="21"/>
          <w:highlight w:val="none"/>
        </w:rPr>
        <w:t>1、实际施工前，具体细节必须现场再次征求医院意见。</w:t>
      </w:r>
    </w:p>
    <w:p w14:paraId="44D261B1">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2、为保护医院职工、患者、员工人身及财物的安全，施工单位必须服从医院相关部门的管理及施工时间的安排，合理制定施工组织措施及安全措施。</w:t>
      </w:r>
    </w:p>
    <w:p w14:paraId="72A2B822">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3、施工时应考虑采取相关的安全文明措辞，如施工场地四周必须设置安全围档，警示红灯等，走廊内不得堆放材料及垃圾，并及时清扫地面，其它如注意防尘、防噪等，以减少对周边环境的影响。</w:t>
      </w:r>
    </w:p>
    <w:p w14:paraId="70535E52">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、拆除时不得野蛮施工，不得破坏墙体结构。</w:t>
      </w:r>
    </w:p>
    <w:p w14:paraId="64DBAAC7">
      <w:pPr>
        <w:tabs>
          <w:tab w:val="left" w:pos="0"/>
          <w:tab w:val="left" w:pos="495"/>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、成交人须完全承担项目实施全过程中的施工人员及其他可能涉及到的人员的一切的安全责任，在施工过程中如引起人身伤害和其它财产安全事故，由成交人全权负责处理，并承担全部责任。</w:t>
      </w:r>
    </w:p>
    <w:p w14:paraId="4906E330">
      <w:pPr>
        <w:tabs>
          <w:tab w:val="left" w:pos="0"/>
          <w:tab w:val="left" w:pos="495"/>
        </w:tabs>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因医院项目的特殊性，成交人在施工过程不得影响施工区域以外正常使用，包括水、电、空调、消防、监控、氧气等系统，施工过程中若施工原因导致施工区域外一切问题，一切维修及费用由施工单位承担，由于噪音引起换着投诉等工期都算在总工期内，施工单位自行考虑。</w:t>
      </w:r>
    </w:p>
    <w:p w14:paraId="4EA37A8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、本项目是在医院施工，施工附近存在病房内有重症病人的情况，需要有针对性的应急预案以保障一些突发事件得到有效的处理。</w:t>
      </w:r>
    </w:p>
    <w:p w14:paraId="2039709C">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、可提供施工用水电接入点，但需交纳水电费，定额扣除。</w:t>
      </w:r>
    </w:p>
    <w:p w14:paraId="1720D6EE">
      <w:pPr>
        <w:tabs>
          <w:tab w:val="left" w:pos="0"/>
        </w:tabs>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、竣工验收必须提供详细的竣工图纸、检测资料、材料的合格资料及其它相关的资料，施工全程应有照片记录并附文字说明，并存入U盘交甲方。其中变更签证、隐蔽工程必须有可靠的照片或视频。</w:t>
      </w:r>
    </w:p>
    <w:p w14:paraId="3049F95E">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、负责整体改造工程竣工验收前的卫生保洁。</w:t>
      </w:r>
    </w:p>
    <w:p w14:paraId="2B759695">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、施工开凿及损坏的墙面、地面、孔洞、吊顶应恢复至原样。</w:t>
      </w:r>
    </w:p>
    <w:p w14:paraId="13AC2D46">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、楼内外原有垃圾、杂物及施工产生的垃圾及时自行清运出医院并做好卫生保洁工作，垃圾一日一清，保证路边畅通。</w:t>
      </w:r>
    </w:p>
    <w:p w14:paraId="20D14640">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人在签订合同前七日，缴纳成交价的10%至采购人账户作为履约保证金。履约保证金用以约束成交供应商在合同履行中的行为，弥补合同执行中由于自身行为可能给采购人带来的各种损失。如果成交供应商不同意按照规定去做，采购人有权取消本次采购成交决定。审计结束双方无争议情况下七日内无息退还履约保证金。</w:t>
      </w:r>
    </w:p>
    <w:p w14:paraId="2C44BC62">
      <w:pPr>
        <w:tabs>
          <w:tab w:val="left" w:pos="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材料品牌应按照品牌表要求报送建设单位同意后方可订货，品牌表上没有品牌要求的也应取得建设单位认可后方可订货。材料进场前应取得建设单位及监理单位认可后方可进场。项目应实行样板先行的原则，样板应取得建设单位认可后在开展大规模施工。</w:t>
      </w:r>
    </w:p>
    <w:p w14:paraId="07B7DE5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、磋商须知</w:t>
      </w:r>
    </w:p>
    <w:p w14:paraId="2FD36779">
      <w:pPr>
        <w:spacing w:line="360" w:lineRule="auto"/>
        <w:ind w:firstLine="422" w:firstLineChars="200"/>
        <w:rPr>
          <w:rFonts w:hint="eastAsia" w:ascii="宋体" w:hAnsi="宋体" w:cs="宋体"/>
          <w:b/>
          <w:bCs/>
          <w:i/>
          <w:iCs/>
          <w:color w:val="auto"/>
          <w:kern w:val="0"/>
          <w:szCs w:val="21"/>
          <w:highlight w:val="none"/>
          <w:u w:val="single"/>
        </w:rPr>
      </w:pPr>
      <w:r>
        <w:rPr>
          <w:rFonts w:hint="eastAsia" w:ascii="宋体" w:hAnsi="宋体" w:cs="宋体"/>
          <w:b/>
          <w:bCs/>
          <w:i/>
          <w:iCs/>
          <w:color w:val="auto"/>
          <w:kern w:val="0"/>
          <w:szCs w:val="21"/>
          <w:highlight w:val="none"/>
          <w:u w:val="single"/>
          <w:lang w:val="en-US" w:eastAsia="zh-CN"/>
        </w:rPr>
        <w:t>1</w:t>
      </w:r>
      <w:r>
        <w:rPr>
          <w:rFonts w:hint="eastAsia" w:ascii="宋体" w:hAnsi="宋体" w:cs="宋体"/>
          <w:b/>
          <w:bCs/>
          <w:i/>
          <w:iCs/>
          <w:color w:val="auto"/>
          <w:kern w:val="0"/>
          <w:szCs w:val="21"/>
          <w:highlight w:val="none"/>
          <w:u w:val="single"/>
        </w:rPr>
        <w:t>、供应商成交后根据本单位的最后响应报价和首轮明细报价，自行调整各明细单价（原则上除不可竞争费外，其他各分项报价同比例下浮）直至和最后响应报价相符，报采购人和预算编制单位审核，审核通过后，后期根据审核后的明细报价,按实结算。（提供针对本条上述所有内容的承诺书，格式自拟，原件加盖供应商公章）</w:t>
      </w:r>
    </w:p>
    <w:p w14:paraId="06493B1B">
      <w:pPr>
        <w:spacing w:line="360" w:lineRule="auto"/>
        <w:ind w:firstLine="422" w:firstLineChars="200"/>
        <w:rPr>
          <w:rFonts w:hint="eastAsia" w:ascii="宋体" w:hAnsi="宋体" w:cs="宋体"/>
          <w:b/>
          <w:bCs/>
          <w:i/>
          <w:iCs/>
          <w:color w:val="auto"/>
          <w:kern w:val="0"/>
          <w:szCs w:val="21"/>
          <w:highlight w:val="none"/>
          <w:u w:val="single"/>
        </w:rPr>
      </w:pPr>
      <w:r>
        <w:rPr>
          <w:rFonts w:hint="eastAsia" w:ascii="宋体" w:hAnsi="宋体" w:cs="宋体"/>
          <w:b/>
          <w:bCs/>
          <w:i/>
          <w:iCs/>
          <w:color w:val="auto"/>
          <w:kern w:val="0"/>
          <w:szCs w:val="21"/>
          <w:highlight w:val="none"/>
          <w:u w:val="single"/>
          <w:lang w:val="en-US" w:eastAsia="zh-CN"/>
        </w:rPr>
        <w:t>2、供应商</w:t>
      </w:r>
      <w:r>
        <w:rPr>
          <w:rFonts w:hint="eastAsia" w:ascii="宋体" w:hAnsi="宋体" w:cs="宋体"/>
          <w:b/>
          <w:bCs/>
          <w:i/>
          <w:iCs/>
          <w:color w:val="auto"/>
          <w:kern w:val="0"/>
          <w:szCs w:val="21"/>
          <w:highlight w:val="none"/>
          <w:u w:val="single"/>
        </w:rPr>
        <w:t>在</w:t>
      </w:r>
      <w:r>
        <w:rPr>
          <w:rFonts w:hint="eastAsia" w:ascii="宋体" w:hAnsi="宋体" w:cs="宋体"/>
          <w:b/>
          <w:bCs/>
          <w:i/>
          <w:iCs/>
          <w:color w:val="auto"/>
          <w:kern w:val="0"/>
          <w:szCs w:val="21"/>
          <w:highlight w:val="none"/>
          <w:u w:val="single"/>
          <w:lang w:val="en-US" w:eastAsia="zh-CN"/>
        </w:rPr>
        <w:t>磋商响应</w:t>
      </w:r>
      <w:r>
        <w:rPr>
          <w:rFonts w:hint="eastAsia" w:ascii="宋体" w:hAnsi="宋体" w:cs="宋体"/>
          <w:b/>
          <w:bCs/>
          <w:i/>
          <w:iCs/>
          <w:color w:val="auto"/>
          <w:kern w:val="0"/>
          <w:szCs w:val="21"/>
          <w:highlight w:val="none"/>
          <w:u w:val="single"/>
        </w:rPr>
        <w:t>文件递交截止时间当日，建筑业企业资质</w:t>
      </w:r>
      <w:r>
        <w:rPr>
          <w:rFonts w:hint="eastAsia" w:ascii="宋体" w:hAnsi="宋体" w:cs="宋体"/>
          <w:b/>
          <w:bCs/>
          <w:i/>
          <w:iCs/>
          <w:color w:val="auto"/>
          <w:kern w:val="0"/>
          <w:szCs w:val="21"/>
          <w:highlight w:val="none"/>
          <w:u w:val="single"/>
          <w:lang w:eastAsia="zh-CN"/>
        </w:rPr>
        <w:t>（</w:t>
      </w:r>
      <w:r>
        <w:rPr>
          <w:rFonts w:hint="eastAsia" w:ascii="宋体" w:hAnsi="宋体" w:cs="宋体"/>
          <w:b/>
          <w:bCs/>
          <w:i/>
          <w:iCs/>
          <w:color w:val="auto"/>
          <w:kern w:val="0"/>
          <w:szCs w:val="21"/>
          <w:highlight w:val="none"/>
          <w:u w:val="single"/>
          <w:lang w:val="en-US" w:eastAsia="zh-CN"/>
        </w:rPr>
        <w:t>建筑装修装饰工程专业承包</w:t>
      </w:r>
      <w:r>
        <w:rPr>
          <w:rFonts w:hint="eastAsia" w:ascii="宋体" w:hAnsi="宋体" w:cs="宋体"/>
          <w:b/>
          <w:bCs/>
          <w:i/>
          <w:iCs/>
          <w:color w:val="auto"/>
          <w:kern w:val="0"/>
          <w:szCs w:val="21"/>
          <w:highlight w:val="none"/>
          <w:u w:val="single"/>
          <w:lang w:eastAsia="zh-CN"/>
        </w:rPr>
        <w:t>）</w:t>
      </w:r>
      <w:r>
        <w:rPr>
          <w:rFonts w:hint="eastAsia" w:ascii="宋体" w:hAnsi="宋体" w:cs="宋体"/>
          <w:b/>
          <w:bCs/>
          <w:i/>
          <w:iCs/>
          <w:color w:val="auto"/>
          <w:kern w:val="0"/>
          <w:szCs w:val="21"/>
          <w:highlight w:val="none"/>
          <w:u w:val="single"/>
        </w:rPr>
        <w:t>动态监管结果</w:t>
      </w:r>
      <w:r>
        <w:rPr>
          <w:rFonts w:hint="eastAsia" w:ascii="宋体" w:hAnsi="宋体" w:cs="宋体"/>
          <w:b/>
          <w:bCs/>
          <w:i/>
          <w:iCs/>
          <w:color w:val="auto"/>
          <w:kern w:val="0"/>
          <w:szCs w:val="21"/>
          <w:highlight w:val="none"/>
          <w:u w:val="single"/>
          <w:lang w:val="en-US" w:eastAsia="zh-CN"/>
        </w:rPr>
        <w:t>不得</w:t>
      </w:r>
      <w:r>
        <w:rPr>
          <w:rFonts w:hint="eastAsia" w:ascii="宋体" w:hAnsi="宋体" w:cs="宋体"/>
          <w:b/>
          <w:bCs/>
          <w:i/>
          <w:iCs/>
          <w:color w:val="auto"/>
          <w:kern w:val="0"/>
          <w:szCs w:val="21"/>
          <w:highlight w:val="none"/>
          <w:u w:val="single"/>
        </w:rPr>
        <w:t>处于不合格状态</w:t>
      </w:r>
      <w:r>
        <w:rPr>
          <w:rFonts w:hint="eastAsia" w:ascii="宋体" w:hAnsi="宋体" w:cs="宋体"/>
          <w:b/>
          <w:bCs/>
          <w:i/>
          <w:iCs/>
          <w:color w:val="auto"/>
          <w:kern w:val="0"/>
          <w:szCs w:val="21"/>
          <w:highlight w:val="none"/>
          <w:u w:val="single"/>
          <w:lang w:eastAsia="zh-CN"/>
        </w:rPr>
        <w:t>。（提供针对本条上述所有内容的承诺书，承诺书格式自拟，加盖供应商公章）</w:t>
      </w:r>
    </w:p>
    <w:p w14:paraId="1517F558">
      <w:pPr>
        <w:rPr>
          <w:rFonts w:ascii="宋体" w:hAnsi="宋体" w:cs="宋体"/>
          <w:color w:val="auto"/>
          <w:kern w:val="0"/>
          <w:szCs w:val="21"/>
          <w:highlight w:val="none"/>
        </w:rPr>
      </w:pPr>
      <w:r>
        <w:rPr>
          <w:rFonts w:hint="eastAsia" w:ascii="宋体" w:hAnsi="宋体" w:cs="宋体"/>
          <w:color w:val="auto"/>
          <w:kern w:val="0"/>
          <w:szCs w:val="21"/>
          <w:highlight w:val="none"/>
        </w:rPr>
        <w:br w:type="page"/>
      </w:r>
    </w:p>
    <w:p w14:paraId="124CE2CA">
      <w:pPr>
        <w:pStyle w:val="2"/>
        <w:numPr>
          <w:ilvl w:val="0"/>
          <w:numId w:val="0"/>
        </w:numPr>
        <w:jc w:val="center"/>
        <w:rPr>
          <w:color w:val="auto"/>
          <w:highlight w:val="none"/>
        </w:rPr>
      </w:pPr>
      <w:bookmarkStart w:id="130" w:name="_Toc497145843"/>
      <w:bookmarkStart w:id="131" w:name="_Toc7715"/>
      <w:r>
        <w:rPr>
          <w:rFonts w:ascii="Times New Roman" w:hAnsi="Times New Roman" w:eastAsia="宋体" w:cs="Times New Roman"/>
          <w:b/>
          <w:bCs/>
          <w:color w:val="auto"/>
          <w:kern w:val="44"/>
          <w:sz w:val="44"/>
          <w:szCs w:val="44"/>
          <w:highlight w:val="none"/>
          <w:lang w:val="en-US" w:eastAsia="zh-CN" w:bidi="ar-SA"/>
        </w:rPr>
        <w:t>第五章</w:t>
      </w:r>
      <w:r>
        <w:rPr>
          <w:rFonts w:hint="eastAsia" w:cs="Times New Roman"/>
          <w:b/>
          <w:bCs/>
          <w:color w:val="auto"/>
          <w:kern w:val="44"/>
          <w:sz w:val="44"/>
          <w:szCs w:val="44"/>
          <w:highlight w:val="none"/>
          <w:lang w:val="en-US" w:eastAsia="zh-CN" w:bidi="ar-SA"/>
        </w:rPr>
        <w:t xml:space="preserve"> </w:t>
      </w:r>
      <w:r>
        <w:rPr>
          <w:color w:val="auto"/>
          <w:highlight w:val="none"/>
        </w:rPr>
        <w:t>评审方法和评审标准</w:t>
      </w:r>
      <w:bookmarkEnd w:id="130"/>
      <w:bookmarkEnd w:id="131"/>
    </w:p>
    <w:p w14:paraId="3897FA4C">
      <w:pPr>
        <w:pStyle w:val="90"/>
        <w:ind w:firstLine="422" w:firstLineChars="200"/>
        <w:rPr>
          <w:rFonts w:ascii="Times New Roman" w:hAnsi="Times New Roman"/>
          <w:b/>
          <w:color w:val="auto"/>
          <w:kern w:val="2"/>
          <w:sz w:val="21"/>
          <w:szCs w:val="21"/>
          <w:highlight w:val="none"/>
        </w:rPr>
      </w:pPr>
      <w:r>
        <w:rPr>
          <w:rFonts w:ascii="Times New Roman" w:hAnsi="Times New Roman"/>
          <w:b/>
          <w:color w:val="auto"/>
          <w:kern w:val="2"/>
          <w:sz w:val="21"/>
          <w:szCs w:val="21"/>
          <w:highlight w:val="none"/>
        </w:rPr>
        <w:t>一、评标方法</w:t>
      </w:r>
    </w:p>
    <w:p w14:paraId="7319D5A6">
      <w:pPr>
        <w:spacing w:line="360" w:lineRule="auto"/>
        <w:ind w:firstLine="420" w:firstLineChars="200"/>
        <w:rPr>
          <w:rFonts w:hint="eastAsia"/>
          <w:color w:val="auto"/>
          <w:highlight w:val="none"/>
        </w:rPr>
      </w:pPr>
      <w:r>
        <w:rPr>
          <w:color w:val="auto"/>
          <w:highlight w:val="none"/>
        </w:rPr>
        <w:t>本项目采用综合评分法，评委会将对确定为实质性响应磋商文件要求的响应文件进行评价和比较。评标结果按评审后得分由高到低顺序排列。得分相同的，按响应报价由低到高顺序排列。</w:t>
      </w:r>
      <w:r>
        <w:rPr>
          <w:rFonts w:hint="eastAsia"/>
          <w:color w:val="auto"/>
          <w:highlight w:val="none"/>
        </w:rPr>
        <w:t>评审得分且最后报价相同的，按照技术指标优劣顺序推荐。</w:t>
      </w:r>
      <w:r>
        <w:rPr>
          <w:color w:val="auto"/>
          <w:highlight w:val="none"/>
        </w:rPr>
        <w:t>响应文件满足磋商文件全部实质性要求，且按照评审因素的量化指标评审得分最高的供应商为排名第一的成交候选人。</w:t>
      </w:r>
    </w:p>
    <w:p w14:paraId="790E180E">
      <w:pPr>
        <w:pStyle w:val="90"/>
        <w:ind w:firstLine="422" w:firstLineChars="200"/>
        <w:rPr>
          <w:rFonts w:hint="eastAsia" w:ascii="Times New Roman" w:hAnsi="Times New Roman"/>
          <w:b/>
          <w:color w:val="auto"/>
          <w:kern w:val="2"/>
          <w:sz w:val="21"/>
          <w:szCs w:val="21"/>
          <w:highlight w:val="none"/>
        </w:rPr>
      </w:pPr>
      <w:r>
        <w:rPr>
          <w:rFonts w:hint="eastAsia" w:ascii="Times New Roman" w:hAnsi="Times New Roman"/>
          <w:b/>
          <w:color w:val="auto"/>
          <w:kern w:val="2"/>
          <w:sz w:val="21"/>
          <w:szCs w:val="21"/>
          <w:highlight w:val="none"/>
        </w:rPr>
        <w:t>二</w:t>
      </w:r>
      <w:r>
        <w:rPr>
          <w:rFonts w:ascii="Times New Roman" w:hAnsi="Times New Roman"/>
          <w:b/>
          <w:color w:val="auto"/>
          <w:kern w:val="2"/>
          <w:sz w:val="21"/>
          <w:szCs w:val="21"/>
          <w:highlight w:val="none"/>
        </w:rPr>
        <w:t>、评分标准</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674"/>
        <w:gridCol w:w="6516"/>
      </w:tblGrid>
      <w:tr w14:paraId="3AD1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591" w:type="pct"/>
            <w:noWrap/>
            <w:vAlign w:val="center"/>
          </w:tcPr>
          <w:p w14:paraId="4FF62223">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项 目</w:t>
            </w:r>
          </w:p>
        </w:tc>
        <w:tc>
          <w:tcPr>
            <w:tcW w:w="4408" w:type="pct"/>
            <w:gridSpan w:val="2"/>
            <w:noWrap/>
            <w:vAlign w:val="center"/>
          </w:tcPr>
          <w:p w14:paraId="2276AAB2">
            <w:pPr>
              <w:tabs>
                <w:tab w:val="left" w:pos="0"/>
                <w:tab w:val="left" w:pos="1134"/>
              </w:tabs>
              <w:adjustRightInd w:val="0"/>
              <w:snapToGrid w:val="0"/>
              <w:spacing w:line="320" w:lineRule="exact"/>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评分标准</w:t>
            </w:r>
          </w:p>
        </w:tc>
      </w:tr>
      <w:tr w14:paraId="27C3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noWrap/>
            <w:vAlign w:val="center"/>
          </w:tcPr>
          <w:p w14:paraId="3BD9D67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价格</w:t>
            </w:r>
          </w:p>
          <w:p w14:paraId="143BAEFE">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60</w:t>
            </w:r>
            <w:r>
              <w:rPr>
                <w:rFonts w:hint="eastAsia" w:asciiTheme="minorEastAsia" w:hAnsiTheme="minorEastAsia" w:eastAsiaTheme="minorEastAsia"/>
                <w:color w:val="auto"/>
                <w:szCs w:val="21"/>
                <w:highlight w:val="none"/>
              </w:rPr>
              <w:t>分）</w:t>
            </w:r>
          </w:p>
        </w:tc>
        <w:tc>
          <w:tcPr>
            <w:tcW w:w="4408" w:type="pct"/>
            <w:gridSpan w:val="2"/>
            <w:noWrap/>
            <w:vAlign w:val="center"/>
          </w:tcPr>
          <w:p w14:paraId="1F5EF32D">
            <w:pPr>
              <w:rPr>
                <w:rFonts w:ascii="宋体" w:hAnsi="宋体" w:cs="宋体"/>
                <w:color w:val="auto"/>
                <w:szCs w:val="21"/>
                <w:highlight w:val="none"/>
              </w:rPr>
            </w:pPr>
            <w:r>
              <w:rPr>
                <w:rFonts w:hint="eastAsia" w:ascii="宋体" w:hAnsi="宋体" w:cs="宋体"/>
                <w:color w:val="auto"/>
                <w:szCs w:val="21"/>
                <w:highlight w:val="none"/>
              </w:rPr>
              <w:t>以满足磋商文件要求且最终报价最低的供应商的价格为磋商基准价，其价格分得满分。其他供应商价格得分统一按下列公式计算：</w:t>
            </w:r>
          </w:p>
          <w:p w14:paraId="39026713">
            <w:pPr>
              <w:rPr>
                <w:rFonts w:ascii="宋体" w:hAnsi="宋体" w:cs="宋体"/>
                <w:color w:val="auto"/>
                <w:szCs w:val="21"/>
                <w:highlight w:val="none"/>
              </w:rPr>
            </w:pPr>
            <w:r>
              <w:rPr>
                <w:rFonts w:hint="eastAsia" w:ascii="宋体" w:hAnsi="宋体" w:cs="宋体"/>
                <w:color w:val="auto"/>
                <w:szCs w:val="21"/>
                <w:highlight w:val="none"/>
              </w:rPr>
              <w:t>磋商报价得分=（磋商基准价/其他最后磋商报价）×</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0×100%（保留两位有效小数）</w:t>
            </w:r>
          </w:p>
          <w:p w14:paraId="441ED348">
            <w:pPr>
              <w:rPr>
                <w:rFonts w:ascii="宋体" w:hAnsi="宋体" w:cs="宋体"/>
                <w:color w:val="auto"/>
                <w:szCs w:val="21"/>
                <w:highlight w:val="none"/>
              </w:rPr>
            </w:pPr>
            <w:r>
              <w:rPr>
                <w:rFonts w:hint="eastAsia" w:ascii="宋体" w:hAnsi="宋体" w:cs="宋体"/>
                <w:b/>
                <w:bCs/>
                <w:color w:val="auto"/>
                <w:szCs w:val="21"/>
                <w:highlight w:val="none"/>
              </w:rPr>
              <w:t>注：磋商小组认为供应商的报价明显低于其他通过符合性审查供应商的报价，有可能影响工程质量或者不能诚信履约的，且供应商不能在评审合理的时间内证明其报价合理性的，磋商小组有权将其作为无效响应处理。</w:t>
            </w:r>
          </w:p>
        </w:tc>
      </w:tr>
      <w:tr w14:paraId="0B68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restart"/>
            <w:noWrap/>
            <w:vAlign w:val="center"/>
          </w:tcPr>
          <w:p w14:paraId="3C58D273">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w:t>
            </w:r>
          </w:p>
          <w:p w14:paraId="7982CC64">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实施方案</w:t>
            </w:r>
          </w:p>
          <w:p w14:paraId="70241D57">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30</w:t>
            </w:r>
            <w:r>
              <w:rPr>
                <w:rFonts w:hint="eastAsia" w:asciiTheme="minorEastAsia" w:hAnsiTheme="minorEastAsia" w:eastAsiaTheme="minorEastAsia"/>
                <w:color w:val="auto"/>
                <w:szCs w:val="21"/>
                <w:highlight w:val="none"/>
              </w:rPr>
              <w:t>分）</w:t>
            </w:r>
          </w:p>
        </w:tc>
        <w:tc>
          <w:tcPr>
            <w:tcW w:w="901" w:type="pct"/>
            <w:shd w:val="clear" w:color="auto" w:fill="auto"/>
            <w:noWrap/>
            <w:vAlign w:val="center"/>
          </w:tcPr>
          <w:p w14:paraId="6E807927">
            <w:pPr>
              <w:spacing w:line="276" w:lineRule="auto"/>
              <w:jc w:val="cente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施工总体部署（</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分）</w:t>
            </w:r>
          </w:p>
        </w:tc>
        <w:tc>
          <w:tcPr>
            <w:tcW w:w="3507" w:type="pct"/>
            <w:shd w:val="clear" w:color="auto" w:fill="auto"/>
            <w:noWrap/>
            <w:vAlign w:val="top"/>
          </w:tcPr>
          <w:p w14:paraId="566DCD1A">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施工总体部署科学、严密、合理，描述详细且具有针对性的得</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分；</w:t>
            </w:r>
          </w:p>
          <w:p w14:paraId="4C211BAF">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施工总体部署较合理、严密、描述较为详细，不存在实施难度的得</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分；</w:t>
            </w:r>
          </w:p>
          <w:p w14:paraId="763BB9C9">
            <w:pPr>
              <w:spacing w:line="400" w:lineRule="atLeas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施工总体部署基本合理、描述一般、存在可操作性得</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分；</w:t>
            </w:r>
          </w:p>
          <w:p w14:paraId="3D28F271">
            <w:pPr>
              <w:spacing w:line="400" w:lineRule="atLeast"/>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zCs w:val="21"/>
                <w:highlight w:val="none"/>
              </w:rPr>
              <w:t>施工总体部署具有明显不合理项、描述欠缺、存在实施难度得1分，其余不得分</w:t>
            </w:r>
          </w:p>
        </w:tc>
      </w:tr>
      <w:tr w14:paraId="3012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1B16A84C">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5314C15A">
            <w:pPr>
              <w:snapToGrid w:val="0"/>
              <w:spacing w:line="320" w:lineRule="exact"/>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分部、分项工程的施工方案</w:t>
            </w:r>
          </w:p>
          <w:p w14:paraId="6F817D70">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r>
              <w:rPr>
                <w:rFonts w:asciiTheme="minorEastAsia" w:hAnsiTheme="minorEastAsia" w:eastAsiaTheme="minorEastAsia"/>
                <w:color w:val="auto"/>
                <w:szCs w:val="21"/>
                <w:highlight w:val="none"/>
              </w:rPr>
              <w:t>）</w:t>
            </w:r>
          </w:p>
        </w:tc>
        <w:tc>
          <w:tcPr>
            <w:tcW w:w="3507" w:type="pct"/>
            <w:shd w:val="clear" w:color="auto" w:fill="auto"/>
            <w:noWrap/>
            <w:vAlign w:val="center"/>
          </w:tcPr>
          <w:p w14:paraId="3778B34A">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方案科学、严密、合理，描述详细且具有针对性的得</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p w14:paraId="7BC9FB7B">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方案较合理、严密、描述较为详细，不存在实施难度的得6分；</w:t>
            </w:r>
          </w:p>
          <w:p w14:paraId="6D61BF15">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方案基本合理、描述一般、存在可操作性得4分；</w:t>
            </w:r>
          </w:p>
          <w:p w14:paraId="1994C8C0">
            <w:pPr>
              <w:spacing w:line="276"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方案具有不合理项、描述略欠缺、存在一定的实施难度得1分；</w:t>
            </w:r>
          </w:p>
          <w:p w14:paraId="1AD7B186">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asciiTheme="minorEastAsia" w:hAnsiTheme="minorEastAsia" w:eastAsiaTheme="minorEastAsia"/>
                <w:color w:val="auto"/>
                <w:szCs w:val="21"/>
                <w:highlight w:val="none"/>
              </w:rPr>
              <w:t>方案具有明显不合理项、描述欠缺、存在实施难度或无方案的不得分。</w:t>
            </w:r>
          </w:p>
        </w:tc>
      </w:tr>
      <w:tr w14:paraId="622F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029FC345">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4A83A015">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质量、安全、进度控制措施</w:t>
            </w:r>
          </w:p>
          <w:p w14:paraId="3FF9BE07">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2CD8B10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措施科学、严密、合理，描述详细且具有针对性的得</w:t>
            </w:r>
            <w:r>
              <w:rPr>
                <w:rFonts w:hint="eastAsia" w:cs="宋体" w:asciiTheme="minorEastAsia" w:hAnsiTheme="minorEastAsia" w:eastAsiaTheme="minorEastAsia"/>
                <w:color w:val="auto"/>
                <w:kern w:val="0"/>
                <w:szCs w:val="21"/>
                <w:highlight w:val="none"/>
                <w:lang w:val="en-US" w:eastAsia="zh-CN"/>
              </w:rPr>
              <w:t>7</w:t>
            </w:r>
            <w:r>
              <w:rPr>
                <w:rFonts w:hint="eastAsia" w:cs="宋体" w:asciiTheme="minorEastAsia" w:hAnsiTheme="minorEastAsia" w:eastAsiaTheme="minorEastAsia"/>
                <w:color w:val="auto"/>
                <w:kern w:val="0"/>
                <w:szCs w:val="21"/>
                <w:highlight w:val="none"/>
              </w:rPr>
              <w:t>分；</w:t>
            </w:r>
          </w:p>
          <w:p w14:paraId="096FE0C3">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措施较合理、严密、描述较为详细的得6分；</w:t>
            </w:r>
          </w:p>
          <w:p w14:paraId="68FE8D9B">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措施基本合理、描述一般的得4分；</w:t>
            </w:r>
          </w:p>
          <w:p w14:paraId="001A09EF">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措施具有不合理项、描述略欠缺的得1分；</w:t>
            </w:r>
          </w:p>
          <w:p w14:paraId="696E429E">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措施具有明显不合理项、描述欠缺的</w:t>
            </w:r>
            <w:r>
              <w:rPr>
                <w:rFonts w:hint="eastAsia" w:asciiTheme="minorEastAsia" w:hAnsiTheme="minorEastAsia" w:eastAsiaTheme="minorEastAsia"/>
                <w:color w:val="auto"/>
                <w:szCs w:val="21"/>
                <w:highlight w:val="none"/>
              </w:rPr>
              <w:t>或无方案的不得分。</w:t>
            </w:r>
          </w:p>
        </w:tc>
      </w:tr>
      <w:tr w14:paraId="598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 w:type="pct"/>
            <w:vMerge w:val="continue"/>
            <w:noWrap/>
            <w:vAlign w:val="center"/>
          </w:tcPr>
          <w:p w14:paraId="13200E4A">
            <w:pPr>
              <w:tabs>
                <w:tab w:val="left" w:pos="0"/>
                <w:tab w:val="left" w:pos="1134"/>
              </w:tabs>
              <w:adjustRightInd w:val="0"/>
              <w:snapToGrid w:val="0"/>
              <w:spacing w:line="320" w:lineRule="exact"/>
              <w:jc w:val="center"/>
              <w:rPr>
                <w:rFonts w:asciiTheme="minorEastAsia" w:hAnsiTheme="minorEastAsia" w:eastAsiaTheme="minorEastAsia"/>
                <w:color w:val="auto"/>
                <w:szCs w:val="21"/>
                <w:highlight w:val="none"/>
              </w:rPr>
            </w:pPr>
          </w:p>
        </w:tc>
        <w:tc>
          <w:tcPr>
            <w:tcW w:w="901" w:type="pct"/>
            <w:shd w:val="clear" w:color="auto" w:fill="auto"/>
            <w:noWrap/>
            <w:vAlign w:val="center"/>
          </w:tcPr>
          <w:p w14:paraId="0E211D61">
            <w:pPr>
              <w:snapToGrid w:val="0"/>
              <w:spacing w:line="3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保证项目实施的技术设备和人力资源安排</w:t>
            </w:r>
          </w:p>
          <w:p w14:paraId="407ADCEF">
            <w:pPr>
              <w:snapToGrid w:val="0"/>
              <w:spacing w:line="320" w:lineRule="exact"/>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14FECB1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投入项目的技术设备科学、严密、合理，管理制度完备、使用方案详细且具有针对性；技术人员配备合理、考虑周全的得</w:t>
            </w:r>
            <w:r>
              <w:rPr>
                <w:rFonts w:hint="eastAsia" w:cs="宋体" w:asciiTheme="minorEastAsia" w:hAnsiTheme="minorEastAsia" w:eastAsiaTheme="minorEastAsia"/>
                <w:color w:val="auto"/>
                <w:kern w:val="0"/>
                <w:szCs w:val="21"/>
                <w:highlight w:val="none"/>
                <w:lang w:val="en-US" w:eastAsia="zh-CN"/>
              </w:rPr>
              <w:t>5</w:t>
            </w:r>
            <w:r>
              <w:rPr>
                <w:rFonts w:hint="eastAsia" w:cs="宋体" w:asciiTheme="minorEastAsia" w:hAnsiTheme="minorEastAsia" w:eastAsiaTheme="minorEastAsia"/>
                <w:color w:val="auto"/>
                <w:kern w:val="0"/>
                <w:szCs w:val="21"/>
                <w:highlight w:val="none"/>
              </w:rPr>
              <w:t>分；</w:t>
            </w:r>
          </w:p>
          <w:p w14:paraId="6C7762D2">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投入项目的技术设备较严密、合理，管理制度较完备、使用方案较详细，不存在实施难度；技术人员配备较合理、考虑较周全的得</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rPr>
              <w:t>分；</w:t>
            </w:r>
          </w:p>
          <w:p w14:paraId="3680248E">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投入技术设备基本符合项目实际、管理制度一般、使用方案一般；技术人员配备一般、能满足项目实施需要的得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2E9BE135">
            <w:pPr>
              <w:snapToGrid w:val="0"/>
              <w:spacing w:line="320" w:lineRule="exact"/>
              <w:jc w:val="left"/>
              <w:rPr>
                <w:rFonts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eastAsiaTheme="minorEastAsia"/>
                <w:color w:val="auto"/>
                <w:kern w:val="0"/>
                <w:szCs w:val="21"/>
                <w:highlight w:val="none"/>
              </w:rPr>
              <w:t>投入技术设备明显不足，不能满足项目实施需要；技术人员明显欠缺，不能满足项目实施需要的得1分；其余不得分。</w:t>
            </w:r>
          </w:p>
        </w:tc>
      </w:tr>
      <w:tr w14:paraId="6F89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91" w:type="pct"/>
            <w:vMerge w:val="continue"/>
            <w:noWrap/>
            <w:vAlign w:val="center"/>
          </w:tcPr>
          <w:p w14:paraId="4C6E08AB">
            <w:pPr>
              <w:tabs>
                <w:tab w:val="left" w:pos="0"/>
                <w:tab w:val="left" w:pos="1134"/>
              </w:tabs>
              <w:adjustRightInd w:val="0"/>
              <w:snapToGrid w:val="0"/>
              <w:spacing w:line="360" w:lineRule="auto"/>
              <w:jc w:val="center"/>
              <w:rPr>
                <w:rFonts w:asciiTheme="minorEastAsia" w:hAnsiTheme="minorEastAsia" w:eastAsiaTheme="minorEastAsia"/>
                <w:color w:val="auto"/>
                <w:spacing w:val="-8"/>
                <w:szCs w:val="21"/>
                <w:highlight w:val="none"/>
              </w:rPr>
            </w:pPr>
          </w:p>
        </w:tc>
        <w:tc>
          <w:tcPr>
            <w:tcW w:w="901" w:type="pct"/>
            <w:shd w:val="clear" w:color="auto" w:fill="auto"/>
            <w:noWrap/>
            <w:vAlign w:val="center"/>
          </w:tcPr>
          <w:p w14:paraId="0CCCA196">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服务保障</w:t>
            </w:r>
          </w:p>
          <w:p w14:paraId="267AAAA1">
            <w:pPr>
              <w:jc w:val="center"/>
              <w:rPr>
                <w:rFonts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6</w:t>
            </w:r>
            <w:r>
              <w:rPr>
                <w:rFonts w:hint="eastAsia" w:asciiTheme="minorEastAsia" w:hAnsiTheme="minorEastAsia" w:eastAsiaTheme="minorEastAsia"/>
                <w:color w:val="auto"/>
                <w:szCs w:val="21"/>
                <w:highlight w:val="none"/>
              </w:rPr>
              <w:t>分）</w:t>
            </w:r>
          </w:p>
        </w:tc>
        <w:tc>
          <w:tcPr>
            <w:tcW w:w="3507" w:type="pct"/>
            <w:shd w:val="clear" w:color="auto" w:fill="auto"/>
            <w:noWrap/>
            <w:vAlign w:val="center"/>
          </w:tcPr>
          <w:p w14:paraId="71498ED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供应商提出后期质保承诺、维护响应、服务方式等，评委根据方案综合打分：服务保障科学、严密、合理，描述详细且具有针对性的得</w:t>
            </w:r>
            <w:r>
              <w:rPr>
                <w:rFonts w:hint="eastAsia" w:cs="宋体" w:asciiTheme="minorEastAsia" w:hAnsiTheme="minorEastAsia" w:eastAsiaTheme="minorEastAsia"/>
                <w:color w:val="auto"/>
                <w:kern w:val="0"/>
                <w:szCs w:val="21"/>
                <w:highlight w:val="none"/>
                <w:lang w:val="en-US" w:eastAsia="zh-CN"/>
              </w:rPr>
              <w:t>6</w:t>
            </w:r>
            <w:r>
              <w:rPr>
                <w:rFonts w:hint="eastAsia" w:cs="宋体" w:asciiTheme="minorEastAsia" w:hAnsiTheme="minorEastAsia" w:eastAsiaTheme="minorEastAsia"/>
                <w:color w:val="auto"/>
                <w:kern w:val="0"/>
                <w:szCs w:val="21"/>
                <w:highlight w:val="none"/>
              </w:rPr>
              <w:t>分；</w:t>
            </w:r>
          </w:p>
          <w:p w14:paraId="4C783590">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服务保障较合理、严密、描述较详细且较有针对性的得</w:t>
            </w:r>
            <w:r>
              <w:rPr>
                <w:rFonts w:hint="eastAsia" w:cs="宋体" w:asciiTheme="minorEastAsia" w:hAnsiTheme="minorEastAsia" w:eastAsiaTheme="minorEastAsia"/>
                <w:color w:val="auto"/>
                <w:kern w:val="0"/>
                <w:szCs w:val="21"/>
                <w:highlight w:val="none"/>
                <w:lang w:val="en-US" w:eastAsia="zh-CN"/>
              </w:rPr>
              <w:t>4</w:t>
            </w:r>
            <w:r>
              <w:rPr>
                <w:rFonts w:hint="eastAsia" w:cs="宋体" w:asciiTheme="minorEastAsia" w:hAnsiTheme="minorEastAsia" w:eastAsiaTheme="minorEastAsia"/>
                <w:color w:val="auto"/>
                <w:kern w:val="0"/>
                <w:szCs w:val="21"/>
                <w:highlight w:val="none"/>
              </w:rPr>
              <w:t>分；</w:t>
            </w:r>
          </w:p>
          <w:p w14:paraId="0AA29B85">
            <w:pPr>
              <w:snapToGrid w:val="0"/>
              <w:spacing w:line="320" w:lineRule="exact"/>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服务保障基本合理、描述一般、存在可操作性的得</w:t>
            </w:r>
            <w:r>
              <w:rPr>
                <w:rFonts w:hint="eastAsia" w:cs="宋体" w:asciiTheme="minorEastAsia" w:hAnsiTheme="minorEastAsia" w:eastAsiaTheme="minorEastAsia"/>
                <w:color w:val="auto"/>
                <w:kern w:val="0"/>
                <w:szCs w:val="21"/>
                <w:highlight w:val="none"/>
                <w:lang w:val="en-US" w:eastAsia="zh-CN"/>
              </w:rPr>
              <w:t>2</w:t>
            </w:r>
            <w:r>
              <w:rPr>
                <w:rFonts w:hint="eastAsia" w:cs="宋体" w:asciiTheme="minorEastAsia" w:hAnsiTheme="minorEastAsia" w:eastAsiaTheme="minorEastAsia"/>
                <w:color w:val="auto"/>
                <w:kern w:val="0"/>
                <w:szCs w:val="21"/>
                <w:highlight w:val="none"/>
              </w:rPr>
              <w:t>分；</w:t>
            </w:r>
          </w:p>
          <w:p w14:paraId="3BA0523C">
            <w:pPr>
              <w:rPr>
                <w:rFonts w:cs="Times New Roman" w:asciiTheme="minorEastAsia" w:hAnsiTheme="minorEastAsia" w:eastAsiaTheme="minorEastAsia"/>
                <w:color w:val="auto"/>
                <w:kern w:val="2"/>
                <w:sz w:val="21"/>
                <w:szCs w:val="21"/>
                <w:highlight w:val="none"/>
                <w:lang w:val="en-US" w:eastAsia="zh-CN" w:bidi="ar-SA"/>
              </w:rPr>
            </w:pPr>
            <w:r>
              <w:rPr>
                <w:rFonts w:hint="eastAsia" w:cs="宋体" w:asciiTheme="minorEastAsia" w:hAnsiTheme="minorEastAsia" w:eastAsiaTheme="minorEastAsia"/>
                <w:color w:val="auto"/>
                <w:spacing w:val="-6"/>
                <w:kern w:val="0"/>
                <w:szCs w:val="21"/>
                <w:highlight w:val="none"/>
              </w:rPr>
              <w:t>服务保障具有明显不合理项、描述欠缺、存在实施难度的得1分；其余不得分。</w:t>
            </w:r>
          </w:p>
        </w:tc>
      </w:tr>
      <w:tr w14:paraId="5214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492" w:type="pct"/>
            <w:gridSpan w:val="2"/>
            <w:noWrap/>
            <w:vAlign w:val="center"/>
          </w:tcPr>
          <w:p w14:paraId="0C7495DD">
            <w:pPr>
              <w:snapToGrid w:val="0"/>
              <w:spacing w:line="320" w:lineRule="exact"/>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业   绩</w:t>
            </w:r>
          </w:p>
          <w:p w14:paraId="2C459B64">
            <w:pPr>
              <w:snapToGrid w:val="0"/>
              <w:spacing w:line="3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Cs w:val="21"/>
                <w:highlight w:val="none"/>
                <w:lang w:val="en-US" w:eastAsia="zh-CN"/>
              </w:rPr>
              <w:t>10</w:t>
            </w:r>
            <w:r>
              <w:rPr>
                <w:rFonts w:hint="eastAsia" w:asciiTheme="minorEastAsia" w:hAnsiTheme="minorEastAsia" w:eastAsiaTheme="minorEastAsia"/>
                <w:color w:val="auto"/>
                <w:kern w:val="0"/>
                <w:szCs w:val="21"/>
                <w:highlight w:val="none"/>
              </w:rPr>
              <w:t>分）</w:t>
            </w:r>
          </w:p>
        </w:tc>
        <w:tc>
          <w:tcPr>
            <w:tcW w:w="3507" w:type="pct"/>
            <w:noWrap/>
            <w:vAlign w:val="center"/>
          </w:tcPr>
          <w:p w14:paraId="51B069ED">
            <w:pPr>
              <w:rPr>
                <w:rFonts w:hint="eastAsia" w:asciiTheme="minorEastAsia" w:hAnsiTheme="minorEastAsia" w:eastAsiaTheme="minorEastAsia"/>
                <w:b w:val="0"/>
                <w:bCs w:val="0"/>
                <w:color w:val="auto"/>
                <w:kern w:val="0"/>
                <w:szCs w:val="21"/>
                <w:highlight w:val="none"/>
                <w:lang w:val="en-US" w:eastAsia="zh-CN"/>
              </w:rPr>
            </w:pPr>
            <w:r>
              <w:rPr>
                <w:rFonts w:hint="eastAsia" w:asciiTheme="minorEastAsia" w:hAnsiTheme="minorEastAsia" w:eastAsiaTheme="minorEastAsia"/>
                <w:b w:val="0"/>
                <w:bCs w:val="0"/>
                <w:color w:val="auto"/>
                <w:kern w:val="0"/>
                <w:szCs w:val="21"/>
                <w:highlight w:val="none"/>
                <w:lang w:val="en-US" w:eastAsia="zh-CN"/>
              </w:rPr>
              <w:t>1、</w:t>
            </w:r>
            <w:r>
              <w:rPr>
                <w:rFonts w:hint="eastAsia" w:asciiTheme="minorEastAsia" w:hAnsiTheme="minorEastAsia" w:eastAsiaTheme="minorEastAsia"/>
                <w:b w:val="0"/>
                <w:bCs w:val="0"/>
                <w:color w:val="auto"/>
                <w:kern w:val="0"/>
                <w:szCs w:val="21"/>
                <w:highlight w:val="none"/>
                <w:lang w:val="zh-CN" w:eastAsia="zh-CN"/>
              </w:rPr>
              <w:t>自</w:t>
            </w:r>
            <w:r>
              <w:rPr>
                <w:rFonts w:hint="eastAsia" w:asciiTheme="minorEastAsia" w:hAnsiTheme="minorEastAsia" w:eastAsiaTheme="minorEastAsia"/>
                <w:b w:val="0"/>
                <w:bCs w:val="0"/>
                <w:color w:val="auto"/>
                <w:kern w:val="0"/>
                <w:szCs w:val="21"/>
                <w:highlight w:val="none"/>
                <w:lang w:val="en-US" w:eastAsia="zh-CN"/>
              </w:rPr>
              <w:t>2023</w:t>
            </w:r>
            <w:r>
              <w:rPr>
                <w:rFonts w:hint="eastAsia" w:asciiTheme="minorEastAsia" w:hAnsiTheme="minorEastAsia" w:eastAsiaTheme="minorEastAsia"/>
                <w:b w:val="0"/>
                <w:bCs w:val="0"/>
                <w:color w:val="auto"/>
                <w:kern w:val="0"/>
                <w:szCs w:val="21"/>
                <w:highlight w:val="none"/>
                <w:lang w:val="zh-CN" w:eastAsia="zh-CN"/>
              </w:rPr>
              <w:t>年1月1日</w:t>
            </w:r>
            <w:r>
              <w:rPr>
                <w:rFonts w:hint="eastAsia" w:asciiTheme="minorEastAsia" w:hAnsiTheme="minorEastAsia" w:eastAsiaTheme="minorEastAsia"/>
                <w:b w:val="0"/>
                <w:bCs w:val="0"/>
                <w:color w:val="auto"/>
                <w:kern w:val="0"/>
                <w:szCs w:val="21"/>
                <w:highlight w:val="none"/>
                <w:lang w:val="en-US" w:eastAsia="zh-CN"/>
              </w:rPr>
              <w:t>至今</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rPr>
              <w:t>以竣工验收证明材料日期为准</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供应商</w:t>
            </w:r>
            <w:r>
              <w:rPr>
                <w:rFonts w:hint="eastAsia" w:asciiTheme="minorEastAsia" w:hAnsiTheme="minorEastAsia" w:eastAsiaTheme="minorEastAsia"/>
                <w:b w:val="0"/>
                <w:bCs w:val="0"/>
                <w:color w:val="auto"/>
                <w:kern w:val="0"/>
                <w:szCs w:val="21"/>
                <w:highlight w:val="none"/>
                <w:lang w:val="zh-CN" w:eastAsia="zh-CN"/>
              </w:rPr>
              <w:t>承担过</w:t>
            </w:r>
            <w:r>
              <w:rPr>
                <w:rFonts w:hint="eastAsia" w:asciiTheme="minorEastAsia" w:hAnsiTheme="minorEastAsia" w:eastAsiaTheme="minorEastAsia"/>
                <w:b w:val="0"/>
                <w:bCs w:val="0"/>
                <w:color w:val="auto"/>
                <w:kern w:val="0"/>
                <w:szCs w:val="21"/>
                <w:highlight w:val="none"/>
                <w:lang w:val="en-US" w:eastAsia="zh-CN"/>
              </w:rPr>
              <w:t>类似工程</w:t>
            </w:r>
            <w:r>
              <w:rPr>
                <w:rFonts w:hint="eastAsia" w:asciiTheme="minorEastAsia" w:hAnsiTheme="minorEastAsia" w:eastAsiaTheme="minorEastAsia"/>
                <w:b w:val="0"/>
                <w:bCs w:val="0"/>
                <w:color w:val="auto"/>
                <w:kern w:val="0"/>
                <w:szCs w:val="21"/>
                <w:highlight w:val="none"/>
                <w:lang w:val="zh-CN" w:eastAsia="zh-CN"/>
              </w:rPr>
              <w:t>业绩</w:t>
            </w:r>
            <w:r>
              <w:rPr>
                <w:rFonts w:hint="eastAsia" w:asciiTheme="minorEastAsia" w:hAnsiTheme="minorEastAsia" w:eastAsiaTheme="minorEastAsia"/>
                <w:b w:val="0"/>
                <w:bCs w:val="0"/>
                <w:color w:val="auto"/>
                <w:kern w:val="0"/>
                <w:szCs w:val="21"/>
                <w:highlight w:val="none"/>
                <w:lang w:val="en-US" w:eastAsia="zh-CN"/>
              </w:rPr>
              <w:t>的</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每提供</w:t>
            </w:r>
            <w:r>
              <w:rPr>
                <w:rFonts w:hint="eastAsia" w:asciiTheme="minorEastAsia" w:hAnsiTheme="minorEastAsia" w:eastAsiaTheme="minorEastAsia"/>
                <w:b w:val="0"/>
                <w:bCs w:val="0"/>
                <w:color w:val="auto"/>
                <w:kern w:val="0"/>
                <w:szCs w:val="21"/>
                <w:highlight w:val="none"/>
                <w:lang w:val="zh-CN" w:eastAsia="zh-CN"/>
              </w:rPr>
              <w:t>一个得</w:t>
            </w:r>
            <w:r>
              <w:rPr>
                <w:rFonts w:hint="eastAsia" w:asciiTheme="minorEastAsia" w:hAnsiTheme="minorEastAsia" w:eastAsiaTheme="minorEastAsia"/>
                <w:b w:val="0"/>
                <w:bCs w:val="0"/>
                <w:color w:val="auto"/>
                <w:kern w:val="0"/>
                <w:szCs w:val="21"/>
                <w:highlight w:val="none"/>
                <w:lang w:val="en-US" w:eastAsia="zh-CN"/>
              </w:rPr>
              <w:t>2</w:t>
            </w:r>
            <w:r>
              <w:rPr>
                <w:rFonts w:hint="eastAsia" w:asciiTheme="minorEastAsia" w:hAnsiTheme="minorEastAsia" w:eastAsiaTheme="minorEastAsia"/>
                <w:b w:val="0"/>
                <w:bCs w:val="0"/>
                <w:color w:val="auto"/>
                <w:kern w:val="0"/>
                <w:szCs w:val="21"/>
                <w:highlight w:val="none"/>
                <w:lang w:val="zh-CN" w:eastAsia="zh-CN"/>
              </w:rPr>
              <w:t>分，</w:t>
            </w:r>
            <w:r>
              <w:rPr>
                <w:rFonts w:hint="eastAsia" w:asciiTheme="minorEastAsia" w:hAnsiTheme="minorEastAsia" w:eastAsiaTheme="minorEastAsia"/>
                <w:b w:val="0"/>
                <w:bCs w:val="0"/>
                <w:color w:val="auto"/>
                <w:kern w:val="0"/>
                <w:szCs w:val="21"/>
                <w:highlight w:val="none"/>
                <w:lang w:val="en-US" w:eastAsia="zh-CN"/>
              </w:rPr>
              <w:t>满分6分</w:t>
            </w:r>
            <w:r>
              <w:rPr>
                <w:rFonts w:hint="eastAsia" w:asciiTheme="minorEastAsia" w:hAnsiTheme="minorEastAsia" w:eastAsiaTheme="minorEastAsia"/>
                <w:b w:val="0"/>
                <w:bCs w:val="0"/>
                <w:color w:val="auto"/>
                <w:kern w:val="0"/>
                <w:szCs w:val="21"/>
                <w:highlight w:val="none"/>
                <w:lang w:val="zh-CN" w:eastAsia="zh-CN"/>
              </w:rPr>
              <w:t>。</w:t>
            </w:r>
          </w:p>
          <w:p w14:paraId="79A15457">
            <w:pPr>
              <w:rPr>
                <w:rFonts w:hint="eastAsia" w:asciiTheme="minorEastAsia" w:hAnsiTheme="minorEastAsia" w:eastAsiaTheme="minorEastAsia"/>
                <w:b w:val="0"/>
                <w:bCs w:val="0"/>
                <w:color w:val="auto"/>
                <w:kern w:val="0"/>
                <w:szCs w:val="21"/>
                <w:highlight w:val="none"/>
                <w:lang w:val="zh-CN" w:eastAsia="zh-CN"/>
              </w:rPr>
            </w:pPr>
            <w:r>
              <w:rPr>
                <w:rFonts w:hint="eastAsia" w:asciiTheme="minorEastAsia" w:hAnsiTheme="minorEastAsia" w:eastAsiaTheme="minorEastAsia"/>
                <w:b w:val="0"/>
                <w:bCs w:val="0"/>
                <w:color w:val="auto"/>
                <w:kern w:val="0"/>
                <w:szCs w:val="21"/>
                <w:highlight w:val="none"/>
                <w:lang w:val="en-US" w:eastAsia="zh-CN"/>
              </w:rPr>
              <w:t>2、自2023年1月1日至今（以竣工验收证明材料日期为准），项目负责人承担过类似工程业绩的，每提供</w:t>
            </w:r>
            <w:r>
              <w:rPr>
                <w:rFonts w:hint="eastAsia" w:asciiTheme="minorEastAsia" w:hAnsiTheme="minorEastAsia" w:eastAsiaTheme="minorEastAsia"/>
                <w:b w:val="0"/>
                <w:bCs w:val="0"/>
                <w:color w:val="auto"/>
                <w:kern w:val="0"/>
                <w:szCs w:val="21"/>
                <w:highlight w:val="none"/>
                <w:lang w:val="zh-CN" w:eastAsia="zh-CN"/>
              </w:rPr>
              <w:t>一个得</w:t>
            </w:r>
            <w:r>
              <w:rPr>
                <w:rFonts w:hint="eastAsia" w:asciiTheme="minorEastAsia" w:hAnsiTheme="minorEastAsia" w:eastAsiaTheme="minorEastAsia"/>
                <w:b w:val="0"/>
                <w:bCs w:val="0"/>
                <w:color w:val="auto"/>
                <w:kern w:val="0"/>
                <w:szCs w:val="21"/>
                <w:highlight w:val="none"/>
                <w:lang w:val="en-US" w:eastAsia="zh-CN"/>
              </w:rPr>
              <w:t>2</w:t>
            </w:r>
            <w:r>
              <w:rPr>
                <w:rFonts w:hint="eastAsia" w:asciiTheme="minorEastAsia" w:hAnsiTheme="minorEastAsia" w:eastAsiaTheme="minorEastAsia"/>
                <w:b w:val="0"/>
                <w:bCs w:val="0"/>
                <w:color w:val="auto"/>
                <w:kern w:val="0"/>
                <w:szCs w:val="21"/>
                <w:highlight w:val="none"/>
                <w:lang w:val="zh-CN" w:eastAsia="zh-CN"/>
              </w:rPr>
              <w:t>分，</w:t>
            </w:r>
            <w:r>
              <w:rPr>
                <w:rFonts w:hint="eastAsia" w:asciiTheme="minorEastAsia" w:hAnsiTheme="minorEastAsia" w:eastAsiaTheme="minorEastAsia"/>
                <w:b w:val="0"/>
                <w:bCs w:val="0"/>
                <w:color w:val="auto"/>
                <w:kern w:val="0"/>
                <w:szCs w:val="21"/>
                <w:highlight w:val="none"/>
                <w:lang w:val="en-US" w:eastAsia="zh-CN"/>
              </w:rPr>
              <w:t>满分4分</w:t>
            </w:r>
            <w:r>
              <w:rPr>
                <w:rFonts w:hint="eastAsia" w:asciiTheme="minorEastAsia" w:hAnsiTheme="minorEastAsia" w:eastAsiaTheme="minorEastAsia"/>
                <w:b w:val="0"/>
                <w:bCs w:val="0"/>
                <w:color w:val="auto"/>
                <w:kern w:val="0"/>
                <w:szCs w:val="21"/>
                <w:highlight w:val="none"/>
                <w:lang w:val="zh-CN" w:eastAsia="zh-CN"/>
              </w:rPr>
              <w:t>。（</w:t>
            </w:r>
            <w:r>
              <w:rPr>
                <w:rFonts w:hint="eastAsia" w:asciiTheme="minorEastAsia" w:hAnsiTheme="minorEastAsia" w:eastAsiaTheme="minorEastAsia"/>
                <w:b w:val="0"/>
                <w:bCs w:val="0"/>
                <w:color w:val="auto"/>
                <w:kern w:val="0"/>
                <w:szCs w:val="21"/>
                <w:highlight w:val="none"/>
                <w:lang w:val="en-US" w:eastAsia="zh-CN"/>
              </w:rPr>
              <w:t>工程业绩如未能体现出项目负责人的，须提供</w:t>
            </w:r>
            <w:r>
              <w:rPr>
                <w:rFonts w:hint="eastAsia" w:asciiTheme="minorEastAsia" w:hAnsiTheme="minorEastAsia" w:eastAsiaTheme="minorEastAsia"/>
                <w:b w:val="0"/>
                <w:bCs w:val="0"/>
                <w:color w:val="auto"/>
                <w:kern w:val="0"/>
                <w:szCs w:val="21"/>
                <w:highlight w:val="none"/>
                <w:lang w:val="zh-CN" w:eastAsia="zh-CN"/>
              </w:rPr>
              <w:t>项目业主单位开具的业绩证明</w:t>
            </w:r>
            <w:r>
              <w:rPr>
                <w:rFonts w:hint="eastAsia" w:asciiTheme="minorEastAsia" w:hAnsiTheme="minorEastAsia" w:eastAsiaTheme="minorEastAsia"/>
                <w:b w:val="0"/>
                <w:bCs w:val="0"/>
                <w:color w:val="auto"/>
                <w:kern w:val="0"/>
                <w:szCs w:val="21"/>
                <w:highlight w:val="none"/>
                <w:lang w:val="en-US" w:eastAsia="zh-CN"/>
              </w:rPr>
              <w:t>作为佐证材料</w:t>
            </w:r>
            <w:r>
              <w:rPr>
                <w:rFonts w:hint="eastAsia" w:asciiTheme="minorEastAsia" w:hAnsiTheme="minorEastAsia" w:eastAsiaTheme="minorEastAsia"/>
                <w:b w:val="0"/>
                <w:bCs w:val="0"/>
                <w:color w:val="auto"/>
                <w:kern w:val="0"/>
                <w:szCs w:val="21"/>
                <w:highlight w:val="none"/>
                <w:lang w:val="zh-CN" w:eastAsia="zh-CN"/>
              </w:rPr>
              <w:t>）</w:t>
            </w:r>
          </w:p>
          <w:p w14:paraId="1972A896">
            <w:pPr>
              <w:rPr>
                <w:rFonts w:asciiTheme="minorEastAsia" w:hAnsiTheme="minorEastAsia" w:eastAsiaTheme="minorEastAsia"/>
                <w:color w:val="auto"/>
                <w:kern w:val="0"/>
                <w:szCs w:val="21"/>
                <w:highlight w:val="none"/>
              </w:rPr>
            </w:pPr>
            <w:r>
              <w:rPr>
                <w:rFonts w:hint="eastAsia" w:asciiTheme="minorEastAsia" w:hAnsiTheme="minorEastAsia" w:eastAsiaTheme="minorEastAsia"/>
                <w:b/>
                <w:bCs/>
                <w:color w:val="auto"/>
                <w:kern w:val="0"/>
                <w:szCs w:val="21"/>
                <w:highlight w:val="none"/>
                <w:lang w:val="en-US" w:eastAsia="zh-CN"/>
              </w:rPr>
              <w:t>注：以上业绩均须提供中标（成交、直接发包）通知书、合同、竣工验收报告【竣工验收报告也可以是相应的证明履约完成并验收合格的相关证明材料】，同一业主单位合同不重复计分，未按要求提供、提供不全或提供证明材料不清晰无法辨认的不得分。</w:t>
            </w:r>
          </w:p>
        </w:tc>
      </w:tr>
    </w:tbl>
    <w:p w14:paraId="32FC5567">
      <w:pPr>
        <w:keepNext w:val="0"/>
        <w:keepLines w:val="0"/>
        <w:pageBreakBefore w:val="0"/>
        <w:widowControl w:val="0"/>
        <w:spacing w:line="360" w:lineRule="auto"/>
        <w:ind w:firstLine="422"/>
        <w:rPr>
          <w:rFonts w:hint="eastAsia" w:ascii="宋体" w:hAnsi="宋体"/>
          <w:b/>
          <w:bCs/>
          <w:color w:val="auto"/>
          <w:sz w:val="21"/>
          <w:szCs w:val="21"/>
          <w:highlight w:val="none"/>
        </w:rPr>
      </w:pPr>
      <w:bookmarkStart w:id="132" w:name="_Toc497145844"/>
      <w:r>
        <w:rPr>
          <w:rFonts w:hint="eastAsia" w:ascii="宋体" w:hAnsi="宋体"/>
          <w:b/>
          <w:bCs/>
          <w:color w:val="auto"/>
          <w:sz w:val="21"/>
          <w:szCs w:val="21"/>
          <w:highlight w:val="none"/>
          <w:lang w:eastAsia="zh-CN"/>
        </w:rPr>
        <w:t>三、</w:t>
      </w:r>
      <w:r>
        <w:rPr>
          <w:rFonts w:hint="eastAsia" w:ascii="宋体" w:hAnsi="宋体"/>
          <w:b/>
          <w:bCs/>
          <w:color w:val="auto"/>
          <w:sz w:val="21"/>
          <w:szCs w:val="21"/>
          <w:highlight w:val="none"/>
        </w:rPr>
        <w:t xml:space="preserve"> 异常低价投标审查</w:t>
      </w:r>
    </w:p>
    <w:p w14:paraId="4760C42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评标过程中出现下列情形之一的，评标委员会应当启动异常低价投标审查程序:</w:t>
      </w:r>
    </w:p>
    <w:p w14:paraId="61C429A2">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1.投标(响应)报价低于全部通过符合性审查供应商投标(响应)报价平均值50%的，即投标(响应)报价〈全部通过符合性审查供应商投标(响应)报价平均值X50%</w:t>
      </w:r>
      <w:r>
        <w:rPr>
          <w:rFonts w:hint="eastAsia" w:ascii="宋体" w:hAnsi="宋体"/>
          <w:b/>
          <w:bCs/>
          <w:color w:val="auto"/>
          <w:sz w:val="21"/>
          <w:szCs w:val="21"/>
          <w:highlight w:val="none"/>
          <w:lang w:eastAsia="zh-CN"/>
        </w:rPr>
        <w:t>；</w:t>
      </w:r>
    </w:p>
    <w:p w14:paraId="6B42C794">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2.投标(响应)报价低于通过符合性审查的次低报价供应商投标(响应)报价50%的，即投标(响应)报价〈通过符合性审查的次低报价供应商投标(响应)报价X50%</w:t>
      </w:r>
      <w:r>
        <w:rPr>
          <w:rFonts w:hint="eastAsia" w:ascii="宋体" w:hAnsi="宋体"/>
          <w:b/>
          <w:bCs/>
          <w:color w:val="auto"/>
          <w:sz w:val="21"/>
          <w:szCs w:val="21"/>
          <w:highlight w:val="none"/>
          <w:lang w:eastAsia="zh-CN"/>
        </w:rPr>
        <w:t>；</w:t>
      </w:r>
    </w:p>
    <w:p w14:paraId="00ADF8C9">
      <w:pPr>
        <w:keepNext w:val="0"/>
        <w:keepLines w:val="0"/>
        <w:pageBreakBefore w:val="0"/>
        <w:widowControl w:val="0"/>
        <w:spacing w:line="360" w:lineRule="auto"/>
        <w:ind w:firstLine="422"/>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3.投标(响应)报价低于采购项目最高限价45%的，即投标(响应)报价&lt;采购项目最高限价X45%</w:t>
      </w:r>
      <w:r>
        <w:rPr>
          <w:rFonts w:hint="eastAsia" w:ascii="宋体" w:hAnsi="宋体"/>
          <w:b/>
          <w:bCs/>
          <w:color w:val="auto"/>
          <w:sz w:val="21"/>
          <w:szCs w:val="21"/>
          <w:highlight w:val="none"/>
          <w:lang w:eastAsia="zh-CN"/>
        </w:rPr>
        <w:t>；</w:t>
      </w:r>
    </w:p>
    <w:p w14:paraId="0EE158F8">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4.评审委员会基于专业判断，认为供应商报价过低，有可能影响产品质量或者不能诚信履约的其他情形。</w:t>
      </w:r>
    </w:p>
    <w:p w14:paraId="6373239A">
      <w:pPr>
        <w:keepNext w:val="0"/>
        <w:keepLines w:val="0"/>
        <w:pageBreakBefore w:val="0"/>
        <w:widowControl w:val="0"/>
        <w:spacing w:line="360" w:lineRule="auto"/>
        <w:ind w:firstLine="422"/>
        <w:rPr>
          <w:rFonts w:hint="eastAsia" w:ascii="宋体" w:hAnsi="宋体"/>
          <w:b/>
          <w:bCs/>
          <w:color w:val="auto"/>
          <w:sz w:val="21"/>
          <w:szCs w:val="21"/>
          <w:highlight w:val="none"/>
        </w:rPr>
      </w:pPr>
      <w:r>
        <w:rPr>
          <w:rFonts w:hint="eastAsia" w:ascii="宋体" w:hAnsi="宋体"/>
          <w:b/>
          <w:bCs/>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不少于30分钟。其中，属于第3项情形，供应商已随投标(响应)文件一并提交相关书面说明及必要的证明材料的，在评审现场可不再重复提交。</w:t>
      </w:r>
    </w:p>
    <w:p w14:paraId="707EAE81">
      <w:pPr>
        <w:keepNext w:val="0"/>
        <w:keepLines w:val="0"/>
        <w:pageBreakBefore w:val="0"/>
        <w:widowControl w:val="0"/>
        <w:spacing w:line="360" w:lineRule="auto"/>
        <w:ind w:firstLine="422"/>
        <w:rPr>
          <w:color w:val="auto"/>
          <w:sz w:val="36"/>
          <w:highlight w:val="none"/>
        </w:rPr>
      </w:pPr>
      <w:r>
        <w:rPr>
          <w:rFonts w:hint="eastAsia" w:ascii="宋体" w:hAnsi="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color w:val="auto"/>
          <w:sz w:val="36"/>
          <w:highlight w:val="none"/>
        </w:rPr>
        <w:br w:type="page"/>
      </w:r>
      <w:bookmarkStart w:id="133" w:name="_Toc8422"/>
    </w:p>
    <w:p w14:paraId="3E67F02C">
      <w:pPr>
        <w:keepNext w:val="0"/>
        <w:keepLines w:val="0"/>
        <w:pageBreakBefore w:val="0"/>
        <w:widowControl w:val="0"/>
        <w:spacing w:line="360" w:lineRule="auto"/>
        <w:ind w:firstLine="422"/>
        <w:rPr>
          <w:color w:val="auto"/>
          <w:sz w:val="36"/>
          <w:highlight w:val="none"/>
        </w:rPr>
      </w:pPr>
    </w:p>
    <w:p w14:paraId="1ABF5C96">
      <w:pPr>
        <w:jc w:val="center"/>
        <w:rPr>
          <w:rFonts w:ascii="Times New Roman" w:hAnsi="Times New Roman" w:eastAsia="宋体" w:cs="Times New Roman"/>
          <w:b/>
          <w:bCs/>
          <w:color w:val="auto"/>
          <w:kern w:val="0"/>
          <w:sz w:val="44"/>
          <w:szCs w:val="44"/>
          <w:highlight w:val="none"/>
        </w:rPr>
      </w:pPr>
      <w:r>
        <w:rPr>
          <w:rFonts w:hint="eastAsia" w:ascii="Times New Roman" w:hAnsi="Times New Roman" w:eastAsia="宋体" w:cs="Times New Roman"/>
          <w:b/>
          <w:bCs/>
          <w:color w:val="auto"/>
          <w:kern w:val="0"/>
          <w:sz w:val="44"/>
          <w:szCs w:val="44"/>
          <w:highlight w:val="none"/>
          <w:lang w:val="en-US" w:eastAsia="zh-CN"/>
        </w:rPr>
        <w:t xml:space="preserve"> 第六章 </w:t>
      </w:r>
      <w:r>
        <w:rPr>
          <w:rFonts w:ascii="Times New Roman" w:hAnsi="Times New Roman" w:eastAsia="宋体" w:cs="Times New Roman"/>
          <w:b/>
          <w:bCs/>
          <w:color w:val="auto"/>
          <w:kern w:val="0"/>
          <w:sz w:val="44"/>
          <w:szCs w:val="44"/>
          <w:highlight w:val="none"/>
        </w:rPr>
        <w:t>竞争性磋商响应文件格式</w:t>
      </w:r>
      <w:bookmarkEnd w:id="132"/>
      <w:bookmarkEnd w:id="133"/>
    </w:p>
    <w:p w14:paraId="2FA39E60">
      <w:pPr>
        <w:jc w:val="center"/>
        <w:rPr>
          <w:b/>
          <w:color w:val="auto"/>
          <w:sz w:val="36"/>
          <w:highlight w:val="none"/>
        </w:rPr>
      </w:pPr>
    </w:p>
    <w:p w14:paraId="6CC01468">
      <w:pPr>
        <w:jc w:val="center"/>
        <w:rPr>
          <w:b/>
          <w:color w:val="auto"/>
          <w:szCs w:val="21"/>
          <w:highlight w:val="none"/>
        </w:rPr>
      </w:pPr>
    </w:p>
    <w:p w14:paraId="39A035CE">
      <w:pPr>
        <w:jc w:val="center"/>
        <w:rPr>
          <w:b/>
          <w:bCs/>
          <w:color w:val="auto"/>
          <w:kern w:val="0"/>
          <w:sz w:val="44"/>
          <w:szCs w:val="44"/>
          <w:highlight w:val="none"/>
        </w:rPr>
      </w:pPr>
      <w:bookmarkStart w:id="134" w:name="_Toc497145845"/>
      <w:r>
        <w:rPr>
          <w:b/>
          <w:bCs/>
          <w:color w:val="auto"/>
          <w:kern w:val="0"/>
          <w:sz w:val="44"/>
          <w:szCs w:val="44"/>
          <w:highlight w:val="none"/>
        </w:rPr>
        <w:t>竞争性磋商响应文件</w:t>
      </w:r>
      <w:bookmarkEnd w:id="134"/>
    </w:p>
    <w:p w14:paraId="133470E5">
      <w:pPr>
        <w:pStyle w:val="7"/>
        <w:jc w:val="center"/>
        <w:rPr>
          <w:b/>
          <w:bCs/>
          <w:color w:val="auto"/>
          <w:sz w:val="44"/>
          <w:szCs w:val="44"/>
          <w:highlight w:val="none"/>
        </w:rPr>
      </w:pPr>
      <w:r>
        <w:rPr>
          <w:b/>
          <w:bCs/>
          <w:color w:val="auto"/>
          <w:sz w:val="44"/>
          <w:szCs w:val="44"/>
          <w:highlight w:val="none"/>
        </w:rPr>
        <w:t>（正或副本）</w:t>
      </w:r>
    </w:p>
    <w:p w14:paraId="7D8142FE">
      <w:pPr>
        <w:jc w:val="center"/>
        <w:rPr>
          <w:b/>
          <w:color w:val="auto"/>
          <w:sz w:val="36"/>
          <w:highlight w:val="none"/>
        </w:rPr>
      </w:pPr>
    </w:p>
    <w:p w14:paraId="1B64D577">
      <w:pPr>
        <w:jc w:val="center"/>
        <w:rPr>
          <w:b/>
          <w:color w:val="auto"/>
          <w:sz w:val="36"/>
          <w:highlight w:val="none"/>
        </w:rPr>
      </w:pPr>
    </w:p>
    <w:p w14:paraId="33AF59D5">
      <w:pPr>
        <w:ind w:firstLine="1968" w:firstLineChars="700"/>
        <w:rPr>
          <w:b/>
          <w:color w:val="auto"/>
          <w:sz w:val="28"/>
          <w:szCs w:val="20"/>
          <w:highlight w:val="none"/>
          <w:u w:val="single"/>
        </w:rPr>
      </w:pPr>
      <w:r>
        <w:rPr>
          <w:b/>
          <w:color w:val="auto"/>
          <w:sz w:val="28"/>
          <w:szCs w:val="20"/>
          <w:highlight w:val="none"/>
        </w:rPr>
        <w:t>项 目 名 称：</w:t>
      </w:r>
    </w:p>
    <w:p w14:paraId="683904C1">
      <w:pPr>
        <w:ind w:firstLine="1968" w:firstLineChars="700"/>
        <w:rPr>
          <w:b/>
          <w:color w:val="auto"/>
          <w:sz w:val="28"/>
          <w:szCs w:val="20"/>
          <w:highlight w:val="none"/>
          <w:u w:val="single"/>
        </w:rPr>
      </w:pPr>
      <w:r>
        <w:rPr>
          <w:b/>
          <w:color w:val="auto"/>
          <w:sz w:val="28"/>
          <w:szCs w:val="20"/>
          <w:highlight w:val="none"/>
        </w:rPr>
        <w:t>项 目 编 号：</w:t>
      </w:r>
    </w:p>
    <w:p w14:paraId="7A68D166">
      <w:pPr>
        <w:ind w:firstLine="1968" w:firstLineChars="700"/>
        <w:rPr>
          <w:b/>
          <w:color w:val="auto"/>
          <w:sz w:val="28"/>
          <w:szCs w:val="20"/>
          <w:highlight w:val="none"/>
          <w:u w:val="single"/>
        </w:rPr>
      </w:pPr>
      <w:r>
        <w:rPr>
          <w:b/>
          <w:color w:val="auto"/>
          <w:sz w:val="28"/>
          <w:szCs w:val="20"/>
          <w:highlight w:val="none"/>
        </w:rPr>
        <w:t>磋商供应商名称 ：</w:t>
      </w:r>
    </w:p>
    <w:p w14:paraId="1669A26D">
      <w:pPr>
        <w:ind w:firstLine="1968" w:firstLineChars="700"/>
        <w:rPr>
          <w:b/>
          <w:color w:val="auto"/>
          <w:sz w:val="28"/>
          <w:szCs w:val="20"/>
          <w:highlight w:val="none"/>
        </w:rPr>
      </w:pPr>
      <w:r>
        <w:rPr>
          <w:b/>
          <w:color w:val="auto"/>
          <w:sz w:val="28"/>
          <w:szCs w:val="20"/>
          <w:highlight w:val="none"/>
        </w:rPr>
        <w:t>日      期 ：</w:t>
      </w:r>
    </w:p>
    <w:p w14:paraId="11950DE5">
      <w:pPr>
        <w:autoSpaceDE w:val="0"/>
        <w:autoSpaceDN w:val="0"/>
        <w:adjustRightInd w:val="0"/>
        <w:spacing w:line="360" w:lineRule="auto"/>
        <w:rPr>
          <w:b/>
          <w:bCs/>
          <w:color w:val="auto"/>
          <w:sz w:val="28"/>
          <w:szCs w:val="28"/>
          <w:highlight w:val="none"/>
          <w:lang w:val="zh-CN"/>
        </w:rPr>
      </w:pPr>
    </w:p>
    <w:p w14:paraId="40056A4E">
      <w:pPr>
        <w:autoSpaceDE w:val="0"/>
        <w:autoSpaceDN w:val="0"/>
        <w:adjustRightInd w:val="0"/>
        <w:spacing w:line="360" w:lineRule="auto"/>
        <w:rPr>
          <w:b/>
          <w:bCs/>
          <w:color w:val="auto"/>
          <w:sz w:val="28"/>
          <w:szCs w:val="28"/>
          <w:highlight w:val="none"/>
          <w:lang w:val="zh-CN"/>
        </w:rPr>
      </w:pPr>
    </w:p>
    <w:p w14:paraId="2EA6A4EF">
      <w:pPr>
        <w:autoSpaceDE w:val="0"/>
        <w:autoSpaceDN w:val="0"/>
        <w:adjustRightInd w:val="0"/>
        <w:spacing w:line="360" w:lineRule="auto"/>
        <w:rPr>
          <w:b/>
          <w:bCs/>
          <w:color w:val="auto"/>
          <w:sz w:val="28"/>
          <w:szCs w:val="28"/>
          <w:highlight w:val="none"/>
          <w:lang w:val="zh-CN"/>
        </w:rPr>
      </w:pPr>
    </w:p>
    <w:p w14:paraId="5E21479C">
      <w:pPr>
        <w:autoSpaceDE w:val="0"/>
        <w:autoSpaceDN w:val="0"/>
        <w:adjustRightInd w:val="0"/>
        <w:spacing w:line="360" w:lineRule="auto"/>
        <w:rPr>
          <w:b/>
          <w:bCs/>
          <w:color w:val="auto"/>
          <w:sz w:val="28"/>
          <w:szCs w:val="28"/>
          <w:highlight w:val="none"/>
          <w:lang w:val="zh-CN"/>
        </w:rPr>
      </w:pPr>
    </w:p>
    <w:p w14:paraId="1A8E1871">
      <w:pPr>
        <w:pStyle w:val="46"/>
        <w:ind w:firstLine="562"/>
        <w:rPr>
          <w:b/>
          <w:bCs/>
          <w:color w:val="auto"/>
          <w:sz w:val="28"/>
          <w:szCs w:val="28"/>
          <w:highlight w:val="none"/>
          <w:lang w:val="zh-CN"/>
        </w:rPr>
      </w:pPr>
    </w:p>
    <w:p w14:paraId="3AAEB097">
      <w:pPr>
        <w:pStyle w:val="46"/>
        <w:ind w:firstLine="562"/>
        <w:rPr>
          <w:b/>
          <w:bCs/>
          <w:color w:val="auto"/>
          <w:sz w:val="28"/>
          <w:szCs w:val="28"/>
          <w:highlight w:val="none"/>
          <w:lang w:val="zh-CN"/>
        </w:rPr>
      </w:pPr>
    </w:p>
    <w:p w14:paraId="7A80D990">
      <w:pPr>
        <w:autoSpaceDE w:val="0"/>
        <w:autoSpaceDN w:val="0"/>
        <w:adjustRightInd w:val="0"/>
        <w:spacing w:line="360" w:lineRule="auto"/>
        <w:rPr>
          <w:b/>
          <w:bCs/>
          <w:color w:val="auto"/>
          <w:sz w:val="28"/>
          <w:szCs w:val="28"/>
          <w:highlight w:val="none"/>
        </w:rPr>
      </w:pPr>
      <w:r>
        <w:rPr>
          <w:b/>
          <w:bCs/>
          <w:color w:val="auto"/>
          <w:sz w:val="28"/>
          <w:szCs w:val="28"/>
          <w:highlight w:val="none"/>
          <w:lang w:val="zh-CN"/>
        </w:rPr>
        <w:t>说明：</w:t>
      </w:r>
    </w:p>
    <w:p w14:paraId="3025E11C">
      <w:pPr>
        <w:autoSpaceDE w:val="0"/>
        <w:autoSpaceDN w:val="0"/>
        <w:adjustRightInd w:val="0"/>
        <w:spacing w:line="360" w:lineRule="auto"/>
        <w:ind w:firstLine="618" w:firstLineChars="220"/>
        <w:rPr>
          <w:b/>
          <w:bCs/>
          <w:color w:val="auto"/>
          <w:sz w:val="28"/>
          <w:szCs w:val="28"/>
          <w:highlight w:val="none"/>
        </w:rPr>
      </w:pPr>
      <w:r>
        <w:rPr>
          <w:b/>
          <w:bCs/>
          <w:color w:val="auto"/>
          <w:sz w:val="28"/>
          <w:szCs w:val="28"/>
          <w:highlight w:val="none"/>
          <w:lang w:val="zh-CN"/>
        </w:rPr>
        <w:t>对本章所有的响应文件格式 ，供应商可根据自身情况进行补充和修改，但补充和修改不得造成与本格式内容有实质性的违背。</w:t>
      </w:r>
    </w:p>
    <w:p w14:paraId="4662F317">
      <w:pPr>
        <w:spacing w:beforeLines="100" w:afterLines="100"/>
        <w:jc w:val="center"/>
        <w:rPr>
          <w:b/>
          <w:color w:val="auto"/>
          <w:szCs w:val="21"/>
          <w:highlight w:val="none"/>
        </w:rPr>
      </w:pPr>
    </w:p>
    <w:p w14:paraId="21AC650B">
      <w:pPr>
        <w:spacing w:beforeLines="100" w:afterLines="100"/>
        <w:rPr>
          <w:b/>
          <w:color w:val="auto"/>
          <w:szCs w:val="21"/>
          <w:highlight w:val="none"/>
        </w:rPr>
      </w:pPr>
    </w:p>
    <w:p w14:paraId="672F4EE2">
      <w:pPr>
        <w:spacing w:beforeLines="100" w:afterLines="100"/>
        <w:jc w:val="center"/>
        <w:rPr>
          <w:b/>
          <w:color w:val="auto"/>
          <w:szCs w:val="21"/>
          <w:highlight w:val="none"/>
        </w:rPr>
      </w:pPr>
      <w:r>
        <w:rPr>
          <w:b/>
          <w:color w:val="auto"/>
          <w:szCs w:val="21"/>
          <w:highlight w:val="none"/>
        </w:rPr>
        <w:t>评分索引表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7E09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040C0F68">
            <w:pPr>
              <w:pStyle w:val="74"/>
              <w:shd w:val="clear" w:color="auto" w:fill="FFFFFF"/>
              <w:spacing w:line="265" w:lineRule="atLeast"/>
              <w:ind w:left="420"/>
              <w:jc w:val="center"/>
              <w:rPr>
                <w:b/>
                <w:bCs/>
                <w:color w:val="auto"/>
                <w:sz w:val="21"/>
                <w:szCs w:val="21"/>
                <w:highlight w:val="none"/>
                <w:lang w:eastAsia="zh-CN"/>
              </w:rPr>
            </w:pPr>
            <w:r>
              <w:rPr>
                <w:b/>
                <w:color w:val="auto"/>
                <w:sz w:val="21"/>
                <w:szCs w:val="21"/>
                <w:highlight w:val="none"/>
              </w:rPr>
              <w:t>评分项目</w:t>
            </w:r>
          </w:p>
        </w:tc>
        <w:tc>
          <w:tcPr>
            <w:tcW w:w="3570" w:type="dxa"/>
            <w:tcBorders>
              <w:top w:val="single" w:color="auto" w:sz="4" w:space="0"/>
              <w:left w:val="single" w:color="auto" w:sz="4" w:space="0"/>
              <w:bottom w:val="single" w:color="auto" w:sz="4" w:space="0"/>
              <w:right w:val="single" w:color="auto" w:sz="4" w:space="0"/>
            </w:tcBorders>
          </w:tcPr>
          <w:p w14:paraId="0A27FBAC">
            <w:pPr>
              <w:adjustRightInd w:val="0"/>
              <w:snapToGrid w:val="0"/>
              <w:spacing w:after="200" w:line="220" w:lineRule="atLeast"/>
              <w:jc w:val="center"/>
              <w:rPr>
                <w:b/>
                <w:color w:val="auto"/>
                <w:szCs w:val="21"/>
                <w:highlight w:val="none"/>
              </w:rPr>
            </w:pPr>
            <w:r>
              <w:rPr>
                <w:b/>
                <w:color w:val="auto"/>
                <w:kern w:val="0"/>
                <w:szCs w:val="21"/>
                <w:highlight w:val="none"/>
                <w:lang w:bidi="en-US"/>
              </w:rPr>
              <w:t>在响应文件中的页码位置</w:t>
            </w:r>
          </w:p>
        </w:tc>
      </w:tr>
      <w:tr w14:paraId="0795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2C82E2E7">
            <w:pPr>
              <w:pStyle w:val="74"/>
              <w:shd w:val="clear" w:color="auto" w:fill="FFFFFF"/>
              <w:spacing w:line="265" w:lineRule="atLeast"/>
              <w:ind w:left="420"/>
              <w:jc w:val="both"/>
              <w:rPr>
                <w:b/>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B8A4BD">
            <w:pPr>
              <w:adjustRightInd w:val="0"/>
              <w:snapToGrid w:val="0"/>
              <w:spacing w:after="200" w:line="220" w:lineRule="atLeast"/>
              <w:rPr>
                <w:b/>
                <w:color w:val="auto"/>
                <w:sz w:val="24"/>
                <w:highlight w:val="none"/>
                <w:lang w:bidi="en-US"/>
              </w:rPr>
            </w:pPr>
          </w:p>
        </w:tc>
      </w:tr>
      <w:tr w14:paraId="5A04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7341D5E">
            <w:pPr>
              <w:pStyle w:val="74"/>
              <w:shd w:val="clear" w:color="auto" w:fill="FFFFFF"/>
              <w:spacing w:line="265" w:lineRule="atLeast"/>
              <w:ind w:left="420"/>
              <w:jc w:val="both"/>
              <w:rPr>
                <w:color w:val="auto"/>
                <w:highlight w:val="none"/>
                <w:lang w:eastAsia="zh-CN"/>
              </w:rPr>
            </w:pPr>
          </w:p>
        </w:tc>
      </w:tr>
      <w:tr w14:paraId="4AB2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5374D14C">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91C321B">
            <w:pPr>
              <w:adjustRightInd w:val="0"/>
              <w:snapToGrid w:val="0"/>
              <w:spacing w:after="200" w:line="220" w:lineRule="atLeast"/>
              <w:rPr>
                <w:color w:val="auto"/>
                <w:highlight w:val="none"/>
              </w:rPr>
            </w:pPr>
          </w:p>
        </w:tc>
      </w:tr>
      <w:tr w14:paraId="484C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8A9DE80">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85764EA">
            <w:pPr>
              <w:adjustRightInd w:val="0"/>
              <w:snapToGrid w:val="0"/>
              <w:spacing w:after="200" w:line="220" w:lineRule="atLeast"/>
              <w:rPr>
                <w:color w:val="auto"/>
                <w:highlight w:val="none"/>
              </w:rPr>
            </w:pPr>
          </w:p>
        </w:tc>
      </w:tr>
      <w:tr w14:paraId="37C3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2568E29E">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572C9F">
            <w:pPr>
              <w:adjustRightInd w:val="0"/>
              <w:snapToGrid w:val="0"/>
              <w:spacing w:after="200" w:line="220" w:lineRule="atLeast"/>
              <w:rPr>
                <w:color w:val="auto"/>
                <w:highlight w:val="none"/>
              </w:rPr>
            </w:pPr>
          </w:p>
        </w:tc>
      </w:tr>
      <w:tr w14:paraId="1570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4EBCDA3D">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9E60914">
            <w:pPr>
              <w:adjustRightInd w:val="0"/>
              <w:snapToGrid w:val="0"/>
              <w:spacing w:after="200" w:line="220" w:lineRule="atLeast"/>
              <w:rPr>
                <w:color w:val="auto"/>
                <w:highlight w:val="none"/>
              </w:rPr>
            </w:pPr>
          </w:p>
        </w:tc>
      </w:tr>
      <w:tr w14:paraId="7479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07F20ECF">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582CEC56">
            <w:pPr>
              <w:adjustRightInd w:val="0"/>
              <w:snapToGrid w:val="0"/>
              <w:spacing w:after="200" w:line="220" w:lineRule="atLeast"/>
              <w:rPr>
                <w:color w:val="auto"/>
                <w:highlight w:val="none"/>
              </w:rPr>
            </w:pPr>
          </w:p>
        </w:tc>
      </w:tr>
      <w:tr w14:paraId="0F1D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6C1AF12">
            <w:pPr>
              <w:pStyle w:val="74"/>
              <w:shd w:val="clear" w:color="auto" w:fill="FFFFFF"/>
              <w:spacing w:line="265" w:lineRule="atLeast"/>
              <w:ind w:left="420"/>
              <w:jc w:val="both"/>
              <w:rPr>
                <w:color w:val="auto"/>
                <w:highlight w:val="none"/>
                <w:lang w:eastAsia="zh-CN"/>
              </w:rPr>
            </w:pPr>
          </w:p>
        </w:tc>
      </w:tr>
      <w:tr w14:paraId="68B8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1B93EFFF">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08D2DD4">
            <w:pPr>
              <w:adjustRightInd w:val="0"/>
              <w:snapToGrid w:val="0"/>
              <w:spacing w:after="200" w:line="220" w:lineRule="atLeast"/>
              <w:rPr>
                <w:color w:val="auto"/>
                <w:highlight w:val="none"/>
              </w:rPr>
            </w:pPr>
          </w:p>
        </w:tc>
      </w:tr>
      <w:tr w14:paraId="2A0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286C29A6">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4E49C7A">
            <w:pPr>
              <w:adjustRightInd w:val="0"/>
              <w:snapToGrid w:val="0"/>
              <w:spacing w:after="200" w:line="220" w:lineRule="atLeast"/>
              <w:rPr>
                <w:color w:val="auto"/>
                <w:highlight w:val="none"/>
              </w:rPr>
            </w:pPr>
          </w:p>
        </w:tc>
      </w:tr>
      <w:tr w14:paraId="4FF2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3A5E2A49">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E055D91">
            <w:pPr>
              <w:adjustRightInd w:val="0"/>
              <w:snapToGrid w:val="0"/>
              <w:spacing w:after="200" w:line="220" w:lineRule="atLeast"/>
              <w:rPr>
                <w:color w:val="auto"/>
                <w:highlight w:val="none"/>
              </w:rPr>
            </w:pPr>
          </w:p>
        </w:tc>
      </w:tr>
      <w:tr w14:paraId="33EE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10113F49">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3152C85">
            <w:pPr>
              <w:adjustRightInd w:val="0"/>
              <w:snapToGrid w:val="0"/>
              <w:spacing w:after="200" w:line="220" w:lineRule="atLeast"/>
              <w:rPr>
                <w:color w:val="auto"/>
                <w:highlight w:val="none"/>
              </w:rPr>
            </w:pPr>
          </w:p>
        </w:tc>
      </w:tr>
      <w:tr w14:paraId="78D1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30A0536B">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4414E99B">
            <w:pPr>
              <w:adjustRightInd w:val="0"/>
              <w:snapToGrid w:val="0"/>
              <w:spacing w:after="200" w:line="220" w:lineRule="atLeast"/>
              <w:rPr>
                <w:color w:val="auto"/>
                <w:highlight w:val="none"/>
              </w:rPr>
            </w:pPr>
          </w:p>
        </w:tc>
      </w:tr>
      <w:tr w14:paraId="4451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1DF1F94C">
            <w:pPr>
              <w:pStyle w:val="74"/>
              <w:shd w:val="clear" w:color="auto" w:fill="FFFFFF"/>
              <w:spacing w:line="265" w:lineRule="atLeast"/>
              <w:ind w:left="420"/>
              <w:jc w:val="both"/>
              <w:rPr>
                <w:b/>
                <w:color w:val="auto"/>
                <w:highlight w:val="none"/>
                <w:lang w:eastAsia="zh-CN"/>
              </w:rPr>
            </w:pPr>
          </w:p>
        </w:tc>
      </w:tr>
      <w:tr w14:paraId="23EC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73592980">
            <w:pPr>
              <w:pStyle w:val="74"/>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7452D1F4">
            <w:pPr>
              <w:adjustRightInd w:val="0"/>
              <w:snapToGrid w:val="0"/>
              <w:spacing w:after="200" w:line="220" w:lineRule="atLeast"/>
              <w:rPr>
                <w:color w:val="auto"/>
                <w:highlight w:val="none"/>
              </w:rPr>
            </w:pPr>
          </w:p>
        </w:tc>
      </w:tr>
      <w:tr w14:paraId="76EA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51996608">
            <w:pPr>
              <w:pStyle w:val="74"/>
              <w:shd w:val="clear" w:color="auto" w:fill="FFFFFF"/>
              <w:spacing w:line="265" w:lineRule="atLeast"/>
              <w:ind w:left="42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1D739BDE">
            <w:pPr>
              <w:adjustRightInd w:val="0"/>
              <w:snapToGrid w:val="0"/>
              <w:spacing w:after="200" w:line="220" w:lineRule="atLeast"/>
              <w:rPr>
                <w:color w:val="auto"/>
                <w:highlight w:val="none"/>
              </w:rPr>
            </w:pPr>
          </w:p>
        </w:tc>
      </w:tr>
      <w:tr w14:paraId="5E19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307DD0A6">
            <w:pPr>
              <w:pStyle w:val="74"/>
              <w:shd w:val="clear" w:color="auto" w:fill="FFFFFF"/>
              <w:spacing w:line="265" w:lineRule="atLeast"/>
              <w:ind w:left="420"/>
              <w:rPr>
                <w:b/>
                <w:bCs/>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221A493B">
            <w:pPr>
              <w:adjustRightInd w:val="0"/>
              <w:snapToGrid w:val="0"/>
              <w:spacing w:after="200" w:line="220" w:lineRule="atLeast"/>
              <w:rPr>
                <w:color w:val="auto"/>
                <w:highlight w:val="none"/>
              </w:rPr>
            </w:pPr>
          </w:p>
        </w:tc>
      </w:tr>
      <w:tr w14:paraId="623B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7A12AA9">
            <w:pPr>
              <w:pStyle w:val="74"/>
              <w:shd w:val="clear" w:color="auto" w:fill="FFFFFF"/>
              <w:spacing w:line="265" w:lineRule="atLeast"/>
              <w:ind w:left="420"/>
              <w:jc w:val="both"/>
              <w:rPr>
                <w:b/>
                <w:color w:val="auto"/>
                <w:highlight w:val="none"/>
                <w:lang w:eastAsia="zh-CN"/>
              </w:rPr>
            </w:pPr>
          </w:p>
        </w:tc>
      </w:tr>
      <w:tr w14:paraId="54C4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4C81ED7E">
            <w:pPr>
              <w:pStyle w:val="74"/>
              <w:shd w:val="clear" w:color="auto" w:fill="FFFFFF"/>
              <w:spacing w:line="265" w:lineRule="atLeast"/>
              <w:ind w:left="0" w:firstLine="480" w:firstLineChars="200"/>
              <w:rPr>
                <w:color w:val="auto"/>
                <w:szCs w:val="21"/>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72FE574">
            <w:pPr>
              <w:adjustRightInd w:val="0"/>
              <w:snapToGrid w:val="0"/>
              <w:spacing w:after="200" w:line="220" w:lineRule="atLeast"/>
              <w:rPr>
                <w:color w:val="auto"/>
                <w:highlight w:val="none"/>
              </w:rPr>
            </w:pPr>
          </w:p>
        </w:tc>
      </w:tr>
      <w:tr w14:paraId="79D5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226D6E6A">
            <w:pPr>
              <w:pStyle w:val="74"/>
              <w:shd w:val="clear" w:color="auto" w:fill="FFFFFF"/>
              <w:spacing w:line="265" w:lineRule="atLeast"/>
              <w:ind w:left="0" w:firstLine="480" w:firstLineChars="200"/>
              <w:rPr>
                <w:color w:val="auto"/>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14:paraId="0F509B5F">
            <w:pPr>
              <w:adjustRightInd w:val="0"/>
              <w:snapToGrid w:val="0"/>
              <w:spacing w:after="200" w:line="220" w:lineRule="atLeast"/>
              <w:rPr>
                <w:color w:val="auto"/>
                <w:highlight w:val="none"/>
              </w:rPr>
            </w:pPr>
          </w:p>
        </w:tc>
      </w:tr>
    </w:tbl>
    <w:p w14:paraId="6FC20812">
      <w:pPr>
        <w:rPr>
          <w:color w:val="auto"/>
          <w:highlight w:val="none"/>
        </w:rPr>
      </w:pPr>
    </w:p>
    <w:p w14:paraId="3521A9D6">
      <w:pPr>
        <w:spacing w:line="440" w:lineRule="exact"/>
        <w:jc w:val="center"/>
        <w:rPr>
          <w:rFonts w:ascii="宋体" w:hAnsi="宋体"/>
          <w:b/>
          <w:bCs/>
          <w:color w:val="auto"/>
          <w:sz w:val="32"/>
          <w:szCs w:val="32"/>
          <w:highlight w:val="none"/>
        </w:rPr>
      </w:pPr>
      <w:r>
        <w:rPr>
          <w:b/>
          <w:color w:val="auto"/>
          <w:sz w:val="36"/>
          <w:highlight w:val="none"/>
          <w:u w:val="single"/>
        </w:rPr>
        <w:br w:type="page"/>
      </w:r>
      <w:r>
        <w:rPr>
          <w:rFonts w:hint="eastAsia" w:ascii="宋体" w:hAnsi="宋体"/>
          <w:b/>
          <w:bCs/>
          <w:color w:val="auto"/>
          <w:sz w:val="32"/>
          <w:szCs w:val="32"/>
          <w:highlight w:val="none"/>
        </w:rPr>
        <w:t>响应文件目录</w:t>
      </w:r>
    </w:p>
    <w:p w14:paraId="3324F1FF">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一、法人或者其他组织的营业执照等证明文件，自然人的身份证明（身份证为正、反面）</w:t>
      </w:r>
    </w:p>
    <w:p w14:paraId="5FD33D2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二、若法定代表人参加磋商的，须提供本人身份证复印件(原件备查)；若授权代表参加的，须提供《法人授权书》原件和授权代表身份证复印件（原件备查）；</w:t>
      </w:r>
    </w:p>
    <w:p w14:paraId="1FF53A8B">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三、</w:t>
      </w:r>
      <w:r>
        <w:rPr>
          <w:rFonts w:hint="eastAsia" w:ascii="宋体" w:hAnsi="宋体"/>
          <w:i/>
          <w:color w:val="auto"/>
          <w:sz w:val="24"/>
          <w:szCs w:val="21"/>
          <w:highlight w:val="none"/>
          <w:u w:val="single"/>
          <w:lang w:val="en-US" w:eastAsia="zh-CN"/>
        </w:rPr>
        <w:t>上一年度</w:t>
      </w:r>
      <w:r>
        <w:rPr>
          <w:rFonts w:hint="eastAsia" w:ascii="宋体" w:hAnsi="宋体"/>
          <w:i/>
          <w:color w:val="auto"/>
          <w:sz w:val="24"/>
          <w:szCs w:val="21"/>
          <w:highlight w:val="none"/>
          <w:u w:val="single"/>
        </w:rPr>
        <w:t>的财务状况报告（成立不满一年无需提供）</w:t>
      </w:r>
    </w:p>
    <w:p w14:paraId="47D606E1">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四、依法缴纳税收和社会保障资金的相关材料（提供提交磋商响应文件截止时间前一年内至少一个月依法缴纳税收及缴纳社会保障资金的证明材料。供应商依法享受缓缴、免缴税收、社会保障资金的提供证明材料。）</w:t>
      </w:r>
    </w:p>
    <w:p w14:paraId="20CB257D">
      <w:pPr>
        <w:spacing w:line="360" w:lineRule="auto"/>
        <w:ind w:left="480"/>
        <w:rPr>
          <w:rFonts w:ascii="宋体" w:hAnsi="宋体"/>
          <w:i/>
          <w:color w:val="auto"/>
          <w:sz w:val="24"/>
          <w:szCs w:val="21"/>
          <w:highlight w:val="none"/>
          <w:u w:val="single"/>
        </w:rPr>
      </w:pPr>
      <w:r>
        <w:rPr>
          <w:rFonts w:hint="eastAsia" w:ascii="宋体" w:hAnsi="宋体"/>
          <w:i/>
          <w:color w:val="auto"/>
          <w:sz w:val="24"/>
          <w:szCs w:val="21"/>
          <w:highlight w:val="none"/>
          <w:u w:val="single"/>
        </w:rPr>
        <w:t>五、具备履行合同所必需的设备和专业技术能力的书面声明</w:t>
      </w:r>
    </w:p>
    <w:p w14:paraId="739EE2F9">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六、参加政府采购活动前 3 年内在经营活动中没有重大违法记录的书面声明</w:t>
      </w:r>
    </w:p>
    <w:p w14:paraId="6CB07BA0">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七、供应商信用承诺书</w:t>
      </w:r>
    </w:p>
    <w:p w14:paraId="2F634A22">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八、中小企业声明函</w:t>
      </w:r>
    </w:p>
    <w:p w14:paraId="19FF9FF2">
      <w:pPr>
        <w:spacing w:line="360" w:lineRule="auto"/>
        <w:ind w:firstLine="480" w:firstLineChars="200"/>
        <w:rPr>
          <w:rFonts w:ascii="宋体" w:hAnsi="宋体"/>
          <w:i/>
          <w:color w:val="auto"/>
          <w:sz w:val="24"/>
          <w:szCs w:val="21"/>
          <w:highlight w:val="none"/>
          <w:u w:val="single"/>
        </w:rPr>
      </w:pPr>
      <w:r>
        <w:rPr>
          <w:rFonts w:hint="eastAsia" w:ascii="宋体" w:hAnsi="宋体"/>
          <w:i/>
          <w:color w:val="auto"/>
          <w:sz w:val="24"/>
          <w:szCs w:val="21"/>
          <w:highlight w:val="none"/>
          <w:u w:val="single"/>
        </w:rPr>
        <w:t>九、特定资格要求的证明文件（如果本项目设置特定资格要求，则需要提供）</w:t>
      </w:r>
    </w:p>
    <w:p w14:paraId="26AEEBF3">
      <w:pPr>
        <w:spacing w:line="360" w:lineRule="auto"/>
        <w:ind w:firstLine="480" w:firstLineChars="200"/>
        <w:rPr>
          <w:rFonts w:ascii="宋体" w:hAnsi="宋体"/>
          <w:color w:val="auto"/>
          <w:sz w:val="24"/>
          <w:szCs w:val="21"/>
          <w:highlight w:val="none"/>
        </w:rPr>
      </w:pPr>
      <w:r>
        <w:rPr>
          <w:rFonts w:hint="eastAsia" w:ascii="宋体" w:hAnsi="宋体"/>
          <w:i/>
          <w:color w:val="auto"/>
          <w:sz w:val="24"/>
          <w:szCs w:val="21"/>
          <w:highlight w:val="none"/>
          <w:u w:val="single"/>
        </w:rPr>
        <w:t>十、磋商响应函</w:t>
      </w:r>
    </w:p>
    <w:p w14:paraId="0A0D9D9E">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十一、磋商响应报价表</w:t>
      </w:r>
    </w:p>
    <w:p w14:paraId="2C6ADAE0">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十二、分项报价表</w:t>
      </w:r>
    </w:p>
    <w:p w14:paraId="04AD3067">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十三、技术要求响应及偏离表</w:t>
      </w:r>
    </w:p>
    <w:p w14:paraId="6E69E194">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十四、商务要求响应及偏离表</w:t>
      </w:r>
    </w:p>
    <w:p w14:paraId="3540C59C">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十五、主要材料品牌表</w:t>
      </w:r>
    </w:p>
    <w:p w14:paraId="5A95589F">
      <w:pPr>
        <w:spacing w:line="44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rPr>
        <w:t>十六、其他</w:t>
      </w:r>
    </w:p>
    <w:p w14:paraId="3B5EE44F">
      <w:pPr>
        <w:spacing w:line="440" w:lineRule="exact"/>
        <w:ind w:firstLine="480" w:firstLineChars="200"/>
        <w:rPr>
          <w:rFonts w:ascii="宋体" w:hAnsi="宋体"/>
          <w:color w:val="auto"/>
          <w:sz w:val="24"/>
          <w:szCs w:val="21"/>
          <w:highlight w:val="none"/>
        </w:rPr>
      </w:pPr>
    </w:p>
    <w:p w14:paraId="4F650621">
      <w:pPr>
        <w:spacing w:line="440" w:lineRule="exact"/>
        <w:ind w:firstLine="480" w:firstLineChars="200"/>
        <w:rPr>
          <w:rFonts w:ascii="宋体" w:hAnsi="宋体"/>
          <w:color w:val="auto"/>
          <w:sz w:val="24"/>
          <w:szCs w:val="21"/>
          <w:highlight w:val="none"/>
        </w:rPr>
      </w:pPr>
    </w:p>
    <w:p w14:paraId="05F3B1BA">
      <w:pPr>
        <w:spacing w:line="440" w:lineRule="exact"/>
        <w:ind w:firstLine="480" w:firstLineChars="200"/>
        <w:rPr>
          <w:rFonts w:ascii="宋体" w:hAnsi="宋体"/>
          <w:color w:val="auto"/>
          <w:sz w:val="24"/>
          <w:szCs w:val="21"/>
          <w:highlight w:val="none"/>
        </w:rPr>
      </w:pPr>
    </w:p>
    <w:p w14:paraId="4DBB5E72">
      <w:pPr>
        <w:spacing w:line="440" w:lineRule="exact"/>
        <w:ind w:firstLine="480" w:firstLineChars="200"/>
        <w:rPr>
          <w:rFonts w:ascii="宋体" w:hAnsi="宋体"/>
          <w:color w:val="auto"/>
          <w:sz w:val="24"/>
          <w:szCs w:val="21"/>
          <w:highlight w:val="none"/>
        </w:rPr>
      </w:pPr>
    </w:p>
    <w:p w14:paraId="070AAFF2">
      <w:pPr>
        <w:spacing w:line="440" w:lineRule="exact"/>
        <w:ind w:firstLine="480" w:firstLineChars="200"/>
        <w:rPr>
          <w:rFonts w:ascii="宋体" w:hAnsi="宋体"/>
          <w:color w:val="auto"/>
          <w:sz w:val="24"/>
          <w:szCs w:val="21"/>
          <w:highlight w:val="none"/>
        </w:rPr>
      </w:pPr>
    </w:p>
    <w:p w14:paraId="2BCCFEB5">
      <w:pPr>
        <w:spacing w:line="440" w:lineRule="exact"/>
        <w:ind w:firstLine="480" w:firstLineChars="200"/>
        <w:rPr>
          <w:rFonts w:ascii="宋体" w:hAnsi="宋体"/>
          <w:color w:val="auto"/>
          <w:sz w:val="24"/>
          <w:szCs w:val="21"/>
          <w:highlight w:val="none"/>
        </w:rPr>
      </w:pPr>
    </w:p>
    <w:p w14:paraId="5CE21AA3">
      <w:pPr>
        <w:spacing w:line="440" w:lineRule="exact"/>
        <w:ind w:firstLine="480" w:firstLineChars="200"/>
        <w:rPr>
          <w:rFonts w:ascii="宋体" w:hAnsi="宋体"/>
          <w:color w:val="auto"/>
          <w:sz w:val="24"/>
          <w:szCs w:val="21"/>
          <w:highlight w:val="none"/>
        </w:rPr>
      </w:pPr>
    </w:p>
    <w:p w14:paraId="41665C25">
      <w:pPr>
        <w:spacing w:line="440" w:lineRule="exact"/>
        <w:ind w:firstLine="480" w:firstLineChars="200"/>
        <w:rPr>
          <w:rFonts w:ascii="宋体" w:hAnsi="宋体"/>
          <w:color w:val="auto"/>
          <w:sz w:val="24"/>
          <w:szCs w:val="21"/>
          <w:highlight w:val="none"/>
        </w:rPr>
      </w:pPr>
    </w:p>
    <w:p w14:paraId="6DF5DB59">
      <w:pPr>
        <w:spacing w:line="440" w:lineRule="exact"/>
        <w:ind w:firstLine="480" w:firstLineChars="200"/>
        <w:rPr>
          <w:rFonts w:ascii="宋体" w:hAnsi="宋体"/>
          <w:color w:val="auto"/>
          <w:sz w:val="24"/>
          <w:szCs w:val="21"/>
          <w:highlight w:val="none"/>
        </w:rPr>
      </w:pPr>
    </w:p>
    <w:p w14:paraId="5A437897">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r>
        <w:rPr>
          <w:rFonts w:hint="eastAsia" w:ascii="黑体" w:hAnsi="黑体" w:eastAsia="黑体"/>
          <w:i/>
          <w:color w:val="auto"/>
          <w:sz w:val="32"/>
          <w:szCs w:val="32"/>
          <w:highlight w:val="none"/>
          <w:u w:val="single"/>
        </w:rPr>
        <w:t>一、法人或者其他组织的营业执照等证明文件，自然人的身份证明（身份证为正、反面）</w:t>
      </w:r>
    </w:p>
    <w:p w14:paraId="5FEFDAE0">
      <w:pPr>
        <w:spacing w:line="440" w:lineRule="exact"/>
        <w:rPr>
          <w:rFonts w:ascii="宋体" w:hAnsi="宋体"/>
          <w:color w:val="auto"/>
          <w:sz w:val="24"/>
          <w:szCs w:val="21"/>
          <w:highlight w:val="none"/>
        </w:rPr>
      </w:pPr>
    </w:p>
    <w:p w14:paraId="07B43432">
      <w:pPr>
        <w:spacing w:line="440" w:lineRule="exact"/>
        <w:rPr>
          <w:rFonts w:ascii="宋体" w:hAnsi="宋体"/>
          <w:color w:val="auto"/>
          <w:sz w:val="24"/>
          <w:szCs w:val="21"/>
          <w:highlight w:val="none"/>
        </w:rPr>
      </w:pPr>
    </w:p>
    <w:p w14:paraId="157E9BA9">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二、若法定代表人参加磋商的，须提供本人身份证复印件(原件备查)；若授权代表参加的，须提供《法人授权书》原件和授权代表身份证复印件（原件备查）；</w:t>
      </w:r>
    </w:p>
    <w:p w14:paraId="42A174CA">
      <w:pPr>
        <w:spacing w:line="440" w:lineRule="exact"/>
        <w:rPr>
          <w:rFonts w:ascii="宋体" w:hAnsi="宋体"/>
          <w:color w:val="auto"/>
          <w:sz w:val="24"/>
          <w:szCs w:val="21"/>
          <w:highlight w:val="none"/>
        </w:rPr>
      </w:pPr>
    </w:p>
    <w:p w14:paraId="38FB9D73">
      <w:pPr>
        <w:jc w:val="cente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法人授权书</w:t>
      </w:r>
    </w:p>
    <w:p w14:paraId="7987D298">
      <w:pPr>
        <w:tabs>
          <w:tab w:val="left" w:pos="360"/>
        </w:tabs>
        <w:rPr>
          <w:color w:val="auto"/>
          <w:sz w:val="24"/>
          <w:szCs w:val="24"/>
          <w:highlight w:val="none"/>
        </w:rPr>
      </w:pPr>
    </w:p>
    <w:p w14:paraId="2414A54E">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本授权书声明：__________（供应商名称）授权_________（被授权人的姓名）为我方就号项目采购活动的合法代理人，以本单位名义全权处理一切与该项目采购有关的事务。</w:t>
      </w:r>
    </w:p>
    <w:p w14:paraId="6298E59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本授权书于______年____月____日起生效，特此声明。</w:t>
      </w:r>
    </w:p>
    <w:p w14:paraId="76F4976A">
      <w:pPr>
        <w:tabs>
          <w:tab w:val="left" w:pos="360"/>
        </w:tabs>
        <w:spacing w:line="360" w:lineRule="auto"/>
        <w:rPr>
          <w:color w:val="auto"/>
          <w:sz w:val="24"/>
          <w:szCs w:val="24"/>
          <w:highlight w:val="none"/>
        </w:rPr>
      </w:pPr>
    </w:p>
    <w:p w14:paraId="3DA56EB5">
      <w:pPr>
        <w:tabs>
          <w:tab w:val="left" w:pos="360"/>
        </w:tabs>
        <w:spacing w:line="360" w:lineRule="auto"/>
        <w:rPr>
          <w:color w:val="auto"/>
          <w:sz w:val="24"/>
          <w:szCs w:val="24"/>
          <w:highlight w:val="none"/>
          <w:u w:val="single"/>
        </w:rPr>
      </w:pPr>
      <w:r>
        <w:rPr>
          <w:rFonts w:hint="eastAsia"/>
          <w:color w:val="auto"/>
          <w:sz w:val="24"/>
          <w:szCs w:val="24"/>
          <w:highlight w:val="none"/>
        </w:rPr>
        <w:t>被授权人身份证号码：</w:t>
      </w:r>
    </w:p>
    <w:p w14:paraId="0FEA6510">
      <w:pPr>
        <w:tabs>
          <w:tab w:val="left" w:pos="360"/>
        </w:tabs>
        <w:spacing w:line="360" w:lineRule="auto"/>
        <w:rPr>
          <w:color w:val="auto"/>
          <w:sz w:val="24"/>
          <w:szCs w:val="24"/>
          <w:highlight w:val="none"/>
          <w:u w:val="single"/>
        </w:rPr>
      </w:pPr>
      <w:r>
        <w:rPr>
          <w:rFonts w:hint="eastAsia"/>
          <w:color w:val="auto"/>
          <w:sz w:val="24"/>
          <w:szCs w:val="24"/>
          <w:highlight w:val="none"/>
        </w:rPr>
        <w:t>被授权人联系电话：（手机）</w:t>
      </w:r>
    </w:p>
    <w:p w14:paraId="38628089">
      <w:pPr>
        <w:tabs>
          <w:tab w:val="left" w:pos="360"/>
        </w:tabs>
        <w:spacing w:line="360" w:lineRule="auto"/>
        <w:rPr>
          <w:color w:val="auto"/>
          <w:sz w:val="24"/>
          <w:szCs w:val="24"/>
          <w:highlight w:val="none"/>
        </w:rPr>
      </w:pPr>
      <w:r>
        <w:rPr>
          <w:rFonts w:hint="eastAsia"/>
          <w:color w:val="auto"/>
          <w:sz w:val="24"/>
          <w:szCs w:val="24"/>
          <w:highlight w:val="none"/>
        </w:rPr>
        <w:t>授权单位名称：</w:t>
      </w:r>
      <w:r>
        <w:rPr>
          <w:rFonts w:hint="eastAsia"/>
          <w:color w:val="auto"/>
          <w:sz w:val="24"/>
          <w:szCs w:val="24"/>
          <w:highlight w:val="none"/>
          <w:u w:val="single"/>
        </w:rPr>
        <w:t xml:space="preserve">           （加盖公章）</w:t>
      </w:r>
    </w:p>
    <w:p w14:paraId="49E6E673">
      <w:pPr>
        <w:tabs>
          <w:tab w:val="left" w:pos="360"/>
        </w:tabs>
        <w:spacing w:line="360" w:lineRule="auto"/>
        <w:rPr>
          <w:color w:val="auto"/>
          <w:sz w:val="24"/>
          <w:szCs w:val="24"/>
          <w:highlight w:val="none"/>
          <w:u w:val="single"/>
        </w:rPr>
      </w:pPr>
      <w:r>
        <w:rPr>
          <w:rFonts w:hint="eastAsia"/>
          <w:color w:val="auto"/>
          <w:sz w:val="24"/>
          <w:szCs w:val="24"/>
          <w:highlight w:val="none"/>
        </w:rPr>
        <w:t>法定代表人签字：</w:t>
      </w:r>
    </w:p>
    <w:p w14:paraId="0FE63278">
      <w:pPr>
        <w:tabs>
          <w:tab w:val="left" w:pos="360"/>
        </w:tabs>
        <w:spacing w:line="360" w:lineRule="auto"/>
        <w:rPr>
          <w:color w:val="auto"/>
          <w:sz w:val="24"/>
          <w:szCs w:val="24"/>
          <w:highlight w:val="none"/>
          <w:u w:val="single"/>
        </w:rPr>
      </w:pPr>
      <w:r>
        <w:rPr>
          <w:rFonts w:hint="eastAsia"/>
          <w:color w:val="auto"/>
          <w:sz w:val="24"/>
          <w:szCs w:val="24"/>
          <w:highlight w:val="none"/>
        </w:rPr>
        <w:t>单位地址：</w:t>
      </w:r>
    </w:p>
    <w:p w14:paraId="065A945B">
      <w:pPr>
        <w:tabs>
          <w:tab w:val="left" w:pos="360"/>
        </w:tabs>
        <w:spacing w:line="360" w:lineRule="auto"/>
        <w:rPr>
          <w:color w:val="auto"/>
          <w:sz w:val="24"/>
          <w:szCs w:val="24"/>
          <w:highlight w:val="none"/>
          <w:u w:val="single"/>
        </w:rPr>
      </w:pPr>
      <w:r>
        <w:rPr>
          <w:rFonts w:hint="eastAsia"/>
          <w:color w:val="auto"/>
          <w:sz w:val="24"/>
          <w:szCs w:val="24"/>
          <w:highlight w:val="none"/>
        </w:rPr>
        <w:t>日  期：</w:t>
      </w:r>
    </w:p>
    <w:p w14:paraId="3E64ADF3">
      <w:pPr>
        <w:tabs>
          <w:tab w:val="left" w:pos="360"/>
        </w:tabs>
        <w:spacing w:line="360" w:lineRule="auto"/>
        <w:ind w:firstLine="480" w:firstLineChars="200"/>
        <w:rPr>
          <w:color w:val="auto"/>
          <w:sz w:val="24"/>
          <w:szCs w:val="24"/>
          <w:highlight w:val="none"/>
          <w:u w:val="single"/>
        </w:rPr>
      </w:pPr>
    </w:p>
    <w:p w14:paraId="772DCC64">
      <w:pPr>
        <w:tabs>
          <w:tab w:val="left" w:pos="360"/>
        </w:tabs>
        <w:spacing w:line="360" w:lineRule="auto"/>
        <w:rPr>
          <w:color w:val="auto"/>
          <w:sz w:val="24"/>
          <w:szCs w:val="24"/>
          <w:highlight w:val="none"/>
        </w:rPr>
      </w:pPr>
      <w:r>
        <w:rPr>
          <w:rFonts w:hint="eastAsia"/>
          <w:color w:val="auto"/>
          <w:sz w:val="24"/>
          <w:szCs w:val="24"/>
          <w:highlight w:val="none"/>
        </w:rPr>
        <w:t>附：</w:t>
      </w:r>
    </w:p>
    <w:p w14:paraId="6E8E4471">
      <w:pPr>
        <w:tabs>
          <w:tab w:val="left" w:pos="360"/>
        </w:tabs>
        <w:spacing w:line="360" w:lineRule="auto"/>
        <w:ind w:firstLine="480" w:firstLineChars="200"/>
        <w:rPr>
          <w:color w:val="auto"/>
          <w:sz w:val="24"/>
          <w:szCs w:val="24"/>
          <w:highlight w:val="none"/>
        </w:rPr>
      </w:pPr>
      <w:r>
        <w:rPr>
          <w:rFonts w:hint="eastAsia"/>
          <w:color w:val="auto"/>
          <w:sz w:val="24"/>
          <w:szCs w:val="24"/>
          <w:highlight w:val="none"/>
        </w:rPr>
        <w:t>法定代表人、被授权人身份证影印件：</w:t>
      </w:r>
    </w:p>
    <w:p w14:paraId="11831F62">
      <w:pPr>
        <w:spacing w:line="440" w:lineRule="exact"/>
        <w:jc w:val="center"/>
        <w:rPr>
          <w:rFonts w:ascii="宋体" w:hAnsi="宋体"/>
          <w:color w:val="auto"/>
          <w:sz w:val="24"/>
          <w:szCs w:val="21"/>
          <w:highlight w:val="none"/>
        </w:rPr>
      </w:pPr>
    </w:p>
    <w:p w14:paraId="3C74F210">
      <w:pPr>
        <w:spacing w:line="440" w:lineRule="exact"/>
        <w:rPr>
          <w:rFonts w:ascii="宋体" w:hAnsi="宋体"/>
          <w:color w:val="auto"/>
          <w:sz w:val="24"/>
          <w:szCs w:val="21"/>
          <w:highlight w:val="none"/>
        </w:rPr>
      </w:pPr>
    </w:p>
    <w:p w14:paraId="6B866787">
      <w:pPr>
        <w:spacing w:line="440" w:lineRule="exact"/>
        <w:rPr>
          <w:rFonts w:ascii="宋体" w:hAnsi="宋体"/>
          <w:color w:val="auto"/>
          <w:sz w:val="24"/>
          <w:szCs w:val="21"/>
          <w:highlight w:val="none"/>
        </w:rPr>
      </w:pPr>
    </w:p>
    <w:p w14:paraId="4832532A">
      <w:pPr>
        <w:spacing w:line="440" w:lineRule="exact"/>
        <w:rPr>
          <w:rFonts w:ascii="宋体" w:hAnsi="宋体"/>
          <w:color w:val="auto"/>
          <w:sz w:val="24"/>
          <w:szCs w:val="21"/>
          <w:highlight w:val="none"/>
        </w:rPr>
      </w:pPr>
    </w:p>
    <w:p w14:paraId="590AB023">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三、</w:t>
      </w:r>
      <w:r>
        <w:rPr>
          <w:rFonts w:hint="eastAsia" w:ascii="黑体" w:hAnsi="黑体" w:eastAsia="黑体"/>
          <w:i/>
          <w:color w:val="auto"/>
          <w:sz w:val="32"/>
          <w:szCs w:val="32"/>
          <w:highlight w:val="none"/>
          <w:u w:val="single"/>
          <w:lang w:val="en-US" w:eastAsia="zh-CN"/>
        </w:rPr>
        <w:t>上一</w:t>
      </w:r>
      <w:r>
        <w:rPr>
          <w:rFonts w:hint="eastAsia" w:ascii="黑体" w:hAnsi="黑体" w:eastAsia="黑体"/>
          <w:i/>
          <w:color w:val="auto"/>
          <w:sz w:val="32"/>
          <w:szCs w:val="32"/>
          <w:highlight w:val="none"/>
          <w:u w:val="single"/>
        </w:rPr>
        <w:t>年度的财务状况报告</w:t>
      </w:r>
    </w:p>
    <w:p w14:paraId="37D09DC5">
      <w:pPr>
        <w:spacing w:line="440" w:lineRule="exact"/>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供应商成立不满一年无需提供</w:t>
      </w:r>
    </w:p>
    <w:p w14:paraId="72A65D05">
      <w:pPr>
        <w:rPr>
          <w:rFonts w:ascii="黑体" w:hAnsi="黑体" w:eastAsia="黑体"/>
          <w:i/>
          <w:color w:val="auto"/>
          <w:sz w:val="32"/>
          <w:szCs w:val="32"/>
          <w:highlight w:val="none"/>
          <w:u w:val="single"/>
        </w:rPr>
      </w:pPr>
    </w:p>
    <w:p w14:paraId="09F5B35C">
      <w:pPr>
        <w:rPr>
          <w:rFonts w:ascii="黑体" w:hAnsi="黑体" w:eastAsia="黑体"/>
          <w:i/>
          <w:color w:val="auto"/>
          <w:sz w:val="32"/>
          <w:szCs w:val="32"/>
          <w:highlight w:val="none"/>
          <w:u w:val="single"/>
        </w:rPr>
      </w:pPr>
    </w:p>
    <w:p w14:paraId="6424685C">
      <w:pPr>
        <w:rPr>
          <w:rFonts w:ascii="黑体" w:hAnsi="黑体" w:eastAsia="黑体"/>
          <w:i/>
          <w:color w:val="auto"/>
          <w:sz w:val="32"/>
          <w:szCs w:val="32"/>
          <w:highlight w:val="none"/>
          <w:u w:val="single"/>
        </w:rPr>
      </w:pPr>
    </w:p>
    <w:p w14:paraId="2E5D4071">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四、依法缴纳税收和社会保障资金的相关材料</w:t>
      </w:r>
    </w:p>
    <w:p w14:paraId="0C2FB914">
      <w:pPr>
        <w:ind w:firstLine="480" w:firstLineChars="200"/>
        <w:rPr>
          <w:rFonts w:ascii="宋体" w:hAnsi="宋体"/>
          <w:bCs/>
          <w:color w:val="auto"/>
          <w:sz w:val="24"/>
          <w:szCs w:val="21"/>
          <w:highlight w:val="none"/>
        </w:rPr>
      </w:pPr>
      <w:r>
        <w:rPr>
          <w:rFonts w:hint="eastAsia" w:ascii="宋体" w:hAnsi="宋体"/>
          <w:bCs/>
          <w:color w:val="auto"/>
          <w:sz w:val="24"/>
          <w:szCs w:val="21"/>
          <w:highlight w:val="none"/>
        </w:rPr>
        <w:t>提供提交磋商响应文件截止时间前一年内至少一个月依法缴纳税收及缴纳社会保障资金的证明材料。供应商依法享受缓缴、免缴税收、社会保障资金的提供证明材料。</w:t>
      </w:r>
    </w:p>
    <w:p w14:paraId="62C7C4FC">
      <w:pPr>
        <w:rPr>
          <w:rFonts w:ascii="黑体" w:hAnsi="黑体" w:eastAsia="黑体"/>
          <w:i/>
          <w:color w:val="auto"/>
          <w:sz w:val="32"/>
          <w:szCs w:val="32"/>
          <w:highlight w:val="none"/>
          <w:u w:val="single"/>
        </w:rPr>
      </w:pPr>
    </w:p>
    <w:p w14:paraId="6FFB0591">
      <w:pPr>
        <w:rPr>
          <w:rFonts w:ascii="黑体" w:hAnsi="黑体" w:eastAsia="黑体"/>
          <w:i/>
          <w:color w:val="auto"/>
          <w:sz w:val="32"/>
          <w:szCs w:val="32"/>
          <w:highlight w:val="none"/>
          <w:u w:val="single"/>
        </w:rPr>
      </w:pPr>
    </w:p>
    <w:p w14:paraId="10B79273">
      <w:pPr>
        <w:rPr>
          <w:rFonts w:ascii="黑体" w:hAnsi="黑体" w:eastAsia="黑体"/>
          <w:i/>
          <w:color w:val="auto"/>
          <w:sz w:val="32"/>
          <w:szCs w:val="32"/>
          <w:highlight w:val="none"/>
          <w:u w:val="single"/>
        </w:rPr>
      </w:pPr>
    </w:p>
    <w:p w14:paraId="111617DC">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五、具备履行合同所必需的设备和专业技术能力的书面声明</w:t>
      </w:r>
    </w:p>
    <w:p w14:paraId="5BF5787D">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我单位郑重声明：我单位具备履行本项采购合同所必需的设备和专业技术能力，为履行本项采购合同我公司具备如下主要设备和主要专业技术能力：</w:t>
      </w:r>
    </w:p>
    <w:p w14:paraId="0775B473">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主要设备有：。</w:t>
      </w:r>
    </w:p>
    <w:p w14:paraId="57719F1B">
      <w:pPr>
        <w:spacing w:line="460" w:lineRule="exact"/>
        <w:ind w:firstLine="492"/>
        <w:rPr>
          <w:rFonts w:ascii="宋体" w:hAnsi="宋体"/>
          <w:bCs/>
          <w:color w:val="auto"/>
          <w:sz w:val="24"/>
          <w:szCs w:val="21"/>
          <w:highlight w:val="none"/>
        </w:rPr>
      </w:pPr>
      <w:r>
        <w:rPr>
          <w:rFonts w:hint="eastAsia" w:ascii="宋体" w:hAnsi="宋体"/>
          <w:bCs/>
          <w:color w:val="auto"/>
          <w:sz w:val="24"/>
          <w:szCs w:val="21"/>
          <w:highlight w:val="none"/>
        </w:rPr>
        <w:t>主要专业技术能力有：。</w:t>
      </w:r>
    </w:p>
    <w:p w14:paraId="4C62EBDD">
      <w:pPr>
        <w:spacing w:line="460" w:lineRule="exact"/>
        <w:rPr>
          <w:rFonts w:ascii="宋体" w:hAnsi="宋体"/>
          <w:bCs/>
          <w:color w:val="auto"/>
          <w:sz w:val="24"/>
          <w:szCs w:val="21"/>
          <w:highlight w:val="none"/>
        </w:rPr>
      </w:pPr>
    </w:p>
    <w:p w14:paraId="528C4D20">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供应商名称（公章）：</w:t>
      </w:r>
    </w:p>
    <w:p w14:paraId="6ACA5E85">
      <w:pPr>
        <w:spacing w:line="360" w:lineRule="auto"/>
        <w:rPr>
          <w:rFonts w:ascii="宋体" w:hAnsi="宋体" w:cs="宋体"/>
          <w:bCs/>
          <w:color w:val="auto"/>
          <w:highlight w:val="none"/>
          <w:u w:val="single"/>
        </w:rPr>
      </w:pPr>
      <w:r>
        <w:rPr>
          <w:rFonts w:hint="eastAsia" w:ascii="宋体" w:hAnsi="宋体" w:cs="宋体"/>
          <w:bCs/>
          <w:color w:val="auto"/>
          <w:highlight w:val="none"/>
        </w:rPr>
        <w:t xml:space="preserve">                                                    法定代表人（签字或盖章）：</w:t>
      </w:r>
    </w:p>
    <w:p w14:paraId="1D7F45F5">
      <w:pPr>
        <w:spacing w:line="360" w:lineRule="auto"/>
        <w:rPr>
          <w:rFonts w:ascii="宋体" w:hAnsi="宋体" w:cs="宋体"/>
          <w:bCs/>
          <w:color w:val="auto"/>
          <w:highlight w:val="none"/>
        </w:rPr>
      </w:pPr>
      <w:r>
        <w:rPr>
          <w:rFonts w:hint="eastAsia" w:ascii="宋体" w:hAnsi="宋体" w:cs="宋体"/>
          <w:bCs/>
          <w:color w:val="auto"/>
          <w:highlight w:val="none"/>
        </w:rPr>
        <w:t xml:space="preserve">                                                    日 期：年月日</w:t>
      </w:r>
    </w:p>
    <w:p w14:paraId="16309DC4">
      <w:pPr>
        <w:rPr>
          <w:color w:val="auto"/>
          <w:szCs w:val="21"/>
          <w:highlight w:val="none"/>
        </w:rPr>
      </w:pPr>
    </w:p>
    <w:p w14:paraId="5AACF9FE">
      <w:pPr>
        <w:rPr>
          <w:color w:val="auto"/>
          <w:szCs w:val="21"/>
          <w:highlight w:val="none"/>
        </w:rPr>
      </w:pPr>
      <w:r>
        <w:rPr>
          <w:rFonts w:hint="eastAsia"/>
          <w:color w:val="auto"/>
          <w:szCs w:val="21"/>
          <w:highlight w:val="none"/>
        </w:rPr>
        <w:br w:type="page"/>
      </w:r>
    </w:p>
    <w:p w14:paraId="327A1115">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六、参加采购活动前 3 年内在经营活动中没有重大违法记录的书面声明</w:t>
      </w:r>
    </w:p>
    <w:p w14:paraId="7F4FB795">
      <w:pPr>
        <w:spacing w:line="460" w:lineRule="exact"/>
        <w:rPr>
          <w:rFonts w:ascii="宋体" w:hAnsi="宋体"/>
          <w:b/>
          <w:bCs/>
          <w:color w:val="auto"/>
          <w:sz w:val="44"/>
          <w:szCs w:val="44"/>
          <w:highlight w:val="none"/>
        </w:rPr>
      </w:pPr>
      <w:r>
        <w:rPr>
          <w:rFonts w:hint="eastAsia" w:ascii="宋体" w:hAnsi="宋体"/>
          <w:b/>
          <w:bCs/>
          <w:color w:val="auto"/>
          <w:sz w:val="44"/>
          <w:szCs w:val="44"/>
          <w:highlight w:val="none"/>
        </w:rPr>
        <w:t xml:space="preserve">                 声  明</w:t>
      </w:r>
    </w:p>
    <w:p w14:paraId="7AA968A0">
      <w:pPr>
        <w:spacing w:line="460" w:lineRule="exact"/>
        <w:rPr>
          <w:rFonts w:ascii="宋体" w:hAnsi="宋体"/>
          <w:bCs/>
          <w:color w:val="auto"/>
          <w:sz w:val="24"/>
          <w:szCs w:val="21"/>
          <w:highlight w:val="none"/>
        </w:rPr>
      </w:pPr>
      <w:r>
        <w:rPr>
          <w:rFonts w:hint="eastAsia" w:ascii="宋体" w:hAnsi="宋体"/>
          <w:bCs/>
          <w:color w:val="auto"/>
          <w:sz w:val="24"/>
          <w:szCs w:val="21"/>
          <w:highlight w:val="none"/>
        </w:rPr>
        <w:t>我单位郑重声明：参加本次采购活动前 3 年内，我单位在经营活动中没有因违法经营受到刑事处罚或者责令停产停业、吊销许可证或者执照、较大数额罚款等行政处罚。</w:t>
      </w:r>
    </w:p>
    <w:p w14:paraId="4CF46D9D">
      <w:pPr>
        <w:spacing w:line="360" w:lineRule="auto"/>
        <w:ind w:firstLine="5040" w:firstLineChars="2100"/>
        <w:rPr>
          <w:rFonts w:ascii="宋体" w:hAnsi="宋体" w:cs="宋体"/>
          <w:bCs/>
          <w:color w:val="auto"/>
          <w:sz w:val="24"/>
          <w:szCs w:val="24"/>
          <w:highlight w:val="none"/>
        </w:rPr>
      </w:pPr>
    </w:p>
    <w:p w14:paraId="54C6B002">
      <w:pPr>
        <w:spacing w:line="360" w:lineRule="auto"/>
        <w:ind w:firstLine="5040" w:firstLineChars="2100"/>
        <w:rPr>
          <w:rFonts w:ascii="宋体" w:hAnsi="宋体" w:cs="宋体"/>
          <w:bCs/>
          <w:color w:val="auto"/>
          <w:sz w:val="24"/>
          <w:szCs w:val="24"/>
          <w:highlight w:val="none"/>
        </w:rPr>
      </w:pPr>
    </w:p>
    <w:p w14:paraId="265A78D6">
      <w:pPr>
        <w:spacing w:line="360" w:lineRule="auto"/>
        <w:ind w:firstLine="5040" w:firstLineChars="2100"/>
        <w:rPr>
          <w:rFonts w:ascii="宋体" w:hAnsi="宋体" w:cs="宋体"/>
          <w:bCs/>
          <w:color w:val="auto"/>
          <w:sz w:val="24"/>
          <w:szCs w:val="24"/>
          <w:highlight w:val="none"/>
          <w:u w:val="single"/>
        </w:rPr>
      </w:pPr>
      <w:r>
        <w:rPr>
          <w:rFonts w:hint="eastAsia" w:ascii="宋体" w:hAnsi="宋体" w:cs="宋体"/>
          <w:bCs/>
          <w:color w:val="auto"/>
          <w:sz w:val="24"/>
          <w:szCs w:val="24"/>
          <w:highlight w:val="none"/>
        </w:rPr>
        <w:t>供应商名称（公章）：</w:t>
      </w:r>
    </w:p>
    <w:p w14:paraId="1D8FD78C">
      <w:pPr>
        <w:spacing w:line="360" w:lineRule="auto"/>
        <w:rPr>
          <w:rFonts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法定代表人或授权代表签字：</w:t>
      </w:r>
    </w:p>
    <w:p w14:paraId="2FAD4316">
      <w:pPr>
        <w:widowControl/>
        <w:rPr>
          <w:rFonts w:ascii="宋体" w:hAnsi="宋体" w:cs="宋体"/>
          <w:b/>
          <w:color w:val="auto"/>
          <w:sz w:val="28"/>
          <w:szCs w:val="28"/>
          <w:highlight w:val="none"/>
        </w:rPr>
      </w:pPr>
      <w:r>
        <w:rPr>
          <w:rFonts w:hint="eastAsia" w:ascii="宋体" w:hAnsi="宋体" w:cs="宋体"/>
          <w:bCs/>
          <w:color w:val="auto"/>
          <w:sz w:val="24"/>
          <w:szCs w:val="24"/>
          <w:highlight w:val="none"/>
        </w:rPr>
        <w:t xml:space="preserve">                                          日 期：年月日</w:t>
      </w:r>
    </w:p>
    <w:p w14:paraId="0207A5F0">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4F7CC1D3">
      <w:pPr>
        <w:pStyle w:val="46"/>
        <w:ind w:firstLine="420"/>
        <w:rPr>
          <w:color w:val="auto"/>
          <w:highlight w:val="none"/>
        </w:rPr>
      </w:pPr>
    </w:p>
    <w:p w14:paraId="5FEC4EE4">
      <w:pPr>
        <w:jc w:val="center"/>
        <w:rPr>
          <w:rFonts w:ascii="宋体" w:hAnsi="宋体" w:cs="宋体"/>
          <w:i/>
          <w:iCs/>
          <w:color w:val="auto"/>
          <w:szCs w:val="32"/>
          <w:highlight w:val="none"/>
          <w:u w:val="single"/>
        </w:rPr>
      </w:pPr>
      <w:r>
        <w:rPr>
          <w:rFonts w:hint="eastAsia" w:ascii="黑体" w:hAnsi="黑体" w:eastAsia="黑体"/>
          <w:b/>
          <w:i/>
          <w:iCs/>
          <w:color w:val="auto"/>
          <w:sz w:val="32"/>
          <w:szCs w:val="32"/>
          <w:highlight w:val="none"/>
          <w:u w:val="single"/>
        </w:rPr>
        <w:t>七、供应商信用承诺书</w:t>
      </w:r>
    </w:p>
    <w:p w14:paraId="73CB2013">
      <w:pPr>
        <w:spacing w:line="360" w:lineRule="auto"/>
        <w:rPr>
          <w:rFonts w:ascii="宋体" w:hAnsi="宋体" w:cs="宋体"/>
          <w:color w:val="auto"/>
          <w:szCs w:val="21"/>
          <w:highlight w:val="none"/>
        </w:rPr>
      </w:pPr>
      <w:r>
        <w:rPr>
          <w:rFonts w:hint="eastAsia" w:ascii="宋体" w:hAnsi="宋体" w:cs="宋体"/>
          <w:color w:val="auto"/>
          <w:szCs w:val="21"/>
          <w:highlight w:val="none"/>
        </w:rPr>
        <w:t>承诺主体名称：</w:t>
      </w:r>
    </w:p>
    <w:p w14:paraId="7413A598">
      <w:pPr>
        <w:spacing w:line="360" w:lineRule="auto"/>
        <w:rPr>
          <w:rFonts w:ascii="宋体" w:hAnsi="宋体" w:cs="宋体"/>
          <w:color w:val="auto"/>
          <w:szCs w:val="21"/>
          <w:highlight w:val="none"/>
        </w:rPr>
      </w:pPr>
      <w:r>
        <w:rPr>
          <w:rFonts w:hint="eastAsia" w:ascii="宋体" w:hAnsi="宋体" w:cs="宋体"/>
          <w:color w:val="auto"/>
          <w:szCs w:val="21"/>
          <w:highlight w:val="none"/>
        </w:rPr>
        <w:t>统一社会信用代码：</w:t>
      </w:r>
    </w:p>
    <w:p w14:paraId="0E5E94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7B282F8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14:paraId="3D465DF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14:paraId="30969A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14:paraId="2CB1868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14:paraId="2F9393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14:paraId="1B73BA9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14:paraId="7858DC0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14:paraId="73D040A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14:paraId="370381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7C34C07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十、本承诺书自签订之日起生效。</w:t>
      </w:r>
    </w:p>
    <w:p w14:paraId="46DB19F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14:paraId="1ACC87B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w:t>
      </w:r>
    </w:p>
    <w:p w14:paraId="77AAB8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                      承诺单位（签章）：</w:t>
      </w:r>
    </w:p>
    <w:p w14:paraId="5A93139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法定代表人（负责人）：</w:t>
      </w:r>
    </w:p>
    <w:p w14:paraId="2407BEAE">
      <w:pPr>
        <w:jc w:val="center"/>
        <w:rPr>
          <w:rFonts w:ascii="黑体" w:hAnsi="黑体" w:eastAsia="黑体"/>
          <w:b/>
          <w:color w:val="auto"/>
          <w:sz w:val="32"/>
          <w:szCs w:val="32"/>
          <w:highlight w:val="none"/>
        </w:rPr>
      </w:pPr>
      <w:r>
        <w:rPr>
          <w:rFonts w:hint="eastAsia" w:ascii="宋体" w:hAnsi="宋体" w:cs="宋体"/>
          <w:color w:val="auto"/>
          <w:szCs w:val="21"/>
          <w:highlight w:val="none"/>
        </w:rPr>
        <w:t>　　　　　　　　　      　年 月  日</w:t>
      </w:r>
    </w:p>
    <w:p w14:paraId="1300E943">
      <w:pPr>
        <w:jc w:val="cente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r>
        <w:rPr>
          <w:rFonts w:hint="eastAsia" w:ascii="黑体" w:hAnsi="黑体" w:eastAsia="黑体"/>
          <w:i/>
          <w:color w:val="auto"/>
          <w:sz w:val="32"/>
          <w:szCs w:val="32"/>
          <w:highlight w:val="none"/>
          <w:u w:val="single"/>
        </w:rPr>
        <w:t>八、中小企业声明函</w:t>
      </w:r>
    </w:p>
    <w:p w14:paraId="722884D0">
      <w:pPr>
        <w:spacing w:beforeLines="100" w:afterLines="100" w:line="420" w:lineRule="exact"/>
        <w:jc w:val="center"/>
        <w:rPr>
          <w:b/>
          <w:bCs/>
          <w:color w:val="auto"/>
          <w:highlight w:val="none"/>
        </w:rPr>
      </w:pPr>
      <w:r>
        <w:rPr>
          <w:rFonts w:hint="eastAsia"/>
          <w:b/>
          <w:bCs/>
          <w:color w:val="auto"/>
          <w:highlight w:val="none"/>
        </w:rPr>
        <w:t>中小企业声明函（工程）</w:t>
      </w:r>
    </w:p>
    <w:p w14:paraId="285FCEAB">
      <w:pPr>
        <w:spacing w:line="420" w:lineRule="exact"/>
        <w:ind w:firstLine="420" w:firstLineChars="200"/>
        <w:jc w:val="left"/>
        <w:rPr>
          <w:color w:val="auto"/>
          <w:highlight w:val="none"/>
        </w:rPr>
      </w:pPr>
      <w:r>
        <w:rPr>
          <w:rFonts w:hint="eastAsia"/>
          <w:color w:val="auto"/>
          <w:highlight w:val="none"/>
        </w:rPr>
        <w:t>本公司（联合体）郑重声明，根据《政府采购促进中小企业发展管理办法》（财库﹝</w:t>
      </w:r>
      <w:r>
        <w:rPr>
          <w:color w:val="auto"/>
          <w:highlight w:val="none"/>
        </w:rPr>
        <w:t>2020</w:t>
      </w:r>
      <w:r>
        <w:rPr>
          <w:rFonts w:hint="eastAsia"/>
          <w:color w:val="auto"/>
          <w:highlight w:val="none"/>
        </w:rPr>
        <w:t>﹞</w:t>
      </w:r>
      <w:r>
        <w:rPr>
          <w:color w:val="auto"/>
          <w:highlight w:val="none"/>
        </w:rPr>
        <w:t xml:space="preserve">46 </w:t>
      </w:r>
      <w:r>
        <w:rPr>
          <w:rFonts w:hint="eastAsia"/>
          <w:color w:val="auto"/>
          <w:highlight w:val="none"/>
        </w:rPr>
        <w:t>号）的规定，本公司（联合体）参加</w:t>
      </w:r>
      <w:r>
        <w:rPr>
          <w:rFonts w:hint="eastAsia"/>
          <w:color w:val="auto"/>
          <w:highlight w:val="none"/>
          <w:u w:val="single"/>
        </w:rPr>
        <w:t xml:space="preserve">（单位名称）    </w:t>
      </w:r>
      <w:r>
        <w:rPr>
          <w:rFonts w:hint="eastAsia"/>
          <w:color w:val="auto"/>
          <w:highlight w:val="none"/>
        </w:rPr>
        <w:t>的</w:t>
      </w:r>
      <w:r>
        <w:rPr>
          <w:rFonts w:hint="eastAsia"/>
          <w:color w:val="auto"/>
          <w:highlight w:val="none"/>
          <w:u w:val="single"/>
        </w:rPr>
        <w:t xml:space="preserve">（项目名称）    </w:t>
      </w:r>
      <w:r>
        <w:rPr>
          <w:rFonts w:hint="eastAsia"/>
          <w:color w:val="auto"/>
          <w:highlight w:val="none"/>
        </w:rPr>
        <w:t>采购活动，工程的施工单位全部为符合政策要求的中小企业。相关企业（含联合体中的中小企业、签订分包意向协议的中小企业）的具体情况如下：</w:t>
      </w:r>
    </w:p>
    <w:p w14:paraId="08B6040F">
      <w:pPr>
        <w:spacing w:line="420" w:lineRule="exact"/>
        <w:ind w:firstLine="420" w:firstLineChars="200"/>
        <w:jc w:val="left"/>
        <w:rPr>
          <w:color w:val="auto"/>
          <w:highlight w:val="none"/>
          <w:u w:val="single"/>
        </w:rPr>
      </w:pPr>
      <w:r>
        <w:rPr>
          <w:color w:val="auto"/>
          <w:highlight w:val="none"/>
        </w:rPr>
        <w:t xml:space="preserve">1. </w:t>
      </w:r>
      <w:r>
        <w:rPr>
          <w:rFonts w:hint="eastAsia"/>
          <w:color w:val="auto"/>
          <w:highlight w:val="none"/>
          <w:u w:val="single"/>
        </w:rPr>
        <w:t xml:space="preserve">（标的名称）      </w:t>
      </w:r>
      <w:r>
        <w:rPr>
          <w:rFonts w:hint="eastAsia"/>
          <w:color w:val="auto"/>
          <w:highlight w:val="none"/>
        </w:rPr>
        <w:t>，属于</w:t>
      </w:r>
      <w:r>
        <w:rPr>
          <w:rFonts w:hint="eastAsia"/>
          <w:b/>
          <w:bCs/>
          <w:color w:val="auto"/>
          <w:highlight w:val="none"/>
          <w:u w:val="single"/>
        </w:rPr>
        <w:t>建筑</w:t>
      </w:r>
      <w:r>
        <w:rPr>
          <w:rFonts w:hint="eastAsia" w:ascii="宋体" w:hAnsi="宋体" w:cs="宋体"/>
          <w:b/>
          <w:bCs/>
          <w:color w:val="auto"/>
          <w:highlight w:val="none"/>
          <w:u w:val="single"/>
        </w:rPr>
        <w:t xml:space="preserve">业 </w:t>
      </w:r>
      <w:r>
        <w:rPr>
          <w:rFonts w:hint="eastAsia"/>
          <w:color w:val="auto"/>
          <w:highlight w:val="none"/>
        </w:rPr>
        <w:t>；承建（承接）企业为</w:t>
      </w:r>
      <w:r>
        <w:rPr>
          <w:rFonts w:hint="eastAsia"/>
          <w:color w:val="auto"/>
          <w:highlight w:val="none"/>
          <w:u w:val="single"/>
        </w:rPr>
        <w:t xml:space="preserve">（企业名称）    </w:t>
      </w:r>
      <w:r>
        <w:rPr>
          <w:rFonts w:hint="eastAsia"/>
          <w:color w:val="auto"/>
          <w:highlight w:val="none"/>
        </w:rPr>
        <w:t>，从业人员人，营业收入为万元，资产总额为万元</w:t>
      </w:r>
      <w:r>
        <w:rPr>
          <w:color w:val="auto"/>
          <w:highlight w:val="none"/>
        </w:rPr>
        <w:fldChar w:fldCharType="begin"/>
      </w:r>
      <w:r>
        <w:rPr>
          <w:color w:val="auto"/>
          <w:highlight w:val="none"/>
        </w:rPr>
        <w:instrText xml:space="preserve"> HYPERLINK "file:///D:\\WeChat\\WeChat%20Files\\WeChat%20Files\\wxid_7aioe7u2y9h512\\FileStorage\\Microsoft\\Windows\\INetCache\\Down\\undefined.doc" \l "br1" </w:instrText>
      </w:r>
      <w:r>
        <w:rPr>
          <w:color w:val="auto"/>
          <w:highlight w:val="none"/>
        </w:rPr>
        <w:fldChar w:fldCharType="separate"/>
      </w:r>
      <w:r>
        <w:rPr>
          <w:rStyle w:val="39"/>
          <w:rFonts w:hint="eastAsia" w:ascii="仿宋" w:eastAsia="Times New Roman"/>
          <w:color w:val="auto"/>
          <w:spacing w:val="-1"/>
          <w:highlight w:val="none"/>
          <w:vertAlign w:val="superscript"/>
        </w:rPr>
        <w:t>1</w:t>
      </w:r>
      <w:r>
        <w:rPr>
          <w:rStyle w:val="39"/>
          <w:rFonts w:hint="eastAsia" w:ascii="仿宋" w:eastAsia="Times New Roman"/>
          <w:color w:val="auto"/>
          <w:spacing w:val="-1"/>
          <w:highlight w:val="none"/>
          <w:vertAlign w:val="superscript"/>
        </w:rPr>
        <w:fldChar w:fldCharType="end"/>
      </w:r>
      <w:r>
        <w:rPr>
          <w:rFonts w:hint="eastAsia"/>
          <w:color w:val="auto"/>
          <w:highlight w:val="none"/>
        </w:rPr>
        <w:t>，属于</w:t>
      </w:r>
      <w:r>
        <w:rPr>
          <w:rFonts w:hint="eastAsia"/>
          <w:color w:val="auto"/>
          <w:highlight w:val="none"/>
          <w:u w:val="single"/>
        </w:rPr>
        <w:t>（中型企业、小型企业、微型企业）；</w:t>
      </w:r>
    </w:p>
    <w:p w14:paraId="1DACB77F">
      <w:pPr>
        <w:spacing w:line="420" w:lineRule="exact"/>
        <w:ind w:firstLine="420" w:firstLineChars="200"/>
        <w:jc w:val="left"/>
        <w:rPr>
          <w:color w:val="auto"/>
          <w:highlight w:val="none"/>
          <w:u w:val="single"/>
        </w:rPr>
      </w:pPr>
      <w:r>
        <w:rPr>
          <w:color w:val="auto"/>
          <w:highlight w:val="none"/>
        </w:rPr>
        <w:t xml:space="preserve">2. </w:t>
      </w:r>
      <w:r>
        <w:rPr>
          <w:rFonts w:hint="eastAsia"/>
          <w:color w:val="auto"/>
          <w:highlight w:val="none"/>
          <w:u w:val="single"/>
        </w:rPr>
        <w:t>（标的名称）</w:t>
      </w:r>
      <w:r>
        <w:rPr>
          <w:rFonts w:hint="eastAsia"/>
          <w:color w:val="auto"/>
          <w:highlight w:val="none"/>
        </w:rPr>
        <w:t>，属于</w:t>
      </w:r>
      <w:r>
        <w:rPr>
          <w:rFonts w:hint="eastAsia"/>
          <w:b/>
          <w:bCs/>
          <w:color w:val="auto"/>
          <w:highlight w:val="none"/>
          <w:u w:val="single"/>
        </w:rPr>
        <w:t>建筑</w:t>
      </w:r>
      <w:r>
        <w:rPr>
          <w:rFonts w:hint="eastAsia" w:ascii="宋体" w:hAnsi="宋体" w:cs="宋体"/>
          <w:b/>
          <w:bCs/>
          <w:color w:val="auto"/>
          <w:highlight w:val="none"/>
          <w:u w:val="single"/>
        </w:rPr>
        <w:t xml:space="preserve">业 </w:t>
      </w:r>
      <w:r>
        <w:rPr>
          <w:rFonts w:hint="eastAsia"/>
          <w:color w:val="auto"/>
          <w:highlight w:val="none"/>
        </w:rPr>
        <w:t>；承建（承接）企业为</w:t>
      </w:r>
      <w:r>
        <w:rPr>
          <w:rFonts w:hint="eastAsia"/>
          <w:color w:val="auto"/>
          <w:highlight w:val="none"/>
          <w:u w:val="single"/>
        </w:rPr>
        <w:t>（企业名称）</w:t>
      </w:r>
      <w:r>
        <w:rPr>
          <w:rFonts w:hint="eastAsia"/>
          <w:color w:val="auto"/>
          <w:highlight w:val="none"/>
        </w:rPr>
        <w:t>，从业人员人，营业收入为万元，资产总额为万元，属于</w:t>
      </w:r>
      <w:r>
        <w:rPr>
          <w:rFonts w:hint="eastAsia"/>
          <w:color w:val="auto"/>
          <w:highlight w:val="none"/>
          <w:u w:val="single"/>
        </w:rPr>
        <w:t>（中型企业、小型企业、微型企业）；</w:t>
      </w:r>
    </w:p>
    <w:p w14:paraId="04021700">
      <w:pPr>
        <w:spacing w:line="420" w:lineRule="exact"/>
        <w:ind w:firstLine="420" w:firstLineChars="200"/>
        <w:jc w:val="left"/>
        <w:rPr>
          <w:color w:val="auto"/>
          <w:highlight w:val="none"/>
        </w:rPr>
      </w:pPr>
      <w:r>
        <w:rPr>
          <w:rFonts w:hint="eastAsia"/>
          <w:color w:val="auto"/>
          <w:highlight w:val="none"/>
        </w:rPr>
        <w:t>……</w:t>
      </w:r>
    </w:p>
    <w:p w14:paraId="0162C886">
      <w:pPr>
        <w:spacing w:line="420" w:lineRule="exact"/>
        <w:ind w:firstLine="420" w:firstLineChars="200"/>
        <w:jc w:val="left"/>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7F928BA2">
      <w:pPr>
        <w:spacing w:line="420" w:lineRule="exact"/>
        <w:ind w:firstLine="420" w:firstLineChars="200"/>
        <w:jc w:val="left"/>
        <w:rPr>
          <w:color w:val="auto"/>
          <w:highlight w:val="none"/>
        </w:rPr>
      </w:pPr>
      <w:r>
        <w:rPr>
          <w:rFonts w:hint="eastAsia"/>
          <w:color w:val="auto"/>
          <w:highlight w:val="none"/>
        </w:rPr>
        <w:t>本企业对上述声明内容的真实性负责。如有虚假，将依法承担相应责任。</w:t>
      </w:r>
    </w:p>
    <w:p w14:paraId="79AB0193">
      <w:pPr>
        <w:rPr>
          <w:color w:val="auto"/>
          <w:highlight w:val="none"/>
        </w:rPr>
      </w:pPr>
    </w:p>
    <w:p w14:paraId="1D662A8E">
      <w:pPr>
        <w:ind w:firstLine="4410" w:firstLineChars="2100"/>
        <w:rPr>
          <w:color w:val="auto"/>
          <w:highlight w:val="none"/>
        </w:rPr>
      </w:pPr>
    </w:p>
    <w:p w14:paraId="4B2E6E1C">
      <w:pPr>
        <w:ind w:firstLine="5040" w:firstLineChars="2400"/>
        <w:rPr>
          <w:color w:val="auto"/>
          <w:highlight w:val="none"/>
        </w:rPr>
      </w:pPr>
      <w:r>
        <w:rPr>
          <w:rFonts w:hint="eastAsia"/>
          <w:color w:val="auto"/>
          <w:highlight w:val="none"/>
        </w:rPr>
        <w:t>企业名称（盖章）：</w:t>
      </w:r>
    </w:p>
    <w:p w14:paraId="25B5A38A">
      <w:pPr>
        <w:ind w:firstLine="5040" w:firstLineChars="2400"/>
        <w:rPr>
          <w:color w:val="auto"/>
          <w:highlight w:val="none"/>
        </w:rPr>
      </w:pPr>
    </w:p>
    <w:p w14:paraId="2A718550">
      <w:pPr>
        <w:ind w:firstLine="5040" w:firstLineChars="2400"/>
        <w:rPr>
          <w:color w:val="auto"/>
          <w:highlight w:val="none"/>
        </w:rPr>
      </w:pPr>
      <w:r>
        <w:rPr>
          <w:rFonts w:hint="eastAsia"/>
          <w:color w:val="auto"/>
          <w:highlight w:val="none"/>
        </w:rPr>
        <w:t>日期：</w:t>
      </w:r>
    </w:p>
    <w:p w14:paraId="6CB4F9FA">
      <w:pPr>
        <w:rPr>
          <w:rFonts w:ascii="宋体" w:hAnsi="宋体" w:cs="宋体"/>
          <w:bCs/>
          <w:color w:val="auto"/>
          <w:szCs w:val="21"/>
          <w:highlight w:val="none"/>
        </w:rPr>
      </w:pPr>
    </w:p>
    <w:p w14:paraId="099F9281">
      <w:pPr>
        <w:rPr>
          <w:rFonts w:ascii="宋体" w:hAnsi="宋体" w:cs="宋体"/>
          <w:bCs/>
          <w:color w:val="auto"/>
          <w:szCs w:val="21"/>
          <w:highlight w:val="none"/>
        </w:rPr>
      </w:pPr>
    </w:p>
    <w:p w14:paraId="3AF58B7B">
      <w:pPr>
        <w:rPr>
          <w:color w:val="auto"/>
          <w:highlight w:val="none"/>
        </w:rPr>
      </w:pPr>
      <w:r>
        <w:rPr>
          <w:rFonts w:hint="eastAsia" w:ascii="宋体" w:hAnsi="宋体" w:cs="宋体"/>
          <w:bCs/>
          <w:color w:val="auto"/>
          <w:szCs w:val="21"/>
          <w:highlight w:val="none"/>
        </w:rPr>
        <w:t>注：</w:t>
      </w:r>
    </w:p>
    <w:p w14:paraId="2B5046A4">
      <w:pPr>
        <w:rPr>
          <w:rFonts w:ascii="宋体" w:hAnsi="宋体" w:cs="宋体"/>
          <w:bCs/>
          <w:color w:val="auto"/>
          <w:szCs w:val="21"/>
          <w:highlight w:val="none"/>
        </w:rPr>
      </w:pPr>
      <w:r>
        <w:rPr>
          <w:rFonts w:hint="eastAsia" w:ascii="宋体" w:hAnsi="宋体" w:cs="宋体"/>
          <w:bCs/>
          <w:color w:val="auto"/>
          <w:szCs w:val="21"/>
          <w:highlight w:val="none"/>
        </w:rPr>
        <w:t>1、从业人员、营业收入、资产总额填报上一年度数据，无上一年度数据的新成立企业可不填报。</w:t>
      </w:r>
    </w:p>
    <w:p w14:paraId="1204F940">
      <w:pPr>
        <w:jc w:val="left"/>
        <w:rPr>
          <w:rFonts w:ascii="宋体" w:hAnsi="宋体" w:cs="宋体"/>
          <w:bCs/>
          <w:color w:val="auto"/>
          <w:szCs w:val="21"/>
          <w:highlight w:val="none"/>
        </w:rPr>
      </w:pPr>
      <w:r>
        <w:rPr>
          <w:rFonts w:hint="eastAsia" w:ascii="宋体" w:hAnsi="宋体" w:cs="宋体"/>
          <w:bCs/>
          <w:color w:val="auto"/>
          <w:szCs w:val="21"/>
          <w:highlight w:val="none"/>
        </w:rPr>
        <w:t>2、本项目采购标的按中小企业划分标准所属行业区分为</w:t>
      </w:r>
      <w:r>
        <w:rPr>
          <w:rFonts w:hint="eastAsia" w:ascii="宋体" w:hAnsi="宋体" w:cs="宋体"/>
          <w:b/>
          <w:color w:val="auto"/>
          <w:szCs w:val="21"/>
          <w:highlight w:val="none"/>
        </w:rPr>
        <w:t>【建筑业】</w:t>
      </w:r>
      <w:r>
        <w:rPr>
          <w:rFonts w:hint="eastAsia" w:ascii="宋体" w:hAnsi="宋体" w:cs="宋体"/>
          <w:bCs/>
          <w:color w:val="auto"/>
          <w:szCs w:val="21"/>
          <w:highlight w:val="none"/>
        </w:rPr>
        <w:t>（中小微企业划型标准网址：http://www.gov.cn/zwgk/2011-07/04/content_1898747.htm）。</w:t>
      </w:r>
    </w:p>
    <w:p w14:paraId="253B9D77">
      <w:pPr>
        <w:jc w:val="left"/>
        <w:rPr>
          <w:rFonts w:ascii="宋体" w:hAnsi="宋体" w:cs="宋体"/>
          <w:bCs/>
          <w:color w:val="auto"/>
          <w:szCs w:val="21"/>
          <w:highlight w:val="none"/>
        </w:rPr>
      </w:pPr>
      <w:r>
        <w:rPr>
          <w:rFonts w:hint="eastAsia" w:ascii="宋体" w:hAnsi="宋体" w:cs="宋体"/>
          <w:bCs/>
          <w:color w:val="auto"/>
          <w:szCs w:val="21"/>
          <w:highlight w:val="none"/>
        </w:rPr>
        <w:t>3、供应商投标时须提供《中小企业声明函》，《中小企业声明函》不符合要求或未提供的，作如下处理：①如本项目专门面向中小企业采购，则投标文件无效；②如本项目不专门面向中小企业采购，则价格将不做相应扣除。</w:t>
      </w:r>
    </w:p>
    <w:p w14:paraId="6C4007B0">
      <w:pPr>
        <w:jc w:val="left"/>
        <w:rPr>
          <w:rFonts w:ascii="宋体" w:hAnsi="宋体" w:cs="宋体"/>
          <w:bCs/>
          <w:color w:val="auto"/>
          <w:szCs w:val="21"/>
          <w:highlight w:val="none"/>
        </w:rPr>
      </w:pPr>
      <w:r>
        <w:rPr>
          <w:rFonts w:hint="eastAsia" w:ascii="宋体" w:hAnsi="宋体" w:cs="宋体"/>
          <w:bCs/>
          <w:color w:val="auto"/>
          <w:szCs w:val="21"/>
          <w:highlight w:val="none"/>
        </w:rPr>
        <w:t>4、中小企业声明函请完整填写，中标（成交）后将公示。</w:t>
      </w:r>
    </w:p>
    <w:p w14:paraId="17C452D7">
      <w:pPr>
        <w:jc w:val="left"/>
        <w:rPr>
          <w:rFonts w:ascii="黑体" w:hAnsi="黑体" w:eastAsia="黑体"/>
          <w:i/>
          <w:color w:val="auto"/>
          <w:sz w:val="32"/>
          <w:szCs w:val="32"/>
          <w:highlight w:val="none"/>
          <w:u w:val="single"/>
        </w:rPr>
      </w:pPr>
      <w:r>
        <w:rPr>
          <w:rFonts w:hint="eastAsia" w:ascii="宋体" w:hAnsi="宋体" w:cs="宋体"/>
          <w:bCs/>
          <w:color w:val="auto"/>
          <w:szCs w:val="21"/>
          <w:highlight w:val="none"/>
        </w:rPr>
        <w:t>5、供应商应当对其出具的《中小企业声明函》真实性负责，供应商出具的《中小企业声明函》内容不实的，属于提供虚假材料谋取成交。对相关制造商信息了解不充分，或者不能确定相关信息真实、准确的，不建议出具《中小企业声明函》。</w:t>
      </w:r>
    </w:p>
    <w:p w14:paraId="6F8687AF">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br w:type="page"/>
      </w:r>
    </w:p>
    <w:p w14:paraId="66A6BD42">
      <w:pPr>
        <w:rPr>
          <w:rFonts w:ascii="黑体" w:hAnsi="黑体" w:eastAsia="黑体"/>
          <w:i/>
          <w:color w:val="auto"/>
          <w:sz w:val="32"/>
          <w:szCs w:val="32"/>
          <w:highlight w:val="none"/>
          <w:u w:val="single"/>
        </w:rPr>
      </w:pPr>
      <w:r>
        <w:rPr>
          <w:rFonts w:hint="eastAsia" w:ascii="黑体" w:hAnsi="黑体" w:eastAsia="黑体"/>
          <w:i/>
          <w:color w:val="auto"/>
          <w:sz w:val="32"/>
          <w:szCs w:val="32"/>
          <w:highlight w:val="none"/>
          <w:u w:val="single"/>
        </w:rPr>
        <w:t>九、特定资格要求的证明文件</w:t>
      </w:r>
    </w:p>
    <w:p w14:paraId="59D5CF2F">
      <w:pPr>
        <w:spacing w:line="460" w:lineRule="exact"/>
        <w:rPr>
          <w:rFonts w:ascii="宋体" w:hAnsi="宋体"/>
          <w:bCs/>
          <w:color w:val="auto"/>
          <w:sz w:val="24"/>
          <w:szCs w:val="21"/>
          <w:highlight w:val="none"/>
        </w:rPr>
      </w:pPr>
      <w:r>
        <w:rPr>
          <w:rFonts w:hint="eastAsia" w:ascii="宋体" w:hAnsi="宋体"/>
          <w:color w:val="auto"/>
          <w:sz w:val="24"/>
          <w:szCs w:val="21"/>
          <w:highlight w:val="none"/>
        </w:rPr>
        <w:t xml:space="preserve">   如果本项目申请人的特定资格要求中要求提供的，必须提供。</w:t>
      </w:r>
      <w:bookmarkStart w:id="135" w:name="_Toc120614284"/>
    </w:p>
    <w:p w14:paraId="041593B7">
      <w:pPr>
        <w:pStyle w:val="59"/>
        <w:ind w:firstLine="0" w:firstLineChars="0"/>
        <w:rPr>
          <w:rFonts w:ascii="宋体" w:hAnsi="宋体"/>
          <w:bCs/>
          <w:color w:val="auto"/>
          <w:sz w:val="24"/>
          <w:szCs w:val="21"/>
          <w:highlight w:val="none"/>
        </w:rPr>
      </w:pPr>
    </w:p>
    <w:p w14:paraId="31A47411">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项目负责人无在建工程承诺书</w:t>
      </w:r>
    </w:p>
    <w:p w14:paraId="7E9DFB5B">
      <w:pPr>
        <w:pStyle w:val="59"/>
        <w:spacing w:line="540" w:lineRule="exact"/>
        <w:ind w:firstLine="420"/>
        <w:rPr>
          <w:color w:val="auto"/>
          <w:szCs w:val="21"/>
          <w:highlight w:val="none"/>
        </w:rPr>
      </w:pPr>
      <w:r>
        <w:rPr>
          <w:color w:val="auto"/>
          <w:szCs w:val="21"/>
          <w:highlight w:val="none"/>
        </w:rPr>
        <w:t>致：（采购人名称）</w:t>
      </w:r>
    </w:p>
    <w:p w14:paraId="664ADDDE">
      <w:pPr>
        <w:pStyle w:val="59"/>
        <w:spacing w:line="540" w:lineRule="exact"/>
        <w:ind w:firstLine="420"/>
        <w:rPr>
          <w:rFonts w:ascii="宋体" w:hAnsi="宋体"/>
          <w:color w:val="auto"/>
          <w:szCs w:val="21"/>
          <w:highlight w:val="none"/>
        </w:rPr>
      </w:pPr>
      <w:r>
        <w:rPr>
          <w:rFonts w:ascii="宋体" w:hAnsi="宋体"/>
          <w:color w:val="auto"/>
          <w:szCs w:val="21"/>
          <w:highlight w:val="none"/>
        </w:rPr>
        <w:t>我公司自愿参加贵单位采购编号为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的项目的</w:t>
      </w:r>
      <w:r>
        <w:rPr>
          <w:rFonts w:hint="eastAsia" w:ascii="宋体" w:hAnsi="宋体"/>
          <w:color w:val="auto"/>
          <w:szCs w:val="21"/>
          <w:highlight w:val="none"/>
        </w:rPr>
        <w:t>磋商</w:t>
      </w:r>
      <w:r>
        <w:rPr>
          <w:rFonts w:ascii="宋体" w:hAnsi="宋体"/>
          <w:color w:val="auto"/>
          <w:szCs w:val="21"/>
          <w:highlight w:val="none"/>
        </w:rPr>
        <w:t>，并接受对我公司的资格审查，我公司承诺：根据贵单位（公司）提出的条件标准和要求，本公司没有因骗取中标或者严重违约以及发生重大工程质量、安全生产事故等问题，被有关部门暂停投标资格并在暂停期内。</w:t>
      </w:r>
    </w:p>
    <w:p w14:paraId="12B9EE84">
      <w:pPr>
        <w:pStyle w:val="59"/>
        <w:spacing w:line="540" w:lineRule="exact"/>
        <w:ind w:firstLine="420"/>
        <w:rPr>
          <w:color w:val="auto"/>
          <w:szCs w:val="21"/>
          <w:highlight w:val="none"/>
        </w:rPr>
      </w:pPr>
      <w:r>
        <w:rPr>
          <w:rFonts w:ascii="宋体" w:hAnsi="宋体"/>
          <w:color w:val="auto"/>
          <w:szCs w:val="21"/>
          <w:highlight w:val="none"/>
        </w:rPr>
        <w:t>拟任项目负责人</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身份证号码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注册证书号</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无任何在建工程项目。本公司递交的</w:t>
      </w:r>
      <w:r>
        <w:rPr>
          <w:rFonts w:hint="eastAsia" w:ascii="宋体" w:hAnsi="宋体"/>
          <w:color w:val="auto"/>
          <w:szCs w:val="21"/>
          <w:highlight w:val="none"/>
        </w:rPr>
        <w:t>响应</w:t>
      </w:r>
      <w:r>
        <w:rPr>
          <w:rFonts w:ascii="宋体" w:hAnsi="宋体"/>
          <w:color w:val="auto"/>
          <w:szCs w:val="21"/>
          <w:highlight w:val="none"/>
        </w:rPr>
        <w:t>文件中的内容没有隐瞒、虚假、伪造等弄虚作假行为。发现该行为，贵公司可以拒绝我公司投标，如已</w:t>
      </w:r>
      <w:r>
        <w:rPr>
          <w:rFonts w:hint="eastAsia" w:cs="宋体" w:asciiTheme="minorEastAsia" w:hAnsiTheme="minorEastAsia"/>
          <w:kern w:val="0"/>
          <w:szCs w:val="21"/>
          <w:highlight w:val="none"/>
          <w:lang w:val="en-US" w:eastAsia="zh-CN"/>
        </w:rPr>
        <w:t>成交</w:t>
      </w:r>
      <w:r>
        <w:rPr>
          <w:rFonts w:ascii="宋体" w:hAnsi="宋体"/>
          <w:color w:val="auto"/>
          <w:szCs w:val="21"/>
          <w:highlight w:val="none"/>
        </w:rPr>
        <w:t>，可取消我公司</w:t>
      </w:r>
      <w:r>
        <w:rPr>
          <w:rFonts w:hint="eastAsia" w:cs="宋体" w:asciiTheme="minorEastAsia" w:hAnsiTheme="minorEastAsia"/>
          <w:kern w:val="0"/>
          <w:szCs w:val="21"/>
          <w:highlight w:val="none"/>
          <w:lang w:val="en-US" w:eastAsia="zh-CN"/>
        </w:rPr>
        <w:t>成交</w:t>
      </w:r>
      <w:r>
        <w:rPr>
          <w:rFonts w:ascii="宋体" w:hAnsi="宋体"/>
          <w:color w:val="auto"/>
          <w:szCs w:val="21"/>
          <w:highlight w:val="none"/>
        </w:rPr>
        <w:t>资格，并接受对我公司弄虚作假、违反公平和诚实信用原则做出的任何处理。</w:t>
      </w:r>
    </w:p>
    <w:p w14:paraId="1E67C196">
      <w:pPr>
        <w:pStyle w:val="113"/>
        <w:widowControl/>
        <w:spacing w:line="540" w:lineRule="exact"/>
        <w:ind w:firstLine="4830" w:firstLineChars="2300"/>
        <w:jc w:val="left"/>
        <w:rPr>
          <w:rFonts w:ascii="宋体" w:hAnsi="宋体"/>
          <w:color w:val="auto"/>
          <w:sz w:val="21"/>
          <w:szCs w:val="21"/>
          <w:highlight w:val="none"/>
        </w:rPr>
      </w:pPr>
      <w:r>
        <w:rPr>
          <w:rFonts w:ascii="宋体" w:hAnsi="宋体" w:eastAsia="宋体"/>
          <w:color w:val="auto"/>
          <w:sz w:val="21"/>
          <w:szCs w:val="21"/>
          <w:highlight w:val="none"/>
        </w:rPr>
        <w:t>单位：（公章）</w:t>
      </w:r>
    </w:p>
    <w:p w14:paraId="3AECFCDD">
      <w:pPr>
        <w:pStyle w:val="59"/>
        <w:ind w:firstLine="420"/>
        <w:rPr>
          <w:rFonts w:ascii="宋体" w:hAnsi="宋体"/>
          <w:color w:val="auto"/>
          <w:szCs w:val="21"/>
          <w:highlight w:val="none"/>
        </w:rPr>
      </w:pPr>
      <w:r>
        <w:rPr>
          <w:rFonts w:ascii="宋体" w:hAnsi="宋体"/>
          <w:color w:val="auto"/>
          <w:szCs w:val="21"/>
          <w:highlight w:val="none"/>
        </w:rPr>
        <w:t xml:space="preserve">                                          法定代表人签名：</w:t>
      </w:r>
    </w:p>
    <w:p w14:paraId="720EFB59">
      <w:pPr>
        <w:pStyle w:val="59"/>
        <w:ind w:firstLine="420"/>
        <w:rPr>
          <w:rFonts w:ascii="宋体" w:hAnsi="宋体"/>
          <w:color w:val="auto"/>
          <w:sz w:val="28"/>
          <w:szCs w:val="28"/>
          <w:highlight w:val="none"/>
        </w:rPr>
      </w:pPr>
      <w:r>
        <w:rPr>
          <w:rFonts w:ascii="宋体" w:hAnsi="宋体"/>
          <w:color w:val="auto"/>
          <w:szCs w:val="21"/>
          <w:highlight w:val="none"/>
        </w:rPr>
        <w:t xml:space="preserve">                                          项目负责人签名：</w:t>
      </w:r>
    </w:p>
    <w:p w14:paraId="2B7D990E">
      <w:pPr>
        <w:pStyle w:val="59"/>
        <w:ind w:firstLine="0" w:firstLineChars="0"/>
        <w:jc w:val="right"/>
        <w:rPr>
          <w:rFonts w:ascii="宋体" w:hAnsi="宋体"/>
          <w:b/>
          <w:color w:val="auto"/>
          <w:szCs w:val="21"/>
          <w:highlight w:val="none"/>
        </w:rPr>
      </w:pPr>
      <w:r>
        <w:rPr>
          <w:rFonts w:ascii="宋体" w:hAnsi="宋体"/>
          <w:color w:val="auto"/>
          <w:szCs w:val="21"/>
          <w:highlight w:val="none"/>
        </w:rPr>
        <w:t xml:space="preserve"> 年   月   日</w:t>
      </w:r>
    </w:p>
    <w:p w14:paraId="0EB2A973">
      <w:pPr>
        <w:tabs>
          <w:tab w:val="left" w:pos="360"/>
        </w:tabs>
        <w:spacing w:line="360" w:lineRule="auto"/>
        <w:ind w:firstLine="640" w:firstLineChars="200"/>
        <w:rPr>
          <w:color w:val="auto"/>
          <w:szCs w:val="21"/>
          <w:highlight w:val="none"/>
        </w:rPr>
      </w:pPr>
      <w:r>
        <w:rPr>
          <w:rFonts w:hint="eastAsia" w:ascii="黑体" w:hAnsi="黑体" w:eastAsia="黑体"/>
          <w:i/>
          <w:color w:val="auto"/>
          <w:sz w:val="32"/>
          <w:szCs w:val="32"/>
          <w:highlight w:val="none"/>
          <w:u w:val="single"/>
        </w:rPr>
        <w:br w:type="page"/>
      </w:r>
    </w:p>
    <w:p w14:paraId="13DED991">
      <w:pPr>
        <w:jc w:val="center"/>
        <w:rPr>
          <w:rFonts w:ascii="黑体" w:hAnsi="黑体" w:eastAsia="黑体"/>
          <w:b/>
          <w:i/>
          <w:color w:val="auto"/>
          <w:sz w:val="32"/>
          <w:szCs w:val="32"/>
          <w:highlight w:val="none"/>
          <w:u w:val="single"/>
        </w:rPr>
      </w:pPr>
      <w:r>
        <w:rPr>
          <w:rFonts w:hint="eastAsia" w:ascii="黑体" w:hAnsi="黑体" w:eastAsia="黑体" w:cs="Arial"/>
          <w:b/>
          <w:i/>
          <w:color w:val="auto"/>
          <w:sz w:val="32"/>
          <w:szCs w:val="32"/>
          <w:highlight w:val="none"/>
          <w:u w:val="single"/>
        </w:rPr>
        <w:t>十、</w:t>
      </w:r>
      <w:r>
        <w:rPr>
          <w:rFonts w:hint="eastAsia" w:ascii="黑体" w:hAnsi="黑体" w:eastAsia="黑体"/>
          <w:b/>
          <w:i/>
          <w:color w:val="auto"/>
          <w:sz w:val="32"/>
          <w:szCs w:val="32"/>
          <w:highlight w:val="none"/>
          <w:u w:val="single"/>
        </w:rPr>
        <w:t>磋商响应函</w:t>
      </w:r>
    </w:p>
    <w:p w14:paraId="2B99B14E">
      <w:pPr>
        <w:adjustRightInd w:val="0"/>
        <w:spacing w:line="420" w:lineRule="exact"/>
        <w:jc w:val="left"/>
        <w:textAlignment w:val="baseline"/>
        <w:rPr>
          <w:rFonts w:hint="eastAsia" w:ascii="宋体" w:hAnsi="宋体" w:eastAsia="宋体"/>
          <w:color w:val="auto"/>
          <w:sz w:val="24"/>
          <w:szCs w:val="21"/>
          <w:highlight w:val="none"/>
          <w:lang w:eastAsia="zh-CN"/>
        </w:rPr>
      </w:pPr>
      <w:r>
        <w:rPr>
          <w:rFonts w:hint="eastAsia" w:ascii="宋体" w:hAnsi="宋体"/>
          <w:color w:val="auto"/>
          <w:sz w:val="24"/>
          <w:szCs w:val="21"/>
          <w:highlight w:val="none"/>
        </w:rPr>
        <w:t>致：</w:t>
      </w:r>
      <w:r>
        <w:rPr>
          <w:rFonts w:hint="eastAsia" w:ascii="宋体" w:hAnsi="宋体"/>
          <w:color w:val="auto"/>
          <w:sz w:val="24"/>
          <w:szCs w:val="21"/>
          <w:highlight w:val="none"/>
          <w:lang w:eastAsia="zh-CN"/>
        </w:rPr>
        <w:t>江苏唯诚建设咨询有限公司</w:t>
      </w:r>
    </w:p>
    <w:p w14:paraId="50CB38BB">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根据贵方的号磋商文件，正式授权下述签字人______(姓名)代表我方______________（供应商的名称），全权处理本次项目磋商的有关事宜。</w:t>
      </w:r>
    </w:p>
    <w:p w14:paraId="1DC58756">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据此函，__________签字人兹宣布同意如下：</w:t>
      </w:r>
    </w:p>
    <w:p w14:paraId="0FB3C5B5">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1.按磋商文件规定的各项要求，向买方提供所需货物、服务（包含与货物相关的服务及与服务相关的货物）。</w:t>
      </w:r>
    </w:p>
    <w:p w14:paraId="61E16EEE">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2.我们完全理解贵方不一定将合同授予最低报价的供应商。</w:t>
      </w:r>
    </w:p>
    <w:p w14:paraId="6600E6C1">
      <w:pPr>
        <w:adjustRightInd w:val="0"/>
        <w:spacing w:line="420" w:lineRule="exact"/>
        <w:ind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3.我们已详细审核全部磋商文件及其有效补充文件，我们知道必须放弃提出含糊不清或误解问题的权利。</w:t>
      </w:r>
    </w:p>
    <w:p w14:paraId="37AAF2EF">
      <w:pPr>
        <w:adjustRightInd w:val="0"/>
        <w:spacing w:line="420" w:lineRule="exact"/>
        <w:ind w:firstLine="480"/>
        <w:jc w:val="left"/>
        <w:textAlignment w:val="baseline"/>
        <w:rPr>
          <w:rFonts w:ascii="宋体" w:hAnsi="宋体"/>
          <w:color w:val="auto"/>
          <w:sz w:val="24"/>
          <w:szCs w:val="21"/>
          <w:highlight w:val="none"/>
        </w:rPr>
      </w:pPr>
      <w:r>
        <w:rPr>
          <w:rFonts w:hint="eastAsia" w:ascii="宋体" w:hAnsi="宋体"/>
          <w:color w:val="auto"/>
          <w:sz w:val="24"/>
          <w:szCs w:val="21"/>
          <w:highlight w:val="none"/>
        </w:rPr>
        <w:t>4.我们同意从规定的开标日期起遵循本响应文件，并在规定的磋商有效期期满之前均具有约束力。</w:t>
      </w:r>
    </w:p>
    <w:p w14:paraId="565564DA">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5</w:t>
      </w:r>
      <w:r>
        <w:rPr>
          <w:rFonts w:hint="eastAsia" w:ascii="宋体" w:hAnsi="宋体"/>
          <w:color w:val="auto"/>
          <w:sz w:val="24"/>
          <w:szCs w:val="21"/>
          <w:highlight w:val="none"/>
        </w:rPr>
        <w:t>.同意向贵方提供贵方可能另外要求的与磋商有关的任何证据或资料，并保证我方已提供和将要提供的文件是真实的、准确的。</w:t>
      </w:r>
    </w:p>
    <w:p w14:paraId="2D68118E">
      <w:pPr>
        <w:adjustRightInd w:val="0"/>
        <w:spacing w:line="420" w:lineRule="exact"/>
        <w:ind w:firstLine="480"/>
        <w:jc w:val="left"/>
        <w:textAlignment w:val="baseline"/>
        <w:rPr>
          <w:rFonts w:ascii="宋体" w:hAnsi="宋体"/>
          <w:color w:val="auto"/>
          <w:sz w:val="24"/>
          <w:szCs w:val="21"/>
          <w:highlight w:val="none"/>
        </w:rPr>
      </w:pPr>
      <w:r>
        <w:rPr>
          <w:rFonts w:ascii="宋体" w:hAnsi="宋体"/>
          <w:color w:val="auto"/>
          <w:sz w:val="24"/>
          <w:szCs w:val="21"/>
          <w:highlight w:val="none"/>
        </w:rPr>
        <w:t>6</w:t>
      </w:r>
      <w:r>
        <w:rPr>
          <w:rFonts w:hint="eastAsia" w:ascii="宋体" w:hAnsi="宋体"/>
          <w:color w:val="auto"/>
          <w:sz w:val="24"/>
          <w:szCs w:val="21"/>
          <w:highlight w:val="none"/>
        </w:rPr>
        <w:t>.一旦我方成交,我方将根据磋商文件的规定，严格履行合同的责任和义务,并保证在磋商文件规定的时间完成项目，交付买方验收、使用。</w:t>
      </w:r>
    </w:p>
    <w:p w14:paraId="008B3076">
      <w:pPr>
        <w:adjustRightInd w:val="0"/>
        <w:spacing w:line="420" w:lineRule="exact"/>
        <w:ind w:left="425"/>
        <w:jc w:val="left"/>
        <w:textAlignment w:val="baseline"/>
        <w:rPr>
          <w:rFonts w:ascii="宋体" w:hAnsi="宋体"/>
          <w:color w:val="auto"/>
          <w:sz w:val="24"/>
          <w:szCs w:val="21"/>
          <w:highlight w:val="none"/>
        </w:rPr>
      </w:pPr>
      <w:r>
        <w:rPr>
          <w:rFonts w:ascii="宋体" w:hAnsi="宋体"/>
          <w:color w:val="auto"/>
          <w:sz w:val="24"/>
          <w:szCs w:val="21"/>
          <w:highlight w:val="none"/>
        </w:rPr>
        <w:t>7</w:t>
      </w:r>
      <w:r>
        <w:rPr>
          <w:rFonts w:hint="eastAsia" w:ascii="宋体" w:hAnsi="宋体"/>
          <w:color w:val="auto"/>
          <w:sz w:val="24"/>
          <w:szCs w:val="21"/>
          <w:highlight w:val="none"/>
        </w:rPr>
        <w:t>.我方与本磋商有关的正式通讯地址为：</w:t>
      </w:r>
    </w:p>
    <w:p w14:paraId="4364FD40">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地        址：</w:t>
      </w:r>
    </w:p>
    <w:p w14:paraId="532FF859">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邮        编：</w:t>
      </w:r>
    </w:p>
    <w:p w14:paraId="64E39B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电        话：</w:t>
      </w:r>
    </w:p>
    <w:p w14:paraId="7E59585D">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传        真：</w:t>
      </w:r>
    </w:p>
    <w:p w14:paraId="6F52B7CC">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供应商开户行：</w:t>
      </w:r>
    </w:p>
    <w:p w14:paraId="75A26EAB">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账        号：</w:t>
      </w:r>
    </w:p>
    <w:p w14:paraId="31D609AA">
      <w:pPr>
        <w:adjustRightInd w:val="0"/>
        <w:spacing w:line="420" w:lineRule="exact"/>
        <w:ind w:left="420" w:leftChars="200" w:firstLine="480" w:firstLineChars="200"/>
        <w:jc w:val="left"/>
        <w:textAlignment w:val="baseline"/>
        <w:rPr>
          <w:rFonts w:ascii="宋体" w:hAnsi="宋体"/>
          <w:color w:val="auto"/>
          <w:sz w:val="24"/>
          <w:szCs w:val="21"/>
          <w:highlight w:val="none"/>
        </w:rPr>
      </w:pPr>
      <w:r>
        <w:rPr>
          <w:rFonts w:hint="eastAsia" w:ascii="宋体" w:hAnsi="宋体"/>
          <w:color w:val="auto"/>
          <w:sz w:val="24"/>
          <w:szCs w:val="21"/>
          <w:highlight w:val="none"/>
        </w:rPr>
        <w:t>日        期：_____年____月____日</w:t>
      </w:r>
    </w:p>
    <w:p w14:paraId="7CDECCD7">
      <w:pPr>
        <w:rPr>
          <w:rFonts w:ascii="宋体" w:hAnsi="宋体"/>
          <w:color w:val="auto"/>
          <w:sz w:val="24"/>
          <w:szCs w:val="24"/>
          <w:highlight w:val="none"/>
        </w:rPr>
      </w:pPr>
      <w:r>
        <w:rPr>
          <w:rFonts w:ascii="宋体" w:hAnsi="宋体"/>
          <w:color w:val="auto"/>
          <w:sz w:val="24"/>
          <w:szCs w:val="24"/>
          <w:highlight w:val="none"/>
        </w:rPr>
        <w:br w:type="page"/>
      </w:r>
    </w:p>
    <w:p w14:paraId="35C93D18">
      <w:pPr>
        <w:ind w:firstLine="480"/>
        <w:jc w:val="center"/>
        <w:rPr>
          <w:rFonts w:ascii="黑体" w:hAnsi="黑体" w:eastAsia="黑体"/>
          <w:b/>
          <w:iCs/>
          <w:color w:val="auto"/>
          <w:sz w:val="32"/>
          <w:szCs w:val="32"/>
          <w:highlight w:val="none"/>
        </w:rPr>
      </w:pPr>
      <w:r>
        <w:rPr>
          <w:rFonts w:hint="eastAsia" w:ascii="黑体" w:hAnsi="黑体" w:eastAsia="黑体"/>
          <w:b/>
          <w:iCs/>
          <w:color w:val="auto"/>
          <w:sz w:val="32"/>
          <w:szCs w:val="32"/>
          <w:highlight w:val="none"/>
        </w:rPr>
        <w:t>十一、磋商响应报价表</w:t>
      </w:r>
    </w:p>
    <w:p w14:paraId="631929ED">
      <w:pPr>
        <w:ind w:firstLine="480"/>
        <w:jc w:val="center"/>
        <w:rPr>
          <w:rFonts w:ascii="黑体" w:hAnsi="黑体" w:eastAsia="黑体"/>
          <w:b/>
          <w:iCs/>
          <w:color w:val="auto"/>
          <w:sz w:val="32"/>
          <w:szCs w:val="32"/>
          <w:highlight w:val="none"/>
        </w:rPr>
      </w:pPr>
    </w:p>
    <w:p w14:paraId="5B22EF0E">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供应商全称（盖章）：</w:t>
      </w:r>
    </w:p>
    <w:p w14:paraId="16835031">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项目名称： </w:t>
      </w:r>
    </w:p>
    <w:p w14:paraId="4F4736BD">
      <w:pPr>
        <w:pStyle w:val="7"/>
        <w:spacing w:line="360" w:lineRule="auto"/>
        <w:ind w:firstLine="480"/>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 </w:t>
      </w:r>
    </w:p>
    <w:tbl>
      <w:tblPr>
        <w:tblStyle w:val="30"/>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7246"/>
      </w:tblGrid>
      <w:tr w14:paraId="632D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1EE0886">
            <w:pPr>
              <w:pStyle w:val="10"/>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7246" w:type="dxa"/>
            <w:tcBorders>
              <w:top w:val="single" w:color="auto" w:sz="4" w:space="0"/>
              <w:left w:val="single" w:color="auto" w:sz="4" w:space="0"/>
              <w:bottom w:val="single" w:color="auto" w:sz="4" w:space="0"/>
              <w:right w:val="single" w:color="auto" w:sz="4" w:space="0"/>
            </w:tcBorders>
            <w:vAlign w:val="center"/>
          </w:tcPr>
          <w:p w14:paraId="6A7475AF">
            <w:pPr>
              <w:adjustRightInd w:val="0"/>
              <w:snapToGrid w:val="0"/>
              <w:spacing w:after="200" w:line="220" w:lineRule="atLeast"/>
              <w:jc w:val="center"/>
              <w:rPr>
                <w:rFonts w:ascii="宋体" w:hAnsi="宋体" w:cs="宋体"/>
                <w:color w:val="auto"/>
                <w:sz w:val="24"/>
                <w:szCs w:val="24"/>
                <w:highlight w:val="none"/>
              </w:rPr>
            </w:pPr>
            <w:r>
              <w:rPr>
                <w:rFonts w:hint="eastAsia" w:ascii="宋体" w:hAnsi="宋体" w:cs="宋体"/>
                <w:color w:val="auto"/>
                <w:sz w:val="24"/>
                <w:szCs w:val="24"/>
                <w:highlight w:val="none"/>
              </w:rPr>
              <w:t>第一轮报价</w:t>
            </w:r>
          </w:p>
        </w:tc>
      </w:tr>
      <w:tr w14:paraId="2A93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5"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1613915F">
            <w:pPr>
              <w:pStyle w:val="10"/>
              <w:adjustRightInd w:val="0"/>
              <w:snapToGrid w:val="0"/>
              <w:spacing w:line="300" w:lineRule="auto"/>
              <w:jc w:val="center"/>
              <w:rPr>
                <w:rFonts w:ascii="宋体" w:hAnsi="宋体" w:eastAsia="宋体" w:cs="宋体"/>
                <w:color w:val="auto"/>
                <w:kern w:val="2"/>
                <w:sz w:val="24"/>
                <w:szCs w:val="24"/>
                <w:highlight w:val="none"/>
              </w:rPr>
            </w:pPr>
          </w:p>
        </w:tc>
        <w:tc>
          <w:tcPr>
            <w:tcW w:w="7246" w:type="dxa"/>
            <w:tcBorders>
              <w:top w:val="single" w:color="auto" w:sz="4" w:space="0"/>
              <w:left w:val="single" w:color="auto" w:sz="4" w:space="0"/>
              <w:bottom w:val="single" w:color="auto" w:sz="4" w:space="0"/>
              <w:right w:val="single" w:color="auto" w:sz="4" w:space="0"/>
            </w:tcBorders>
            <w:vAlign w:val="center"/>
          </w:tcPr>
          <w:p w14:paraId="45B36121">
            <w:pPr>
              <w:pStyle w:val="10"/>
              <w:adjustRightInd w:val="0"/>
              <w:snapToGrid w:val="0"/>
              <w:spacing w:line="300" w:lineRule="auto"/>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大写：</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元</w:t>
            </w:r>
          </w:p>
          <w:p w14:paraId="16CECDA4">
            <w:pPr>
              <w:pStyle w:val="90"/>
              <w:spacing w:before="0" w:after="0" w:line="500" w:lineRule="exact"/>
              <w:ind w:firstLine="0"/>
              <w:jc w:val="both"/>
              <w:rPr>
                <w:rFonts w:ascii="宋体" w:hAnsi="宋体" w:cs="宋体"/>
                <w:color w:val="auto"/>
                <w:highlight w:val="none"/>
              </w:rPr>
            </w:pPr>
            <w:r>
              <w:rPr>
                <w:rFonts w:hint="eastAsia" w:ascii="宋体" w:hAnsi="宋体" w:cs="宋体"/>
                <w:color w:val="auto"/>
                <w:highlight w:val="none"/>
              </w:rPr>
              <w:t>小写：</w:t>
            </w:r>
            <w:r>
              <w:rPr>
                <w:rFonts w:hint="eastAsia" w:ascii="宋体" w:hAnsi="宋体" w:cs="宋体"/>
                <w:color w:val="auto"/>
                <w:highlight w:val="none"/>
                <w:lang w:val="en-US" w:eastAsia="zh-CN"/>
              </w:rPr>
              <w:t xml:space="preserve">           </w:t>
            </w:r>
            <w:r>
              <w:rPr>
                <w:rFonts w:hint="eastAsia" w:ascii="宋体" w:hAnsi="宋体" w:cs="宋体"/>
                <w:color w:val="auto"/>
                <w:highlight w:val="none"/>
              </w:rPr>
              <w:t>元</w:t>
            </w:r>
          </w:p>
        </w:tc>
      </w:tr>
      <w:tr w14:paraId="4C3E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2481" w:type="dxa"/>
            <w:tcBorders>
              <w:top w:val="single" w:color="auto" w:sz="4" w:space="0"/>
              <w:left w:val="single" w:color="auto" w:sz="4" w:space="0"/>
              <w:bottom w:val="single" w:color="auto" w:sz="4" w:space="0"/>
              <w:right w:val="single" w:color="auto" w:sz="4" w:space="0"/>
            </w:tcBorders>
            <w:vAlign w:val="center"/>
          </w:tcPr>
          <w:p w14:paraId="42D316E0">
            <w:pPr>
              <w:pStyle w:val="10"/>
              <w:adjustRightInd w:val="0"/>
              <w:snapToGrid w:val="0"/>
              <w:spacing w:line="300" w:lineRule="auto"/>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备注</w:t>
            </w:r>
          </w:p>
        </w:tc>
        <w:tc>
          <w:tcPr>
            <w:tcW w:w="7246" w:type="dxa"/>
            <w:tcBorders>
              <w:top w:val="single" w:color="auto" w:sz="4" w:space="0"/>
              <w:left w:val="single" w:color="auto" w:sz="4" w:space="0"/>
              <w:bottom w:val="single" w:color="auto" w:sz="4" w:space="0"/>
              <w:right w:val="single" w:color="auto" w:sz="4" w:space="0"/>
            </w:tcBorders>
            <w:vAlign w:val="center"/>
          </w:tcPr>
          <w:p w14:paraId="7FFD7401">
            <w:pPr>
              <w:pStyle w:val="10"/>
              <w:adjustRightInd w:val="0"/>
              <w:snapToGrid w:val="0"/>
              <w:spacing w:line="300" w:lineRule="auto"/>
              <w:rPr>
                <w:rFonts w:ascii="宋体" w:hAnsi="宋体" w:eastAsia="宋体" w:cs="宋体"/>
                <w:color w:val="auto"/>
                <w:kern w:val="2"/>
                <w:sz w:val="24"/>
                <w:szCs w:val="24"/>
                <w:highlight w:val="none"/>
              </w:rPr>
            </w:pPr>
          </w:p>
        </w:tc>
      </w:tr>
    </w:tbl>
    <w:p w14:paraId="394A1167">
      <w:pPr>
        <w:spacing w:line="360" w:lineRule="auto"/>
        <w:rPr>
          <w:rFonts w:ascii="宋体" w:hAnsi="宋体" w:cs="宋体"/>
          <w:color w:val="auto"/>
          <w:sz w:val="24"/>
          <w:szCs w:val="24"/>
          <w:highlight w:val="none"/>
        </w:rPr>
      </w:pPr>
    </w:p>
    <w:p w14:paraId="7EE2E44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法定代表人或者授权代表（签字或盖章）：  </w:t>
      </w:r>
    </w:p>
    <w:p w14:paraId="53C3CF5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日期： 年  月  日</w:t>
      </w:r>
    </w:p>
    <w:p w14:paraId="70863D7B">
      <w:pPr>
        <w:spacing w:afterLines="100" w:line="360" w:lineRule="auto"/>
        <w:jc w:val="left"/>
        <w:rPr>
          <w:rFonts w:ascii="宋体" w:hAnsi="宋体" w:cs="宋体"/>
          <w:color w:val="auto"/>
          <w:sz w:val="24"/>
          <w:szCs w:val="24"/>
          <w:highlight w:val="none"/>
        </w:rPr>
      </w:pPr>
    </w:p>
    <w:p w14:paraId="3269D7A4">
      <w:pPr>
        <w:spacing w:line="360" w:lineRule="auto"/>
        <w:rPr>
          <w:rFonts w:ascii="宋体" w:hAnsi="宋体"/>
          <w:i/>
          <w:color w:val="auto"/>
          <w:sz w:val="24"/>
          <w:szCs w:val="24"/>
          <w:highlight w:val="none"/>
          <w:u w:val="single"/>
        </w:rPr>
      </w:pPr>
      <w:r>
        <w:rPr>
          <w:rFonts w:hint="eastAsia" w:ascii="宋体" w:hAnsi="宋体"/>
          <w:color w:val="auto"/>
          <w:sz w:val="24"/>
          <w:szCs w:val="24"/>
          <w:highlight w:val="none"/>
        </w:rPr>
        <w:t>填写说明：</w:t>
      </w:r>
    </w:p>
    <w:p w14:paraId="70707FE9">
      <w:pPr>
        <w:spacing w:line="360" w:lineRule="auto"/>
        <w:rPr>
          <w:rFonts w:ascii="宋体" w:hAnsi="宋体"/>
          <w:i/>
          <w:color w:val="auto"/>
          <w:sz w:val="24"/>
          <w:szCs w:val="24"/>
          <w:highlight w:val="none"/>
          <w:u w:val="single"/>
        </w:rPr>
      </w:pPr>
      <w:r>
        <w:rPr>
          <w:rFonts w:hint="eastAsia" w:ascii="宋体" w:hAnsi="宋体"/>
          <w:i/>
          <w:color w:val="auto"/>
          <w:sz w:val="24"/>
          <w:szCs w:val="24"/>
          <w:highlight w:val="none"/>
        </w:rPr>
        <w:t>1、</w:t>
      </w:r>
      <w:r>
        <w:rPr>
          <w:rFonts w:hint="eastAsia" w:ascii="宋体" w:hAnsi="宋体"/>
          <w:i/>
          <w:color w:val="auto"/>
          <w:sz w:val="24"/>
          <w:szCs w:val="24"/>
          <w:highlight w:val="none"/>
          <w:u w:val="single"/>
        </w:rPr>
        <w:t>磋商响应报价表必须加盖供应商公章（复印件无效）。</w:t>
      </w:r>
    </w:p>
    <w:p w14:paraId="3257A432">
      <w:pPr>
        <w:spacing w:line="360" w:lineRule="auto"/>
        <w:rPr>
          <w:rFonts w:ascii="宋体" w:hAnsi="宋体"/>
          <w:color w:val="auto"/>
          <w:sz w:val="24"/>
          <w:szCs w:val="24"/>
          <w:highlight w:val="none"/>
        </w:rPr>
      </w:pPr>
      <w:r>
        <w:rPr>
          <w:rFonts w:hint="eastAsia" w:ascii="宋体" w:hAnsi="宋体"/>
          <w:color w:val="auto"/>
          <w:sz w:val="24"/>
          <w:szCs w:val="24"/>
          <w:highlight w:val="none"/>
        </w:rPr>
        <w:t>2、如有分包，供应商投任何一个包的标的，都需单独填写响应报价表。</w:t>
      </w:r>
    </w:p>
    <w:p w14:paraId="3ABD6062">
      <w:pPr>
        <w:spacing w:line="360" w:lineRule="auto"/>
        <w:rPr>
          <w:rFonts w:ascii="宋体" w:hAnsi="宋体"/>
          <w:color w:val="auto"/>
          <w:sz w:val="24"/>
          <w:szCs w:val="24"/>
          <w:highlight w:val="none"/>
        </w:rPr>
      </w:pPr>
      <w:r>
        <w:rPr>
          <w:rFonts w:hint="eastAsia" w:ascii="宋体" w:hAnsi="宋体"/>
          <w:color w:val="auto"/>
          <w:sz w:val="24"/>
          <w:szCs w:val="24"/>
          <w:highlight w:val="none"/>
        </w:rPr>
        <w:t>3、此表可以根据需要自行增减行数，且该表报价非本次磋商中的最后报价。</w:t>
      </w:r>
    </w:p>
    <w:p w14:paraId="2B98BE02">
      <w:pPr>
        <w:ind w:firstLine="480"/>
        <w:jc w:val="center"/>
        <w:rPr>
          <w:rFonts w:ascii="黑体" w:hAnsi="黑体" w:eastAsia="黑体"/>
          <w:b/>
          <w:iCs/>
          <w:color w:val="auto"/>
          <w:sz w:val="32"/>
          <w:szCs w:val="32"/>
          <w:highlight w:val="none"/>
        </w:rPr>
      </w:pPr>
    </w:p>
    <w:p w14:paraId="47F49068">
      <w:pPr>
        <w:ind w:firstLine="48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十二、分项报价表</w:t>
      </w:r>
    </w:p>
    <w:p w14:paraId="68333D9A">
      <w:pPr>
        <w:rPr>
          <w:rFonts w:ascii="宋体" w:hAnsi="宋体"/>
          <w:color w:val="auto"/>
          <w:sz w:val="24"/>
          <w:szCs w:val="24"/>
          <w:highlight w:val="none"/>
        </w:rPr>
      </w:pPr>
    </w:p>
    <w:tbl>
      <w:tblPr>
        <w:tblStyle w:val="31"/>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210"/>
        <w:gridCol w:w="1206"/>
        <w:gridCol w:w="1206"/>
        <w:gridCol w:w="1206"/>
        <w:gridCol w:w="1209"/>
      </w:tblGrid>
      <w:tr w14:paraId="3B7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1A756F6D">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序号</w:t>
            </w:r>
          </w:p>
        </w:tc>
        <w:tc>
          <w:tcPr>
            <w:tcW w:w="3210" w:type="dxa"/>
            <w:shd w:val="clear" w:color="auto" w:fill="auto"/>
            <w:vAlign w:val="center"/>
          </w:tcPr>
          <w:p w14:paraId="6E435313">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门型</w:t>
            </w:r>
          </w:p>
        </w:tc>
        <w:tc>
          <w:tcPr>
            <w:tcW w:w="1206" w:type="dxa"/>
            <w:shd w:val="clear" w:color="auto" w:fill="auto"/>
            <w:vAlign w:val="center"/>
          </w:tcPr>
          <w:p w14:paraId="656386B4">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数量</w:t>
            </w:r>
          </w:p>
        </w:tc>
        <w:tc>
          <w:tcPr>
            <w:tcW w:w="1206" w:type="dxa"/>
            <w:shd w:val="clear" w:color="auto" w:fill="auto"/>
            <w:vAlign w:val="center"/>
          </w:tcPr>
          <w:p w14:paraId="7BF8217A">
            <w:pPr>
              <w:jc w:val="center"/>
              <w:rPr>
                <w:rFonts w:hint="default"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单价</w:t>
            </w:r>
          </w:p>
          <w:p w14:paraId="5157C31B">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（万元）</w:t>
            </w:r>
          </w:p>
        </w:tc>
        <w:tc>
          <w:tcPr>
            <w:tcW w:w="1206" w:type="dxa"/>
            <w:shd w:val="clear" w:color="auto" w:fill="auto"/>
            <w:vAlign w:val="center"/>
          </w:tcPr>
          <w:p w14:paraId="70DE351F">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总价</w:t>
            </w:r>
          </w:p>
          <w:p w14:paraId="5E57121C">
            <w:pPr>
              <w:jc w:val="center"/>
              <w:rPr>
                <w:rFonts w:hint="eastAsia"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（万元）</w:t>
            </w:r>
          </w:p>
        </w:tc>
        <w:tc>
          <w:tcPr>
            <w:tcW w:w="1209" w:type="dxa"/>
            <w:shd w:val="clear" w:color="auto" w:fill="auto"/>
            <w:vAlign w:val="center"/>
          </w:tcPr>
          <w:p w14:paraId="3DAEE7B7">
            <w:pPr>
              <w:jc w:val="center"/>
              <w:rPr>
                <w:rFonts w:hint="default" w:ascii="Times New Roman" w:hAnsi="Times New Roman" w:eastAsia="宋体" w:cs="Times New Roman"/>
                <w:b/>
                <w:bCs/>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备注</w:t>
            </w:r>
          </w:p>
        </w:tc>
      </w:tr>
      <w:tr w14:paraId="768B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640BF2AA">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3210" w:type="dxa"/>
            <w:shd w:val="clear" w:color="auto" w:fill="auto"/>
            <w:vAlign w:val="center"/>
          </w:tcPr>
          <w:p w14:paraId="56B9FD1A">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电动钢质门（双向开启），含门禁、单个电机及感应探头等配套五金，约4.24m</w:t>
            </w:r>
            <w:r>
              <w:rPr>
                <w:rFonts w:hint="eastAsia" w:ascii="Times New Roman" w:hAnsi="Times New Roman" w:eastAsia="宋体" w:cs="Times New Roman"/>
                <w:sz w:val="21"/>
                <w:szCs w:val="21"/>
                <w:highlight w:val="none"/>
                <w:vertAlign w:val="superscript"/>
                <w:lang w:val="en-US" w:eastAsia="zh-CN"/>
              </w:rPr>
              <w:t>2</w:t>
            </w:r>
          </w:p>
        </w:tc>
        <w:tc>
          <w:tcPr>
            <w:tcW w:w="1206" w:type="dxa"/>
            <w:shd w:val="clear" w:color="auto" w:fill="auto"/>
            <w:vAlign w:val="center"/>
          </w:tcPr>
          <w:p w14:paraId="3A3A07D4">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4樘</w:t>
            </w:r>
          </w:p>
        </w:tc>
        <w:tc>
          <w:tcPr>
            <w:tcW w:w="1206" w:type="dxa"/>
            <w:shd w:val="clear" w:color="auto" w:fill="auto"/>
            <w:vAlign w:val="center"/>
          </w:tcPr>
          <w:p w14:paraId="72C3116D">
            <w:pPr>
              <w:jc w:val="center"/>
              <w:rPr>
                <w:rFonts w:hint="eastAsia" w:ascii="Times New Roman" w:hAnsi="Times New Roman" w:eastAsia="宋体" w:cs="Times New Roman"/>
                <w:sz w:val="21"/>
                <w:szCs w:val="21"/>
                <w:highlight w:val="none"/>
                <w:lang w:val="en-US" w:eastAsia="zh-CN"/>
              </w:rPr>
            </w:pPr>
          </w:p>
        </w:tc>
        <w:tc>
          <w:tcPr>
            <w:tcW w:w="1206" w:type="dxa"/>
            <w:shd w:val="clear" w:color="auto" w:fill="auto"/>
            <w:vAlign w:val="center"/>
          </w:tcPr>
          <w:p w14:paraId="3D3D2085">
            <w:pPr>
              <w:jc w:val="center"/>
              <w:rPr>
                <w:rFonts w:hint="eastAsia" w:ascii="Times New Roman" w:hAnsi="Times New Roman" w:eastAsia="宋体" w:cs="Times New Roman"/>
                <w:sz w:val="21"/>
                <w:szCs w:val="21"/>
                <w:highlight w:val="none"/>
                <w:lang w:val="en-US" w:eastAsia="zh-CN"/>
              </w:rPr>
            </w:pPr>
          </w:p>
        </w:tc>
        <w:tc>
          <w:tcPr>
            <w:tcW w:w="1209" w:type="dxa"/>
            <w:shd w:val="clear" w:color="auto" w:fill="auto"/>
            <w:vAlign w:val="center"/>
          </w:tcPr>
          <w:p w14:paraId="5B663FF9">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含安装</w:t>
            </w:r>
          </w:p>
        </w:tc>
      </w:tr>
      <w:tr w14:paraId="0F93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shd w:val="clear" w:color="auto" w:fill="auto"/>
            <w:vAlign w:val="center"/>
          </w:tcPr>
          <w:p w14:paraId="5CD0979E">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3210" w:type="dxa"/>
            <w:shd w:val="clear" w:color="auto" w:fill="auto"/>
            <w:vAlign w:val="center"/>
          </w:tcPr>
          <w:p w14:paraId="10AB1E99">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电动钢质门（单向开启），含门禁、单个电机及感应探头等配套五金，约4.24m</w:t>
            </w:r>
            <w:r>
              <w:rPr>
                <w:rFonts w:hint="eastAsia" w:ascii="Times New Roman" w:hAnsi="Times New Roman" w:eastAsia="宋体" w:cs="Times New Roman"/>
                <w:sz w:val="21"/>
                <w:szCs w:val="21"/>
                <w:highlight w:val="none"/>
                <w:vertAlign w:val="superscript"/>
                <w:lang w:val="en-US" w:eastAsia="zh-CN"/>
              </w:rPr>
              <w:t>2</w:t>
            </w:r>
          </w:p>
        </w:tc>
        <w:tc>
          <w:tcPr>
            <w:tcW w:w="1206" w:type="dxa"/>
            <w:shd w:val="clear" w:color="auto" w:fill="auto"/>
            <w:vAlign w:val="center"/>
          </w:tcPr>
          <w:p w14:paraId="7BE67C48">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3樘</w:t>
            </w:r>
          </w:p>
        </w:tc>
        <w:tc>
          <w:tcPr>
            <w:tcW w:w="1206" w:type="dxa"/>
            <w:shd w:val="clear" w:color="auto" w:fill="auto"/>
            <w:vAlign w:val="center"/>
          </w:tcPr>
          <w:p w14:paraId="6EDDE11E">
            <w:pPr>
              <w:jc w:val="center"/>
              <w:rPr>
                <w:rFonts w:hint="eastAsia" w:ascii="Times New Roman" w:hAnsi="Times New Roman" w:eastAsia="宋体" w:cs="Times New Roman"/>
                <w:sz w:val="21"/>
                <w:szCs w:val="21"/>
                <w:highlight w:val="none"/>
                <w:lang w:val="en-US" w:eastAsia="zh-CN"/>
              </w:rPr>
            </w:pPr>
          </w:p>
        </w:tc>
        <w:tc>
          <w:tcPr>
            <w:tcW w:w="1206" w:type="dxa"/>
            <w:shd w:val="clear" w:color="auto" w:fill="auto"/>
            <w:vAlign w:val="center"/>
          </w:tcPr>
          <w:p w14:paraId="4925121A">
            <w:pPr>
              <w:jc w:val="center"/>
              <w:rPr>
                <w:rFonts w:hint="eastAsia" w:ascii="Times New Roman" w:hAnsi="Times New Roman" w:eastAsia="宋体" w:cs="Times New Roman"/>
                <w:sz w:val="21"/>
                <w:szCs w:val="21"/>
                <w:highlight w:val="none"/>
                <w:lang w:val="en-US" w:eastAsia="zh-CN"/>
              </w:rPr>
            </w:pPr>
          </w:p>
        </w:tc>
        <w:tc>
          <w:tcPr>
            <w:tcW w:w="1209" w:type="dxa"/>
            <w:shd w:val="clear" w:color="auto" w:fill="auto"/>
            <w:vAlign w:val="center"/>
          </w:tcPr>
          <w:p w14:paraId="69A9274F">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含安装</w:t>
            </w:r>
          </w:p>
        </w:tc>
      </w:tr>
      <w:tr w14:paraId="666F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4" w:type="dxa"/>
            <w:shd w:val="clear" w:color="auto" w:fill="auto"/>
            <w:vAlign w:val="center"/>
          </w:tcPr>
          <w:p w14:paraId="7F6FE2DB">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3210" w:type="dxa"/>
            <w:shd w:val="clear" w:color="auto" w:fill="auto"/>
            <w:vAlign w:val="center"/>
          </w:tcPr>
          <w:p w14:paraId="7328510F">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普通对开门，含门禁、约4.24m</w:t>
            </w:r>
            <w:r>
              <w:rPr>
                <w:rFonts w:hint="eastAsia" w:ascii="Times New Roman" w:hAnsi="Times New Roman" w:eastAsia="宋体" w:cs="Times New Roman"/>
                <w:sz w:val="21"/>
                <w:szCs w:val="21"/>
                <w:highlight w:val="none"/>
                <w:vertAlign w:val="superscript"/>
                <w:lang w:val="en-US" w:eastAsia="zh-CN"/>
              </w:rPr>
              <w:t>2</w:t>
            </w:r>
          </w:p>
        </w:tc>
        <w:tc>
          <w:tcPr>
            <w:tcW w:w="1206" w:type="dxa"/>
            <w:shd w:val="clear" w:color="auto" w:fill="auto"/>
            <w:vAlign w:val="center"/>
          </w:tcPr>
          <w:p w14:paraId="79CA1AC2">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1樘</w:t>
            </w:r>
          </w:p>
        </w:tc>
        <w:tc>
          <w:tcPr>
            <w:tcW w:w="1206" w:type="dxa"/>
            <w:shd w:val="clear" w:color="auto" w:fill="auto"/>
            <w:vAlign w:val="center"/>
          </w:tcPr>
          <w:p w14:paraId="4EA92A52">
            <w:pPr>
              <w:jc w:val="center"/>
              <w:rPr>
                <w:rFonts w:hint="eastAsia" w:ascii="Times New Roman" w:hAnsi="Times New Roman" w:eastAsia="宋体" w:cs="Times New Roman"/>
                <w:sz w:val="21"/>
                <w:szCs w:val="21"/>
                <w:highlight w:val="none"/>
                <w:lang w:val="en-US" w:eastAsia="zh-CN"/>
              </w:rPr>
            </w:pPr>
          </w:p>
        </w:tc>
        <w:tc>
          <w:tcPr>
            <w:tcW w:w="1206" w:type="dxa"/>
            <w:shd w:val="clear" w:color="auto" w:fill="auto"/>
            <w:vAlign w:val="center"/>
          </w:tcPr>
          <w:p w14:paraId="46F30E9F">
            <w:pPr>
              <w:jc w:val="center"/>
              <w:rPr>
                <w:rFonts w:hint="eastAsia" w:ascii="Times New Roman" w:hAnsi="Times New Roman" w:eastAsia="宋体" w:cs="Times New Roman"/>
                <w:sz w:val="21"/>
                <w:szCs w:val="21"/>
                <w:highlight w:val="none"/>
                <w:lang w:val="en-US" w:eastAsia="zh-CN"/>
              </w:rPr>
            </w:pPr>
          </w:p>
        </w:tc>
        <w:tc>
          <w:tcPr>
            <w:tcW w:w="1209" w:type="dxa"/>
            <w:shd w:val="clear" w:color="auto" w:fill="auto"/>
            <w:vAlign w:val="center"/>
          </w:tcPr>
          <w:p w14:paraId="72566CAA">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含安装</w:t>
            </w:r>
          </w:p>
        </w:tc>
      </w:tr>
      <w:tr w14:paraId="059C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24" w:type="dxa"/>
            <w:shd w:val="clear" w:color="auto" w:fill="auto"/>
            <w:vAlign w:val="center"/>
          </w:tcPr>
          <w:p w14:paraId="65D68488">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3210" w:type="dxa"/>
            <w:shd w:val="clear" w:color="auto" w:fill="auto"/>
            <w:vAlign w:val="center"/>
          </w:tcPr>
          <w:p w14:paraId="1C6A5A29">
            <w:pPr>
              <w:jc w:val="left"/>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现场开槽开孔、装饰修复</w:t>
            </w:r>
          </w:p>
        </w:tc>
        <w:tc>
          <w:tcPr>
            <w:tcW w:w="1206" w:type="dxa"/>
            <w:shd w:val="clear" w:color="auto" w:fill="auto"/>
            <w:vAlign w:val="center"/>
          </w:tcPr>
          <w:p w14:paraId="24446E8B">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1项</w:t>
            </w:r>
          </w:p>
        </w:tc>
        <w:tc>
          <w:tcPr>
            <w:tcW w:w="1206" w:type="dxa"/>
            <w:shd w:val="clear" w:color="auto" w:fill="auto"/>
            <w:vAlign w:val="center"/>
          </w:tcPr>
          <w:p w14:paraId="3DF4A40B">
            <w:pPr>
              <w:jc w:val="center"/>
              <w:rPr>
                <w:rFonts w:hint="eastAsia" w:ascii="Times New Roman" w:hAnsi="Times New Roman" w:eastAsia="宋体" w:cs="Times New Roman"/>
                <w:sz w:val="21"/>
                <w:szCs w:val="21"/>
                <w:highlight w:val="none"/>
                <w:lang w:val="en-US" w:eastAsia="zh-CN"/>
              </w:rPr>
            </w:pPr>
          </w:p>
        </w:tc>
        <w:tc>
          <w:tcPr>
            <w:tcW w:w="1206" w:type="dxa"/>
            <w:shd w:val="clear" w:color="auto" w:fill="auto"/>
            <w:vAlign w:val="center"/>
          </w:tcPr>
          <w:p w14:paraId="768DBE33">
            <w:pPr>
              <w:jc w:val="center"/>
              <w:rPr>
                <w:rFonts w:hint="eastAsia" w:ascii="Times New Roman" w:hAnsi="Times New Roman" w:eastAsia="宋体" w:cs="Times New Roman"/>
                <w:sz w:val="21"/>
                <w:szCs w:val="21"/>
                <w:highlight w:val="none"/>
                <w:lang w:val="en-US" w:eastAsia="zh-CN"/>
              </w:rPr>
            </w:pPr>
          </w:p>
        </w:tc>
        <w:tc>
          <w:tcPr>
            <w:tcW w:w="1209" w:type="dxa"/>
            <w:shd w:val="clear" w:color="auto" w:fill="auto"/>
            <w:vAlign w:val="center"/>
          </w:tcPr>
          <w:p w14:paraId="68C04142">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含材料</w:t>
            </w:r>
          </w:p>
        </w:tc>
      </w:tr>
      <w:tr w14:paraId="5277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24" w:type="dxa"/>
            <w:shd w:val="clear" w:color="auto" w:fill="auto"/>
            <w:vAlign w:val="center"/>
          </w:tcPr>
          <w:p w14:paraId="4FA22676">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w:t>
            </w:r>
          </w:p>
        </w:tc>
        <w:tc>
          <w:tcPr>
            <w:tcW w:w="3210" w:type="dxa"/>
            <w:shd w:val="clear" w:color="auto" w:fill="auto"/>
            <w:vAlign w:val="center"/>
          </w:tcPr>
          <w:p w14:paraId="70CF9691">
            <w:pPr>
              <w:jc w:val="left"/>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安装费用，含接电、导线、调试</w:t>
            </w:r>
          </w:p>
        </w:tc>
        <w:tc>
          <w:tcPr>
            <w:tcW w:w="1206" w:type="dxa"/>
            <w:shd w:val="clear" w:color="auto" w:fill="auto"/>
            <w:vAlign w:val="center"/>
          </w:tcPr>
          <w:p w14:paraId="1B576A90">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1项</w:t>
            </w:r>
          </w:p>
        </w:tc>
        <w:tc>
          <w:tcPr>
            <w:tcW w:w="1206" w:type="dxa"/>
            <w:shd w:val="clear" w:color="auto" w:fill="auto"/>
            <w:vAlign w:val="center"/>
          </w:tcPr>
          <w:p w14:paraId="09CDF189">
            <w:pPr>
              <w:jc w:val="center"/>
              <w:rPr>
                <w:rFonts w:hint="eastAsia" w:ascii="Times New Roman" w:hAnsi="Times New Roman" w:eastAsia="宋体" w:cs="Times New Roman"/>
                <w:sz w:val="21"/>
                <w:szCs w:val="21"/>
                <w:highlight w:val="none"/>
                <w:lang w:val="en-US" w:eastAsia="zh-CN"/>
              </w:rPr>
            </w:pPr>
          </w:p>
        </w:tc>
        <w:tc>
          <w:tcPr>
            <w:tcW w:w="1206" w:type="dxa"/>
            <w:shd w:val="clear" w:color="auto" w:fill="auto"/>
            <w:vAlign w:val="center"/>
          </w:tcPr>
          <w:p w14:paraId="2D01A4A5">
            <w:pPr>
              <w:jc w:val="center"/>
              <w:rPr>
                <w:rFonts w:hint="eastAsia" w:ascii="Times New Roman" w:hAnsi="Times New Roman" w:eastAsia="宋体" w:cs="Times New Roman"/>
                <w:sz w:val="21"/>
                <w:szCs w:val="21"/>
                <w:highlight w:val="none"/>
                <w:lang w:val="en-US" w:eastAsia="zh-CN"/>
              </w:rPr>
            </w:pPr>
          </w:p>
        </w:tc>
        <w:tc>
          <w:tcPr>
            <w:tcW w:w="1209" w:type="dxa"/>
            <w:shd w:val="clear" w:color="auto" w:fill="auto"/>
            <w:vAlign w:val="center"/>
          </w:tcPr>
          <w:p w14:paraId="37A22558">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含材料</w:t>
            </w:r>
          </w:p>
        </w:tc>
      </w:tr>
      <w:tr w14:paraId="02B4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24" w:type="dxa"/>
            <w:shd w:val="clear" w:color="auto" w:fill="auto"/>
            <w:vAlign w:val="center"/>
          </w:tcPr>
          <w:p w14:paraId="0DE8A45F">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合计</w:t>
            </w:r>
          </w:p>
        </w:tc>
        <w:tc>
          <w:tcPr>
            <w:tcW w:w="8037" w:type="dxa"/>
            <w:gridSpan w:val="5"/>
            <w:shd w:val="clear" w:color="auto" w:fill="auto"/>
            <w:vAlign w:val="center"/>
          </w:tcPr>
          <w:p w14:paraId="72B050A6">
            <w:pPr>
              <w:jc w:val="center"/>
              <w:rPr>
                <w:rFonts w:hint="eastAsia" w:ascii="Times New Roman" w:hAnsi="Times New Roman" w:eastAsia="宋体" w:cs="Times New Roman"/>
                <w:sz w:val="21"/>
                <w:szCs w:val="21"/>
                <w:highlight w:val="none"/>
                <w:lang w:val="en-US" w:eastAsia="zh-CN"/>
              </w:rPr>
            </w:pPr>
          </w:p>
        </w:tc>
      </w:tr>
      <w:tr w14:paraId="64C5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824" w:type="dxa"/>
            <w:shd w:val="clear" w:color="auto" w:fill="auto"/>
            <w:vAlign w:val="center"/>
          </w:tcPr>
          <w:p w14:paraId="191F929E">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备注</w:t>
            </w:r>
          </w:p>
        </w:tc>
        <w:tc>
          <w:tcPr>
            <w:tcW w:w="8037" w:type="dxa"/>
            <w:gridSpan w:val="5"/>
            <w:shd w:val="clear" w:color="auto" w:fill="auto"/>
            <w:vAlign w:val="center"/>
          </w:tcPr>
          <w:p w14:paraId="4F39FA7A">
            <w:pPr>
              <w:jc w:val="left"/>
              <w:rPr>
                <w:rFonts w:hint="eastAsia" w:ascii="Times New Roman" w:hAnsi="Times New Roman" w:eastAsia="宋体" w:cs="Times New Roman"/>
                <w:sz w:val="21"/>
                <w:szCs w:val="21"/>
                <w:highlight w:val="none"/>
                <w:lang w:val="en-US" w:eastAsia="zh-CN"/>
              </w:rPr>
            </w:pPr>
          </w:p>
        </w:tc>
      </w:tr>
    </w:tbl>
    <w:p w14:paraId="06431159">
      <w:pPr>
        <w:spacing w:line="360" w:lineRule="auto"/>
        <w:ind w:firstLine="420"/>
        <w:rPr>
          <w:rFonts w:hint="eastAsia" w:ascii="宋体" w:hAnsi="宋体"/>
          <w:color w:val="auto"/>
          <w:szCs w:val="21"/>
          <w:highlight w:val="none"/>
        </w:rPr>
      </w:pPr>
    </w:p>
    <w:p w14:paraId="121F71FF">
      <w:pPr>
        <w:spacing w:line="360" w:lineRule="auto"/>
        <w:ind w:firstLine="420"/>
        <w:rPr>
          <w:rFonts w:ascii="宋体" w:hAnsi="宋体"/>
          <w:color w:val="auto"/>
          <w:szCs w:val="21"/>
          <w:highlight w:val="none"/>
        </w:rPr>
      </w:pPr>
      <w:r>
        <w:rPr>
          <w:rFonts w:hint="eastAsia" w:ascii="宋体" w:hAnsi="宋体"/>
          <w:color w:val="auto"/>
          <w:szCs w:val="21"/>
          <w:highlight w:val="none"/>
        </w:rPr>
        <w:t>1、供应商必须按表中规定格式完整、清晰、正确填写，没有的应注明“无”字样，不得缺项。</w:t>
      </w:r>
    </w:p>
    <w:p w14:paraId="3866E307">
      <w:pPr>
        <w:spacing w:line="360" w:lineRule="auto"/>
        <w:ind w:firstLine="420"/>
        <w:rPr>
          <w:rFonts w:ascii="宋体" w:hAnsi="宋体"/>
          <w:color w:val="auto"/>
          <w:szCs w:val="21"/>
          <w:highlight w:val="none"/>
        </w:rPr>
      </w:pPr>
      <w:r>
        <w:rPr>
          <w:rFonts w:hint="eastAsia" w:ascii="宋体" w:hAnsi="宋体"/>
          <w:color w:val="auto"/>
          <w:szCs w:val="21"/>
          <w:highlight w:val="none"/>
        </w:rPr>
        <w:t>2、报价表中不得填报有选择性报价方案，该表中的报价应与磋商文件中的报价完全一致。若有优惠条件请注明。报价表应由法定代表人或授权代表签字并加盖公章。</w:t>
      </w:r>
    </w:p>
    <w:p w14:paraId="7ED47019">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3、单价和总价均应包括但不限于所有施工、设备、材料、税金、包装费、运杂费、保险费、卸力费、安装调试费、资料费、保修期内维修费用及咨询服务费等直至完全交付采购人使用的所有费用。</w:t>
      </w:r>
    </w:p>
    <w:p w14:paraId="622078F0">
      <w:pPr>
        <w:spacing w:line="360" w:lineRule="auto"/>
        <w:ind w:firstLine="420"/>
        <w:rPr>
          <w:rFonts w:ascii="宋体" w:hAnsi="宋体"/>
          <w:color w:val="auto"/>
          <w:szCs w:val="21"/>
          <w:highlight w:val="none"/>
        </w:rPr>
      </w:pPr>
      <w:r>
        <w:rPr>
          <w:rFonts w:hint="eastAsia" w:ascii="宋体" w:hAnsi="宋体"/>
          <w:color w:val="auto"/>
          <w:szCs w:val="21"/>
          <w:highlight w:val="none"/>
        </w:rPr>
        <w:t>4、供应商成交后根据本单位的最终总报价和首轮明细报价，自行调整各明细单价(原则上除不可竞争费外，其他各分项报价同比例下浮)直至合价和最终总报价(如以万元为单位，保留两位小数)相符，报采购人和预算编制单位审核，审核通过后，后期根据审核后的明细报价，按实结算。</w:t>
      </w:r>
    </w:p>
    <w:p w14:paraId="76A6B0FE">
      <w:pPr>
        <w:spacing w:line="360" w:lineRule="auto"/>
        <w:ind w:firstLine="420"/>
        <w:rPr>
          <w:rFonts w:ascii="宋体" w:hAnsi="宋体" w:cs="宋体"/>
          <w:i/>
          <w:iCs/>
          <w:color w:val="auto"/>
          <w:szCs w:val="21"/>
          <w:highlight w:val="none"/>
          <w:u w:val="single"/>
        </w:rPr>
      </w:pPr>
      <w:r>
        <w:rPr>
          <w:rFonts w:hint="eastAsia" w:ascii="宋体" w:hAnsi="宋体"/>
          <w:color w:val="auto"/>
          <w:szCs w:val="21"/>
          <w:highlight w:val="none"/>
        </w:rPr>
        <w:t>5、如有分包，供应商投任何一个包的标的，都需单独填写响应报价表。</w:t>
      </w:r>
    </w:p>
    <w:p w14:paraId="4B83612F">
      <w:pPr>
        <w:rPr>
          <w:rFonts w:ascii="宋体" w:hAnsi="宋体"/>
          <w:color w:val="auto"/>
          <w:sz w:val="24"/>
          <w:szCs w:val="24"/>
          <w:highlight w:val="none"/>
        </w:rPr>
      </w:pPr>
    </w:p>
    <w:p w14:paraId="09B3ABAA">
      <w:pPr>
        <w:rPr>
          <w:rFonts w:ascii="宋体" w:hAnsi="宋体"/>
          <w:color w:val="auto"/>
          <w:sz w:val="24"/>
          <w:szCs w:val="24"/>
          <w:highlight w:val="none"/>
        </w:rPr>
      </w:pPr>
    </w:p>
    <w:p w14:paraId="4AF43AF9">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r>
        <w:rPr>
          <w:rFonts w:hint="eastAsia" w:ascii="黑体" w:hAnsi="黑体" w:eastAsia="黑体"/>
          <w:b/>
          <w:color w:val="auto"/>
          <w:sz w:val="32"/>
          <w:szCs w:val="32"/>
          <w:highlight w:val="none"/>
        </w:rPr>
        <w:t>十三、技术要求响应及偏离表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3114"/>
        <w:gridCol w:w="2852"/>
        <w:gridCol w:w="1308"/>
        <w:gridCol w:w="1173"/>
      </w:tblGrid>
      <w:tr w14:paraId="60E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2" w:type="dxa"/>
            <w:vAlign w:val="center"/>
          </w:tcPr>
          <w:p w14:paraId="7FFD12A5">
            <w:pPr>
              <w:jc w:val="center"/>
              <w:rPr>
                <w:rFonts w:ascii="宋体" w:hAnsi="宋体"/>
                <w:color w:val="auto"/>
                <w:sz w:val="24"/>
                <w:szCs w:val="24"/>
                <w:highlight w:val="none"/>
              </w:rPr>
            </w:pPr>
            <w:r>
              <w:rPr>
                <w:rFonts w:hint="eastAsia" w:ascii="宋体" w:hAnsi="宋体"/>
                <w:color w:val="auto"/>
                <w:sz w:val="24"/>
                <w:szCs w:val="24"/>
                <w:highlight w:val="none"/>
              </w:rPr>
              <w:t>序号</w:t>
            </w:r>
          </w:p>
        </w:tc>
        <w:tc>
          <w:tcPr>
            <w:tcW w:w="3114" w:type="dxa"/>
            <w:vAlign w:val="center"/>
          </w:tcPr>
          <w:p w14:paraId="2F64A378">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706C0654">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047EAFC3">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0F7B8F89">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52026C21">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7311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F8DDE56">
            <w:pPr>
              <w:jc w:val="center"/>
              <w:rPr>
                <w:rFonts w:ascii="宋体" w:hAnsi="宋体"/>
                <w:color w:val="auto"/>
                <w:sz w:val="24"/>
                <w:szCs w:val="24"/>
                <w:highlight w:val="none"/>
              </w:rPr>
            </w:pPr>
          </w:p>
        </w:tc>
        <w:tc>
          <w:tcPr>
            <w:tcW w:w="3114" w:type="dxa"/>
            <w:vAlign w:val="center"/>
          </w:tcPr>
          <w:p w14:paraId="49E9BD12">
            <w:pPr>
              <w:jc w:val="center"/>
              <w:rPr>
                <w:rFonts w:ascii="宋体" w:hAnsi="宋体"/>
                <w:color w:val="auto"/>
                <w:sz w:val="24"/>
                <w:szCs w:val="24"/>
                <w:highlight w:val="none"/>
              </w:rPr>
            </w:pPr>
          </w:p>
        </w:tc>
        <w:tc>
          <w:tcPr>
            <w:tcW w:w="2852" w:type="dxa"/>
            <w:vAlign w:val="center"/>
          </w:tcPr>
          <w:p w14:paraId="1C170C63">
            <w:pPr>
              <w:jc w:val="center"/>
              <w:rPr>
                <w:rFonts w:ascii="宋体" w:hAnsi="宋体"/>
                <w:color w:val="auto"/>
                <w:sz w:val="24"/>
                <w:szCs w:val="24"/>
                <w:highlight w:val="none"/>
              </w:rPr>
            </w:pPr>
          </w:p>
        </w:tc>
        <w:tc>
          <w:tcPr>
            <w:tcW w:w="1308" w:type="dxa"/>
            <w:vAlign w:val="center"/>
          </w:tcPr>
          <w:p w14:paraId="770F470C">
            <w:pPr>
              <w:jc w:val="center"/>
              <w:rPr>
                <w:rFonts w:ascii="宋体" w:hAnsi="宋体"/>
                <w:color w:val="auto"/>
                <w:sz w:val="24"/>
                <w:szCs w:val="24"/>
                <w:highlight w:val="none"/>
              </w:rPr>
            </w:pPr>
          </w:p>
        </w:tc>
        <w:tc>
          <w:tcPr>
            <w:tcW w:w="1173" w:type="dxa"/>
            <w:vAlign w:val="center"/>
          </w:tcPr>
          <w:p w14:paraId="693D1CFC">
            <w:pPr>
              <w:jc w:val="center"/>
              <w:rPr>
                <w:rFonts w:ascii="宋体" w:hAnsi="宋体"/>
                <w:color w:val="auto"/>
                <w:sz w:val="24"/>
                <w:szCs w:val="24"/>
                <w:highlight w:val="none"/>
              </w:rPr>
            </w:pPr>
          </w:p>
        </w:tc>
      </w:tr>
      <w:tr w14:paraId="4FBD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763B0685">
            <w:pPr>
              <w:jc w:val="center"/>
              <w:rPr>
                <w:rFonts w:ascii="宋体" w:hAnsi="宋体"/>
                <w:color w:val="auto"/>
                <w:sz w:val="24"/>
                <w:szCs w:val="24"/>
                <w:highlight w:val="none"/>
              </w:rPr>
            </w:pPr>
          </w:p>
        </w:tc>
        <w:tc>
          <w:tcPr>
            <w:tcW w:w="3114" w:type="dxa"/>
            <w:vAlign w:val="center"/>
          </w:tcPr>
          <w:p w14:paraId="22E0DFD6">
            <w:pPr>
              <w:jc w:val="center"/>
              <w:rPr>
                <w:rFonts w:ascii="宋体" w:hAnsi="宋体"/>
                <w:color w:val="auto"/>
                <w:sz w:val="24"/>
                <w:szCs w:val="24"/>
                <w:highlight w:val="none"/>
              </w:rPr>
            </w:pPr>
          </w:p>
        </w:tc>
        <w:tc>
          <w:tcPr>
            <w:tcW w:w="2852" w:type="dxa"/>
            <w:vAlign w:val="center"/>
          </w:tcPr>
          <w:p w14:paraId="54791746">
            <w:pPr>
              <w:jc w:val="center"/>
              <w:rPr>
                <w:rFonts w:ascii="宋体" w:hAnsi="宋体"/>
                <w:color w:val="auto"/>
                <w:sz w:val="24"/>
                <w:szCs w:val="24"/>
                <w:highlight w:val="none"/>
              </w:rPr>
            </w:pPr>
          </w:p>
        </w:tc>
        <w:tc>
          <w:tcPr>
            <w:tcW w:w="1308" w:type="dxa"/>
            <w:vAlign w:val="center"/>
          </w:tcPr>
          <w:p w14:paraId="0E04C684">
            <w:pPr>
              <w:jc w:val="center"/>
              <w:rPr>
                <w:rFonts w:ascii="宋体" w:hAnsi="宋体"/>
                <w:color w:val="auto"/>
                <w:sz w:val="24"/>
                <w:szCs w:val="24"/>
                <w:highlight w:val="none"/>
              </w:rPr>
            </w:pPr>
          </w:p>
        </w:tc>
        <w:tc>
          <w:tcPr>
            <w:tcW w:w="1173" w:type="dxa"/>
            <w:vAlign w:val="center"/>
          </w:tcPr>
          <w:p w14:paraId="4F2D975C">
            <w:pPr>
              <w:jc w:val="center"/>
              <w:rPr>
                <w:rFonts w:ascii="宋体" w:hAnsi="宋体"/>
                <w:color w:val="auto"/>
                <w:sz w:val="24"/>
                <w:szCs w:val="24"/>
                <w:highlight w:val="none"/>
              </w:rPr>
            </w:pPr>
          </w:p>
        </w:tc>
      </w:tr>
      <w:tr w14:paraId="7672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3864FC4">
            <w:pPr>
              <w:jc w:val="center"/>
              <w:rPr>
                <w:rFonts w:ascii="宋体" w:hAnsi="宋体"/>
                <w:color w:val="auto"/>
                <w:sz w:val="24"/>
                <w:szCs w:val="24"/>
                <w:highlight w:val="none"/>
              </w:rPr>
            </w:pPr>
          </w:p>
        </w:tc>
        <w:tc>
          <w:tcPr>
            <w:tcW w:w="3114" w:type="dxa"/>
            <w:vAlign w:val="center"/>
          </w:tcPr>
          <w:p w14:paraId="253F1370">
            <w:pPr>
              <w:jc w:val="center"/>
              <w:rPr>
                <w:rFonts w:ascii="宋体" w:hAnsi="宋体"/>
                <w:color w:val="auto"/>
                <w:sz w:val="24"/>
                <w:szCs w:val="24"/>
                <w:highlight w:val="none"/>
              </w:rPr>
            </w:pPr>
          </w:p>
        </w:tc>
        <w:tc>
          <w:tcPr>
            <w:tcW w:w="2852" w:type="dxa"/>
            <w:vAlign w:val="center"/>
          </w:tcPr>
          <w:p w14:paraId="22B82184">
            <w:pPr>
              <w:jc w:val="center"/>
              <w:rPr>
                <w:rFonts w:ascii="宋体" w:hAnsi="宋体"/>
                <w:color w:val="auto"/>
                <w:sz w:val="24"/>
                <w:szCs w:val="24"/>
                <w:highlight w:val="none"/>
              </w:rPr>
            </w:pPr>
          </w:p>
        </w:tc>
        <w:tc>
          <w:tcPr>
            <w:tcW w:w="1308" w:type="dxa"/>
            <w:vAlign w:val="center"/>
          </w:tcPr>
          <w:p w14:paraId="1484F3DD">
            <w:pPr>
              <w:jc w:val="center"/>
              <w:rPr>
                <w:rFonts w:ascii="宋体" w:hAnsi="宋体"/>
                <w:color w:val="auto"/>
                <w:sz w:val="24"/>
                <w:szCs w:val="24"/>
                <w:highlight w:val="none"/>
              </w:rPr>
            </w:pPr>
          </w:p>
        </w:tc>
        <w:tc>
          <w:tcPr>
            <w:tcW w:w="1173" w:type="dxa"/>
            <w:vAlign w:val="center"/>
          </w:tcPr>
          <w:p w14:paraId="090F5236">
            <w:pPr>
              <w:jc w:val="center"/>
              <w:rPr>
                <w:rFonts w:ascii="宋体" w:hAnsi="宋体"/>
                <w:color w:val="auto"/>
                <w:sz w:val="24"/>
                <w:szCs w:val="24"/>
                <w:highlight w:val="none"/>
              </w:rPr>
            </w:pPr>
          </w:p>
        </w:tc>
      </w:tr>
      <w:tr w14:paraId="7FA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06442E3B">
            <w:pPr>
              <w:jc w:val="center"/>
              <w:rPr>
                <w:rFonts w:ascii="宋体" w:hAnsi="宋体"/>
                <w:color w:val="auto"/>
                <w:sz w:val="24"/>
                <w:szCs w:val="24"/>
                <w:highlight w:val="none"/>
              </w:rPr>
            </w:pPr>
          </w:p>
        </w:tc>
        <w:tc>
          <w:tcPr>
            <w:tcW w:w="3114" w:type="dxa"/>
            <w:vAlign w:val="center"/>
          </w:tcPr>
          <w:p w14:paraId="457257E0">
            <w:pPr>
              <w:jc w:val="center"/>
              <w:rPr>
                <w:rFonts w:ascii="宋体" w:hAnsi="宋体"/>
                <w:color w:val="auto"/>
                <w:sz w:val="24"/>
                <w:szCs w:val="24"/>
                <w:highlight w:val="none"/>
              </w:rPr>
            </w:pPr>
          </w:p>
        </w:tc>
        <w:tc>
          <w:tcPr>
            <w:tcW w:w="2852" w:type="dxa"/>
            <w:vAlign w:val="center"/>
          </w:tcPr>
          <w:p w14:paraId="2A856A89">
            <w:pPr>
              <w:jc w:val="center"/>
              <w:rPr>
                <w:rFonts w:ascii="宋体" w:hAnsi="宋体"/>
                <w:color w:val="auto"/>
                <w:sz w:val="24"/>
                <w:szCs w:val="24"/>
                <w:highlight w:val="none"/>
              </w:rPr>
            </w:pPr>
          </w:p>
        </w:tc>
        <w:tc>
          <w:tcPr>
            <w:tcW w:w="1308" w:type="dxa"/>
            <w:vAlign w:val="center"/>
          </w:tcPr>
          <w:p w14:paraId="7956F2BB">
            <w:pPr>
              <w:jc w:val="center"/>
              <w:rPr>
                <w:rFonts w:ascii="宋体" w:hAnsi="宋体"/>
                <w:color w:val="auto"/>
                <w:sz w:val="24"/>
                <w:szCs w:val="24"/>
                <w:highlight w:val="none"/>
              </w:rPr>
            </w:pPr>
          </w:p>
        </w:tc>
        <w:tc>
          <w:tcPr>
            <w:tcW w:w="1173" w:type="dxa"/>
            <w:vAlign w:val="center"/>
          </w:tcPr>
          <w:p w14:paraId="43B627E7">
            <w:pPr>
              <w:jc w:val="center"/>
              <w:rPr>
                <w:rFonts w:ascii="宋体" w:hAnsi="宋体"/>
                <w:color w:val="auto"/>
                <w:sz w:val="24"/>
                <w:szCs w:val="24"/>
                <w:highlight w:val="none"/>
              </w:rPr>
            </w:pPr>
          </w:p>
        </w:tc>
      </w:tr>
      <w:tr w14:paraId="7CC5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41085F5B">
            <w:pPr>
              <w:jc w:val="center"/>
              <w:rPr>
                <w:rFonts w:ascii="宋体" w:hAnsi="宋体"/>
                <w:color w:val="auto"/>
                <w:sz w:val="24"/>
                <w:szCs w:val="24"/>
                <w:highlight w:val="none"/>
              </w:rPr>
            </w:pPr>
          </w:p>
        </w:tc>
        <w:tc>
          <w:tcPr>
            <w:tcW w:w="3114" w:type="dxa"/>
            <w:vAlign w:val="center"/>
          </w:tcPr>
          <w:p w14:paraId="0D70BF3E">
            <w:pPr>
              <w:jc w:val="center"/>
              <w:rPr>
                <w:rFonts w:ascii="宋体" w:hAnsi="宋体"/>
                <w:color w:val="auto"/>
                <w:sz w:val="24"/>
                <w:szCs w:val="24"/>
                <w:highlight w:val="none"/>
              </w:rPr>
            </w:pPr>
          </w:p>
        </w:tc>
        <w:tc>
          <w:tcPr>
            <w:tcW w:w="2852" w:type="dxa"/>
            <w:vAlign w:val="center"/>
          </w:tcPr>
          <w:p w14:paraId="6C564368">
            <w:pPr>
              <w:jc w:val="center"/>
              <w:rPr>
                <w:rFonts w:ascii="宋体" w:hAnsi="宋体"/>
                <w:color w:val="auto"/>
                <w:sz w:val="24"/>
                <w:szCs w:val="24"/>
                <w:highlight w:val="none"/>
              </w:rPr>
            </w:pPr>
          </w:p>
        </w:tc>
        <w:tc>
          <w:tcPr>
            <w:tcW w:w="1308" w:type="dxa"/>
            <w:vAlign w:val="center"/>
          </w:tcPr>
          <w:p w14:paraId="67BEE968">
            <w:pPr>
              <w:jc w:val="center"/>
              <w:rPr>
                <w:rFonts w:ascii="宋体" w:hAnsi="宋体"/>
                <w:color w:val="auto"/>
                <w:sz w:val="24"/>
                <w:szCs w:val="24"/>
                <w:highlight w:val="none"/>
              </w:rPr>
            </w:pPr>
          </w:p>
        </w:tc>
        <w:tc>
          <w:tcPr>
            <w:tcW w:w="1173" w:type="dxa"/>
            <w:vAlign w:val="center"/>
          </w:tcPr>
          <w:p w14:paraId="6E600707">
            <w:pPr>
              <w:jc w:val="center"/>
              <w:rPr>
                <w:rFonts w:ascii="宋体" w:hAnsi="宋体"/>
                <w:color w:val="auto"/>
                <w:sz w:val="24"/>
                <w:szCs w:val="24"/>
                <w:highlight w:val="none"/>
              </w:rPr>
            </w:pPr>
          </w:p>
        </w:tc>
      </w:tr>
      <w:tr w14:paraId="4284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51018D2A">
            <w:pPr>
              <w:jc w:val="center"/>
              <w:rPr>
                <w:rFonts w:ascii="宋体" w:hAnsi="宋体"/>
                <w:color w:val="auto"/>
                <w:sz w:val="24"/>
                <w:szCs w:val="24"/>
                <w:highlight w:val="none"/>
              </w:rPr>
            </w:pPr>
          </w:p>
        </w:tc>
        <w:tc>
          <w:tcPr>
            <w:tcW w:w="3114" w:type="dxa"/>
            <w:vAlign w:val="center"/>
          </w:tcPr>
          <w:p w14:paraId="722A4190">
            <w:pPr>
              <w:jc w:val="center"/>
              <w:rPr>
                <w:rFonts w:ascii="宋体" w:hAnsi="宋体"/>
                <w:color w:val="auto"/>
                <w:sz w:val="24"/>
                <w:szCs w:val="24"/>
                <w:highlight w:val="none"/>
              </w:rPr>
            </w:pPr>
          </w:p>
        </w:tc>
        <w:tc>
          <w:tcPr>
            <w:tcW w:w="2852" w:type="dxa"/>
            <w:vAlign w:val="center"/>
          </w:tcPr>
          <w:p w14:paraId="73C3FBC9">
            <w:pPr>
              <w:jc w:val="center"/>
              <w:rPr>
                <w:rFonts w:ascii="宋体" w:hAnsi="宋体"/>
                <w:color w:val="auto"/>
                <w:sz w:val="24"/>
                <w:szCs w:val="24"/>
                <w:highlight w:val="none"/>
              </w:rPr>
            </w:pPr>
          </w:p>
        </w:tc>
        <w:tc>
          <w:tcPr>
            <w:tcW w:w="1308" w:type="dxa"/>
            <w:vAlign w:val="center"/>
          </w:tcPr>
          <w:p w14:paraId="715943D9">
            <w:pPr>
              <w:jc w:val="center"/>
              <w:rPr>
                <w:rFonts w:ascii="宋体" w:hAnsi="宋体"/>
                <w:color w:val="auto"/>
                <w:sz w:val="24"/>
                <w:szCs w:val="24"/>
                <w:highlight w:val="none"/>
              </w:rPr>
            </w:pPr>
          </w:p>
        </w:tc>
        <w:tc>
          <w:tcPr>
            <w:tcW w:w="1173" w:type="dxa"/>
            <w:vAlign w:val="center"/>
          </w:tcPr>
          <w:p w14:paraId="3DE6465D">
            <w:pPr>
              <w:jc w:val="center"/>
              <w:rPr>
                <w:rFonts w:ascii="宋体" w:hAnsi="宋体"/>
                <w:color w:val="auto"/>
                <w:sz w:val="24"/>
                <w:szCs w:val="24"/>
                <w:highlight w:val="none"/>
              </w:rPr>
            </w:pPr>
          </w:p>
        </w:tc>
      </w:tr>
      <w:tr w14:paraId="6556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6D0E975A">
            <w:pPr>
              <w:jc w:val="center"/>
              <w:rPr>
                <w:rFonts w:ascii="宋体" w:hAnsi="宋体"/>
                <w:color w:val="auto"/>
                <w:sz w:val="24"/>
                <w:szCs w:val="24"/>
                <w:highlight w:val="none"/>
              </w:rPr>
            </w:pPr>
          </w:p>
        </w:tc>
        <w:tc>
          <w:tcPr>
            <w:tcW w:w="3114" w:type="dxa"/>
            <w:vAlign w:val="center"/>
          </w:tcPr>
          <w:p w14:paraId="2F42C24F">
            <w:pPr>
              <w:jc w:val="center"/>
              <w:rPr>
                <w:rFonts w:ascii="宋体" w:hAnsi="宋体"/>
                <w:color w:val="auto"/>
                <w:sz w:val="24"/>
                <w:szCs w:val="24"/>
                <w:highlight w:val="none"/>
              </w:rPr>
            </w:pPr>
          </w:p>
        </w:tc>
        <w:tc>
          <w:tcPr>
            <w:tcW w:w="2852" w:type="dxa"/>
            <w:vAlign w:val="center"/>
          </w:tcPr>
          <w:p w14:paraId="7E9C1575">
            <w:pPr>
              <w:jc w:val="center"/>
              <w:rPr>
                <w:rFonts w:ascii="宋体" w:hAnsi="宋体"/>
                <w:color w:val="auto"/>
                <w:sz w:val="24"/>
                <w:szCs w:val="24"/>
                <w:highlight w:val="none"/>
              </w:rPr>
            </w:pPr>
          </w:p>
        </w:tc>
        <w:tc>
          <w:tcPr>
            <w:tcW w:w="1308" w:type="dxa"/>
            <w:vAlign w:val="center"/>
          </w:tcPr>
          <w:p w14:paraId="4B7F8526">
            <w:pPr>
              <w:jc w:val="center"/>
              <w:rPr>
                <w:rFonts w:ascii="宋体" w:hAnsi="宋体"/>
                <w:color w:val="auto"/>
                <w:sz w:val="24"/>
                <w:szCs w:val="24"/>
                <w:highlight w:val="none"/>
              </w:rPr>
            </w:pPr>
          </w:p>
        </w:tc>
        <w:tc>
          <w:tcPr>
            <w:tcW w:w="1173" w:type="dxa"/>
            <w:vAlign w:val="center"/>
          </w:tcPr>
          <w:p w14:paraId="3589353F">
            <w:pPr>
              <w:jc w:val="center"/>
              <w:rPr>
                <w:rFonts w:ascii="宋体" w:hAnsi="宋体"/>
                <w:color w:val="auto"/>
                <w:sz w:val="24"/>
                <w:szCs w:val="24"/>
                <w:highlight w:val="none"/>
              </w:rPr>
            </w:pPr>
          </w:p>
        </w:tc>
      </w:tr>
      <w:tr w14:paraId="0736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22" w:type="dxa"/>
            <w:vAlign w:val="center"/>
          </w:tcPr>
          <w:p w14:paraId="3A30283B">
            <w:pPr>
              <w:jc w:val="center"/>
              <w:rPr>
                <w:rFonts w:ascii="宋体" w:hAnsi="宋体"/>
                <w:color w:val="auto"/>
                <w:sz w:val="24"/>
                <w:szCs w:val="24"/>
                <w:highlight w:val="none"/>
              </w:rPr>
            </w:pPr>
          </w:p>
        </w:tc>
        <w:tc>
          <w:tcPr>
            <w:tcW w:w="3114" w:type="dxa"/>
            <w:vAlign w:val="center"/>
          </w:tcPr>
          <w:p w14:paraId="0082E096">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2E6A2F3C">
            <w:pPr>
              <w:jc w:val="center"/>
              <w:rPr>
                <w:rFonts w:ascii="宋体" w:hAnsi="宋体"/>
                <w:color w:val="auto"/>
                <w:sz w:val="24"/>
                <w:szCs w:val="24"/>
                <w:highlight w:val="none"/>
              </w:rPr>
            </w:pPr>
          </w:p>
        </w:tc>
        <w:tc>
          <w:tcPr>
            <w:tcW w:w="1308" w:type="dxa"/>
            <w:vAlign w:val="center"/>
          </w:tcPr>
          <w:p w14:paraId="6689871F">
            <w:pPr>
              <w:jc w:val="center"/>
              <w:rPr>
                <w:rFonts w:ascii="宋体" w:hAnsi="宋体"/>
                <w:color w:val="auto"/>
                <w:sz w:val="24"/>
                <w:szCs w:val="24"/>
                <w:highlight w:val="none"/>
              </w:rPr>
            </w:pPr>
          </w:p>
        </w:tc>
        <w:tc>
          <w:tcPr>
            <w:tcW w:w="1173" w:type="dxa"/>
            <w:vAlign w:val="center"/>
          </w:tcPr>
          <w:p w14:paraId="660299DD">
            <w:pPr>
              <w:jc w:val="center"/>
              <w:rPr>
                <w:rFonts w:ascii="宋体" w:hAnsi="宋体"/>
                <w:color w:val="auto"/>
                <w:sz w:val="24"/>
                <w:szCs w:val="24"/>
                <w:highlight w:val="none"/>
              </w:rPr>
            </w:pPr>
          </w:p>
        </w:tc>
      </w:tr>
    </w:tbl>
    <w:p w14:paraId="28111286">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5B657733">
      <w:pPr>
        <w:rPr>
          <w:rFonts w:ascii="黑体" w:hAnsi="Arial" w:eastAsia="黑体"/>
          <w:b/>
          <w:color w:val="auto"/>
          <w:sz w:val="36"/>
          <w:szCs w:val="21"/>
          <w:highlight w:val="none"/>
        </w:rPr>
      </w:pPr>
    </w:p>
    <w:p w14:paraId="61A0D9A7">
      <w:pPr>
        <w:rPr>
          <w:rFonts w:ascii="黑体" w:hAnsi="Arial" w:eastAsia="黑体"/>
          <w:color w:val="auto"/>
          <w:sz w:val="32"/>
          <w:szCs w:val="21"/>
          <w:highlight w:val="none"/>
        </w:rPr>
      </w:pPr>
      <w:r>
        <w:rPr>
          <w:rFonts w:hint="eastAsia" w:ascii="黑体" w:hAnsi="Arial" w:eastAsia="黑体"/>
          <w:color w:val="auto"/>
          <w:sz w:val="32"/>
          <w:szCs w:val="21"/>
          <w:highlight w:val="none"/>
        </w:rPr>
        <w:br w:type="page"/>
      </w:r>
    </w:p>
    <w:bookmarkEnd w:id="135"/>
    <w:p w14:paraId="6B14D30E">
      <w:pPr>
        <w:jc w:val="center"/>
        <w:rPr>
          <w:rFonts w:ascii="黑体" w:hAnsi="黑体" w:eastAsia="黑体"/>
          <w:b/>
          <w:color w:val="auto"/>
          <w:sz w:val="32"/>
          <w:szCs w:val="32"/>
          <w:highlight w:val="none"/>
        </w:rPr>
      </w:pPr>
      <w:bookmarkStart w:id="136" w:name="_Hlt26955054"/>
      <w:bookmarkEnd w:id="136"/>
      <w:r>
        <w:rPr>
          <w:rFonts w:hint="eastAsia" w:ascii="黑体" w:hAnsi="黑体" w:eastAsia="黑体"/>
          <w:b/>
          <w:color w:val="auto"/>
          <w:sz w:val="32"/>
          <w:szCs w:val="32"/>
          <w:highlight w:val="none"/>
        </w:rPr>
        <w:t>十四、商务要求响应及偏离表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054"/>
        <w:gridCol w:w="2852"/>
        <w:gridCol w:w="1308"/>
        <w:gridCol w:w="1173"/>
      </w:tblGrid>
      <w:tr w14:paraId="43A9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82" w:type="dxa"/>
            <w:vAlign w:val="center"/>
          </w:tcPr>
          <w:p w14:paraId="092A12D3">
            <w:pPr>
              <w:jc w:val="center"/>
              <w:rPr>
                <w:rFonts w:ascii="宋体" w:hAnsi="宋体"/>
                <w:color w:val="auto"/>
                <w:sz w:val="24"/>
                <w:szCs w:val="24"/>
                <w:highlight w:val="none"/>
              </w:rPr>
            </w:pPr>
            <w:bookmarkStart w:id="137" w:name="_Hlt26671372"/>
            <w:bookmarkEnd w:id="137"/>
            <w:bookmarkStart w:id="138" w:name="_Hlt24879081"/>
            <w:bookmarkEnd w:id="138"/>
            <w:bookmarkStart w:id="139" w:name="_Hlt26609391"/>
            <w:bookmarkEnd w:id="139"/>
            <w:bookmarkStart w:id="140" w:name="_Hlt26580838"/>
            <w:bookmarkEnd w:id="140"/>
            <w:bookmarkStart w:id="141" w:name="_Hlt26782999"/>
            <w:bookmarkEnd w:id="141"/>
            <w:bookmarkStart w:id="142" w:name="_Hlt26671343"/>
            <w:bookmarkEnd w:id="142"/>
            <w:bookmarkStart w:id="143" w:name="_Hlt26955064"/>
            <w:bookmarkEnd w:id="143"/>
            <w:bookmarkStart w:id="144" w:name="_Hlt26955056"/>
            <w:bookmarkEnd w:id="144"/>
            <w:r>
              <w:rPr>
                <w:rFonts w:hint="eastAsia" w:ascii="宋体" w:hAnsi="宋体"/>
                <w:color w:val="auto"/>
                <w:sz w:val="24"/>
                <w:szCs w:val="24"/>
                <w:highlight w:val="none"/>
              </w:rPr>
              <w:t>序号</w:t>
            </w:r>
          </w:p>
        </w:tc>
        <w:tc>
          <w:tcPr>
            <w:tcW w:w="3054" w:type="dxa"/>
            <w:vAlign w:val="center"/>
          </w:tcPr>
          <w:p w14:paraId="27900CE1">
            <w:pPr>
              <w:jc w:val="center"/>
              <w:rPr>
                <w:rFonts w:ascii="宋体" w:hAnsi="宋体"/>
                <w:color w:val="auto"/>
                <w:sz w:val="24"/>
                <w:szCs w:val="24"/>
                <w:highlight w:val="none"/>
              </w:rPr>
            </w:pPr>
            <w:r>
              <w:rPr>
                <w:rFonts w:hint="eastAsia" w:ascii="宋体" w:hAnsi="宋体"/>
                <w:color w:val="auto"/>
                <w:sz w:val="24"/>
                <w:szCs w:val="24"/>
                <w:highlight w:val="none"/>
              </w:rPr>
              <w:t>磋商文件要求</w:t>
            </w:r>
          </w:p>
        </w:tc>
        <w:tc>
          <w:tcPr>
            <w:tcW w:w="2852" w:type="dxa"/>
            <w:vAlign w:val="center"/>
          </w:tcPr>
          <w:p w14:paraId="3BC5866A">
            <w:pPr>
              <w:jc w:val="center"/>
              <w:rPr>
                <w:rFonts w:ascii="宋体" w:hAnsi="宋体"/>
                <w:color w:val="auto"/>
                <w:sz w:val="24"/>
                <w:szCs w:val="24"/>
                <w:highlight w:val="none"/>
              </w:rPr>
            </w:pPr>
            <w:r>
              <w:rPr>
                <w:rFonts w:hint="eastAsia" w:ascii="宋体" w:hAnsi="宋体"/>
                <w:color w:val="auto"/>
                <w:sz w:val="24"/>
                <w:szCs w:val="24"/>
                <w:highlight w:val="none"/>
              </w:rPr>
              <w:t>响应情况</w:t>
            </w:r>
          </w:p>
        </w:tc>
        <w:tc>
          <w:tcPr>
            <w:tcW w:w="1308" w:type="dxa"/>
            <w:vAlign w:val="center"/>
          </w:tcPr>
          <w:p w14:paraId="18514D25">
            <w:pPr>
              <w:jc w:val="center"/>
              <w:rPr>
                <w:rFonts w:ascii="宋体" w:hAnsi="宋体"/>
                <w:color w:val="auto"/>
                <w:sz w:val="24"/>
                <w:szCs w:val="24"/>
                <w:highlight w:val="none"/>
              </w:rPr>
            </w:pPr>
            <w:r>
              <w:rPr>
                <w:rFonts w:hint="eastAsia" w:ascii="宋体" w:hAnsi="宋体"/>
                <w:color w:val="auto"/>
                <w:sz w:val="24"/>
                <w:szCs w:val="24"/>
                <w:highlight w:val="none"/>
              </w:rPr>
              <w:t>超出、符合或偏离</w:t>
            </w:r>
          </w:p>
        </w:tc>
        <w:tc>
          <w:tcPr>
            <w:tcW w:w="1173" w:type="dxa"/>
            <w:vAlign w:val="center"/>
          </w:tcPr>
          <w:p w14:paraId="40265150">
            <w:pPr>
              <w:jc w:val="center"/>
              <w:rPr>
                <w:rFonts w:ascii="宋体" w:hAnsi="宋体"/>
                <w:color w:val="auto"/>
                <w:sz w:val="24"/>
                <w:szCs w:val="24"/>
                <w:highlight w:val="none"/>
              </w:rPr>
            </w:pPr>
            <w:r>
              <w:rPr>
                <w:rFonts w:hint="eastAsia" w:ascii="宋体" w:hAnsi="宋体"/>
                <w:color w:val="auto"/>
                <w:sz w:val="24"/>
                <w:szCs w:val="24"/>
                <w:highlight w:val="none"/>
              </w:rPr>
              <w:t>证明</w:t>
            </w:r>
          </w:p>
          <w:p w14:paraId="066795E0">
            <w:pPr>
              <w:jc w:val="center"/>
              <w:rPr>
                <w:rFonts w:ascii="宋体" w:hAnsi="宋体"/>
                <w:color w:val="auto"/>
                <w:sz w:val="24"/>
                <w:szCs w:val="24"/>
                <w:highlight w:val="none"/>
              </w:rPr>
            </w:pPr>
            <w:r>
              <w:rPr>
                <w:rFonts w:hint="eastAsia" w:ascii="宋体" w:hAnsi="宋体"/>
                <w:color w:val="auto"/>
                <w:sz w:val="24"/>
                <w:szCs w:val="24"/>
                <w:highlight w:val="none"/>
              </w:rPr>
              <w:t>材料</w:t>
            </w:r>
          </w:p>
        </w:tc>
      </w:tr>
      <w:tr w14:paraId="3CA9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A8C74B5">
            <w:pP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3054" w:type="dxa"/>
            <w:vAlign w:val="center"/>
          </w:tcPr>
          <w:p w14:paraId="63D90D6F">
            <w:pPr>
              <w:jc w:val="center"/>
              <w:rPr>
                <w:rFonts w:ascii="宋体" w:hAnsi="宋体"/>
                <w:color w:val="auto"/>
                <w:sz w:val="24"/>
                <w:szCs w:val="24"/>
                <w:highlight w:val="none"/>
              </w:rPr>
            </w:pPr>
            <w:r>
              <w:rPr>
                <w:rFonts w:hint="eastAsia" w:ascii="宋体" w:hAnsi="宋体"/>
                <w:color w:val="auto"/>
                <w:sz w:val="24"/>
                <w:szCs w:val="24"/>
                <w:highlight w:val="none"/>
              </w:rPr>
              <w:t>工期</w:t>
            </w:r>
          </w:p>
        </w:tc>
        <w:tc>
          <w:tcPr>
            <w:tcW w:w="2852" w:type="dxa"/>
            <w:vAlign w:val="center"/>
          </w:tcPr>
          <w:p w14:paraId="21DF5679">
            <w:pPr>
              <w:jc w:val="center"/>
              <w:rPr>
                <w:rFonts w:ascii="宋体" w:hAnsi="宋体"/>
                <w:color w:val="auto"/>
                <w:sz w:val="24"/>
                <w:szCs w:val="24"/>
                <w:highlight w:val="none"/>
              </w:rPr>
            </w:pPr>
          </w:p>
        </w:tc>
        <w:tc>
          <w:tcPr>
            <w:tcW w:w="1308" w:type="dxa"/>
            <w:vAlign w:val="center"/>
          </w:tcPr>
          <w:p w14:paraId="0C28D39A">
            <w:pPr>
              <w:jc w:val="center"/>
              <w:rPr>
                <w:rFonts w:ascii="宋体" w:hAnsi="宋体"/>
                <w:color w:val="auto"/>
                <w:sz w:val="24"/>
                <w:szCs w:val="24"/>
                <w:highlight w:val="none"/>
              </w:rPr>
            </w:pPr>
          </w:p>
        </w:tc>
        <w:tc>
          <w:tcPr>
            <w:tcW w:w="1173" w:type="dxa"/>
            <w:vAlign w:val="center"/>
          </w:tcPr>
          <w:p w14:paraId="194CFF35">
            <w:pPr>
              <w:jc w:val="center"/>
              <w:rPr>
                <w:rFonts w:ascii="宋体" w:hAnsi="宋体"/>
                <w:color w:val="auto"/>
                <w:sz w:val="24"/>
                <w:szCs w:val="24"/>
                <w:highlight w:val="none"/>
              </w:rPr>
            </w:pPr>
          </w:p>
        </w:tc>
      </w:tr>
      <w:tr w14:paraId="3F5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609158FE">
            <w:pPr>
              <w:jc w:val="center"/>
              <w:rPr>
                <w:rFonts w:ascii="宋体" w:hAnsi="宋体"/>
                <w:color w:val="auto"/>
                <w:sz w:val="24"/>
                <w:szCs w:val="24"/>
                <w:highlight w:val="none"/>
              </w:rPr>
            </w:pPr>
            <w:r>
              <w:rPr>
                <w:rFonts w:hint="eastAsia" w:ascii="宋体" w:hAnsi="宋体"/>
                <w:color w:val="auto"/>
                <w:sz w:val="24"/>
                <w:szCs w:val="24"/>
                <w:highlight w:val="none"/>
              </w:rPr>
              <w:t>2</w:t>
            </w:r>
          </w:p>
        </w:tc>
        <w:tc>
          <w:tcPr>
            <w:tcW w:w="3054" w:type="dxa"/>
            <w:vAlign w:val="center"/>
          </w:tcPr>
          <w:p w14:paraId="7BC70602">
            <w:pPr>
              <w:jc w:val="center"/>
              <w:rPr>
                <w:rFonts w:ascii="宋体" w:hAnsi="宋体"/>
                <w:color w:val="auto"/>
                <w:sz w:val="24"/>
                <w:szCs w:val="24"/>
                <w:highlight w:val="none"/>
              </w:rPr>
            </w:pPr>
            <w:r>
              <w:rPr>
                <w:rFonts w:hint="eastAsia" w:ascii="宋体" w:hAnsi="宋体"/>
                <w:color w:val="auto"/>
                <w:sz w:val="24"/>
                <w:szCs w:val="24"/>
                <w:highlight w:val="none"/>
              </w:rPr>
              <w:t>地点</w:t>
            </w:r>
          </w:p>
        </w:tc>
        <w:tc>
          <w:tcPr>
            <w:tcW w:w="2852" w:type="dxa"/>
            <w:vAlign w:val="center"/>
          </w:tcPr>
          <w:p w14:paraId="63D53DFC">
            <w:pPr>
              <w:jc w:val="center"/>
              <w:rPr>
                <w:rFonts w:ascii="宋体" w:hAnsi="宋体"/>
                <w:color w:val="auto"/>
                <w:sz w:val="24"/>
                <w:szCs w:val="24"/>
                <w:highlight w:val="none"/>
              </w:rPr>
            </w:pPr>
          </w:p>
        </w:tc>
        <w:tc>
          <w:tcPr>
            <w:tcW w:w="1308" w:type="dxa"/>
            <w:vAlign w:val="center"/>
          </w:tcPr>
          <w:p w14:paraId="1D0EA5E3">
            <w:pPr>
              <w:jc w:val="center"/>
              <w:rPr>
                <w:rFonts w:ascii="宋体" w:hAnsi="宋体"/>
                <w:color w:val="auto"/>
                <w:sz w:val="24"/>
                <w:szCs w:val="24"/>
                <w:highlight w:val="none"/>
              </w:rPr>
            </w:pPr>
          </w:p>
        </w:tc>
        <w:tc>
          <w:tcPr>
            <w:tcW w:w="1173" w:type="dxa"/>
            <w:vAlign w:val="center"/>
          </w:tcPr>
          <w:p w14:paraId="6EEE3083">
            <w:pPr>
              <w:jc w:val="center"/>
              <w:rPr>
                <w:rFonts w:ascii="宋体" w:hAnsi="宋体"/>
                <w:color w:val="auto"/>
                <w:sz w:val="24"/>
                <w:szCs w:val="24"/>
                <w:highlight w:val="none"/>
              </w:rPr>
            </w:pPr>
          </w:p>
        </w:tc>
      </w:tr>
      <w:tr w14:paraId="2352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B03229E">
            <w:pPr>
              <w:jc w:val="center"/>
              <w:rPr>
                <w:rFonts w:ascii="宋体" w:hAnsi="宋体"/>
                <w:color w:val="auto"/>
                <w:sz w:val="24"/>
                <w:szCs w:val="24"/>
                <w:highlight w:val="none"/>
              </w:rPr>
            </w:pPr>
            <w:r>
              <w:rPr>
                <w:rFonts w:hint="eastAsia" w:ascii="宋体" w:hAnsi="宋体"/>
                <w:color w:val="auto"/>
                <w:sz w:val="24"/>
                <w:szCs w:val="24"/>
                <w:highlight w:val="none"/>
              </w:rPr>
              <w:t>3</w:t>
            </w:r>
          </w:p>
        </w:tc>
        <w:tc>
          <w:tcPr>
            <w:tcW w:w="3054" w:type="dxa"/>
            <w:vAlign w:val="center"/>
          </w:tcPr>
          <w:p w14:paraId="3BAB3308">
            <w:pPr>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2852" w:type="dxa"/>
            <w:vAlign w:val="center"/>
          </w:tcPr>
          <w:p w14:paraId="7D8481E7">
            <w:pPr>
              <w:jc w:val="center"/>
              <w:rPr>
                <w:rFonts w:ascii="宋体" w:hAnsi="宋体"/>
                <w:color w:val="auto"/>
                <w:sz w:val="24"/>
                <w:szCs w:val="24"/>
                <w:highlight w:val="none"/>
              </w:rPr>
            </w:pPr>
          </w:p>
        </w:tc>
        <w:tc>
          <w:tcPr>
            <w:tcW w:w="1308" w:type="dxa"/>
            <w:vAlign w:val="center"/>
          </w:tcPr>
          <w:p w14:paraId="49C93E44">
            <w:pPr>
              <w:jc w:val="center"/>
              <w:rPr>
                <w:rFonts w:ascii="宋体" w:hAnsi="宋体"/>
                <w:color w:val="auto"/>
                <w:sz w:val="24"/>
                <w:szCs w:val="24"/>
                <w:highlight w:val="none"/>
              </w:rPr>
            </w:pPr>
          </w:p>
        </w:tc>
        <w:tc>
          <w:tcPr>
            <w:tcW w:w="1173" w:type="dxa"/>
            <w:vAlign w:val="center"/>
          </w:tcPr>
          <w:p w14:paraId="172C7BF9">
            <w:pPr>
              <w:jc w:val="center"/>
              <w:rPr>
                <w:rFonts w:ascii="宋体" w:hAnsi="宋体"/>
                <w:color w:val="auto"/>
                <w:sz w:val="24"/>
                <w:szCs w:val="24"/>
                <w:highlight w:val="none"/>
              </w:rPr>
            </w:pPr>
          </w:p>
        </w:tc>
      </w:tr>
      <w:tr w14:paraId="424C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5279F673">
            <w:pPr>
              <w:jc w:val="center"/>
              <w:rPr>
                <w:rFonts w:ascii="宋体" w:hAnsi="宋体"/>
                <w:color w:val="auto"/>
                <w:sz w:val="24"/>
                <w:szCs w:val="24"/>
                <w:highlight w:val="none"/>
              </w:rPr>
            </w:pPr>
            <w:r>
              <w:rPr>
                <w:rFonts w:hint="eastAsia" w:ascii="宋体" w:hAnsi="宋体"/>
                <w:color w:val="auto"/>
                <w:sz w:val="24"/>
                <w:szCs w:val="24"/>
                <w:highlight w:val="none"/>
              </w:rPr>
              <w:t>4</w:t>
            </w:r>
          </w:p>
        </w:tc>
        <w:tc>
          <w:tcPr>
            <w:tcW w:w="3054" w:type="dxa"/>
            <w:vAlign w:val="center"/>
          </w:tcPr>
          <w:p w14:paraId="5BA50B8C">
            <w:pPr>
              <w:jc w:val="center"/>
              <w:rPr>
                <w:rFonts w:ascii="宋体" w:hAnsi="宋体"/>
                <w:color w:val="auto"/>
                <w:sz w:val="24"/>
                <w:szCs w:val="24"/>
                <w:highlight w:val="none"/>
              </w:rPr>
            </w:pPr>
            <w:r>
              <w:rPr>
                <w:rFonts w:hint="eastAsia" w:ascii="宋体" w:hAnsi="宋体"/>
                <w:color w:val="auto"/>
                <w:sz w:val="24"/>
                <w:szCs w:val="24"/>
                <w:highlight w:val="none"/>
              </w:rPr>
              <w:t>其他</w:t>
            </w:r>
          </w:p>
        </w:tc>
        <w:tc>
          <w:tcPr>
            <w:tcW w:w="2852" w:type="dxa"/>
            <w:vAlign w:val="center"/>
          </w:tcPr>
          <w:p w14:paraId="1C8DC2EF">
            <w:pPr>
              <w:jc w:val="center"/>
              <w:rPr>
                <w:rFonts w:ascii="宋体" w:hAnsi="宋体"/>
                <w:color w:val="auto"/>
                <w:sz w:val="24"/>
                <w:szCs w:val="24"/>
                <w:highlight w:val="none"/>
              </w:rPr>
            </w:pPr>
          </w:p>
        </w:tc>
        <w:tc>
          <w:tcPr>
            <w:tcW w:w="1308" w:type="dxa"/>
            <w:vAlign w:val="center"/>
          </w:tcPr>
          <w:p w14:paraId="46BA9178">
            <w:pPr>
              <w:jc w:val="center"/>
              <w:rPr>
                <w:rFonts w:ascii="宋体" w:hAnsi="宋体"/>
                <w:color w:val="auto"/>
                <w:sz w:val="24"/>
                <w:szCs w:val="24"/>
                <w:highlight w:val="none"/>
              </w:rPr>
            </w:pPr>
          </w:p>
        </w:tc>
        <w:tc>
          <w:tcPr>
            <w:tcW w:w="1173" w:type="dxa"/>
            <w:vAlign w:val="center"/>
          </w:tcPr>
          <w:p w14:paraId="63E2AB74">
            <w:pPr>
              <w:jc w:val="center"/>
              <w:rPr>
                <w:rFonts w:ascii="宋体" w:hAnsi="宋体"/>
                <w:color w:val="auto"/>
                <w:sz w:val="24"/>
                <w:szCs w:val="24"/>
                <w:highlight w:val="none"/>
              </w:rPr>
            </w:pPr>
          </w:p>
        </w:tc>
      </w:tr>
      <w:tr w14:paraId="46F8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C70134D">
            <w:pPr>
              <w:jc w:val="center"/>
              <w:rPr>
                <w:rFonts w:ascii="宋体" w:hAnsi="宋体"/>
                <w:color w:val="auto"/>
                <w:sz w:val="24"/>
                <w:szCs w:val="24"/>
                <w:highlight w:val="none"/>
              </w:rPr>
            </w:pPr>
          </w:p>
        </w:tc>
        <w:tc>
          <w:tcPr>
            <w:tcW w:w="3054" w:type="dxa"/>
            <w:vAlign w:val="center"/>
          </w:tcPr>
          <w:p w14:paraId="330849ED">
            <w:pPr>
              <w:jc w:val="center"/>
              <w:rPr>
                <w:rFonts w:ascii="宋体" w:hAnsi="宋体"/>
                <w:color w:val="auto"/>
                <w:sz w:val="24"/>
                <w:szCs w:val="24"/>
                <w:highlight w:val="none"/>
              </w:rPr>
            </w:pPr>
          </w:p>
        </w:tc>
        <w:tc>
          <w:tcPr>
            <w:tcW w:w="2852" w:type="dxa"/>
            <w:vAlign w:val="center"/>
          </w:tcPr>
          <w:p w14:paraId="4D444C06">
            <w:pPr>
              <w:jc w:val="center"/>
              <w:rPr>
                <w:rFonts w:ascii="宋体" w:hAnsi="宋体"/>
                <w:color w:val="auto"/>
                <w:sz w:val="24"/>
                <w:szCs w:val="24"/>
                <w:highlight w:val="none"/>
              </w:rPr>
            </w:pPr>
          </w:p>
        </w:tc>
        <w:tc>
          <w:tcPr>
            <w:tcW w:w="1308" w:type="dxa"/>
            <w:vAlign w:val="center"/>
          </w:tcPr>
          <w:p w14:paraId="154C40DE">
            <w:pPr>
              <w:jc w:val="center"/>
              <w:rPr>
                <w:rFonts w:ascii="宋体" w:hAnsi="宋体"/>
                <w:color w:val="auto"/>
                <w:sz w:val="24"/>
                <w:szCs w:val="24"/>
                <w:highlight w:val="none"/>
              </w:rPr>
            </w:pPr>
          </w:p>
        </w:tc>
        <w:tc>
          <w:tcPr>
            <w:tcW w:w="1173" w:type="dxa"/>
            <w:vAlign w:val="center"/>
          </w:tcPr>
          <w:p w14:paraId="30D3AB2C">
            <w:pPr>
              <w:jc w:val="center"/>
              <w:rPr>
                <w:rFonts w:ascii="宋体" w:hAnsi="宋体"/>
                <w:color w:val="auto"/>
                <w:sz w:val="24"/>
                <w:szCs w:val="24"/>
                <w:highlight w:val="none"/>
              </w:rPr>
            </w:pPr>
          </w:p>
        </w:tc>
      </w:tr>
      <w:tr w14:paraId="57B3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24CFB0E0">
            <w:pPr>
              <w:jc w:val="center"/>
              <w:rPr>
                <w:rFonts w:ascii="宋体" w:hAnsi="宋体"/>
                <w:color w:val="auto"/>
                <w:sz w:val="24"/>
                <w:szCs w:val="24"/>
                <w:highlight w:val="none"/>
              </w:rPr>
            </w:pPr>
          </w:p>
        </w:tc>
        <w:tc>
          <w:tcPr>
            <w:tcW w:w="3054" w:type="dxa"/>
            <w:vAlign w:val="center"/>
          </w:tcPr>
          <w:p w14:paraId="2BEEAFF6">
            <w:pPr>
              <w:jc w:val="center"/>
              <w:rPr>
                <w:rFonts w:ascii="宋体" w:hAnsi="宋体"/>
                <w:color w:val="auto"/>
                <w:sz w:val="24"/>
                <w:szCs w:val="24"/>
                <w:highlight w:val="none"/>
              </w:rPr>
            </w:pPr>
          </w:p>
        </w:tc>
        <w:tc>
          <w:tcPr>
            <w:tcW w:w="2852" w:type="dxa"/>
            <w:vAlign w:val="center"/>
          </w:tcPr>
          <w:p w14:paraId="2157CB2F">
            <w:pPr>
              <w:jc w:val="center"/>
              <w:rPr>
                <w:rFonts w:ascii="宋体" w:hAnsi="宋体"/>
                <w:color w:val="auto"/>
                <w:sz w:val="24"/>
                <w:szCs w:val="24"/>
                <w:highlight w:val="none"/>
              </w:rPr>
            </w:pPr>
          </w:p>
        </w:tc>
        <w:tc>
          <w:tcPr>
            <w:tcW w:w="1308" w:type="dxa"/>
            <w:vAlign w:val="center"/>
          </w:tcPr>
          <w:p w14:paraId="4F892A16">
            <w:pPr>
              <w:jc w:val="center"/>
              <w:rPr>
                <w:rFonts w:ascii="宋体" w:hAnsi="宋体"/>
                <w:color w:val="auto"/>
                <w:sz w:val="24"/>
                <w:szCs w:val="24"/>
                <w:highlight w:val="none"/>
              </w:rPr>
            </w:pPr>
          </w:p>
        </w:tc>
        <w:tc>
          <w:tcPr>
            <w:tcW w:w="1173" w:type="dxa"/>
            <w:vAlign w:val="center"/>
          </w:tcPr>
          <w:p w14:paraId="3C17432A">
            <w:pPr>
              <w:jc w:val="center"/>
              <w:rPr>
                <w:rFonts w:ascii="宋体" w:hAnsi="宋体"/>
                <w:color w:val="auto"/>
                <w:sz w:val="24"/>
                <w:szCs w:val="24"/>
                <w:highlight w:val="none"/>
              </w:rPr>
            </w:pPr>
          </w:p>
        </w:tc>
      </w:tr>
      <w:tr w14:paraId="78D5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341774A4">
            <w:pPr>
              <w:jc w:val="center"/>
              <w:rPr>
                <w:rFonts w:ascii="宋体" w:hAnsi="宋体"/>
                <w:color w:val="auto"/>
                <w:sz w:val="24"/>
                <w:szCs w:val="24"/>
                <w:highlight w:val="none"/>
              </w:rPr>
            </w:pPr>
          </w:p>
        </w:tc>
        <w:tc>
          <w:tcPr>
            <w:tcW w:w="3054" w:type="dxa"/>
            <w:vAlign w:val="center"/>
          </w:tcPr>
          <w:p w14:paraId="04A0EC8F">
            <w:pPr>
              <w:jc w:val="center"/>
              <w:rPr>
                <w:rFonts w:ascii="宋体" w:hAnsi="宋体"/>
                <w:color w:val="auto"/>
                <w:sz w:val="24"/>
                <w:szCs w:val="24"/>
                <w:highlight w:val="none"/>
              </w:rPr>
            </w:pPr>
          </w:p>
        </w:tc>
        <w:tc>
          <w:tcPr>
            <w:tcW w:w="2852" w:type="dxa"/>
            <w:vAlign w:val="center"/>
          </w:tcPr>
          <w:p w14:paraId="6CF839FB">
            <w:pPr>
              <w:jc w:val="center"/>
              <w:rPr>
                <w:rFonts w:ascii="宋体" w:hAnsi="宋体"/>
                <w:color w:val="auto"/>
                <w:sz w:val="24"/>
                <w:szCs w:val="24"/>
                <w:highlight w:val="none"/>
              </w:rPr>
            </w:pPr>
          </w:p>
        </w:tc>
        <w:tc>
          <w:tcPr>
            <w:tcW w:w="1308" w:type="dxa"/>
            <w:vAlign w:val="center"/>
          </w:tcPr>
          <w:p w14:paraId="353444D6">
            <w:pPr>
              <w:jc w:val="center"/>
              <w:rPr>
                <w:rFonts w:ascii="宋体" w:hAnsi="宋体"/>
                <w:color w:val="auto"/>
                <w:sz w:val="24"/>
                <w:szCs w:val="24"/>
                <w:highlight w:val="none"/>
              </w:rPr>
            </w:pPr>
          </w:p>
        </w:tc>
        <w:tc>
          <w:tcPr>
            <w:tcW w:w="1173" w:type="dxa"/>
            <w:vAlign w:val="center"/>
          </w:tcPr>
          <w:p w14:paraId="0A4C5088">
            <w:pPr>
              <w:jc w:val="center"/>
              <w:rPr>
                <w:rFonts w:ascii="宋体" w:hAnsi="宋体"/>
                <w:color w:val="auto"/>
                <w:sz w:val="24"/>
                <w:szCs w:val="24"/>
                <w:highlight w:val="none"/>
              </w:rPr>
            </w:pPr>
          </w:p>
        </w:tc>
      </w:tr>
      <w:tr w14:paraId="0D0F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782" w:type="dxa"/>
            <w:vAlign w:val="center"/>
          </w:tcPr>
          <w:p w14:paraId="0E9BC0CD">
            <w:pPr>
              <w:jc w:val="center"/>
              <w:rPr>
                <w:rFonts w:ascii="宋体" w:hAnsi="宋体"/>
                <w:color w:val="auto"/>
                <w:sz w:val="24"/>
                <w:szCs w:val="24"/>
                <w:highlight w:val="none"/>
              </w:rPr>
            </w:pPr>
          </w:p>
        </w:tc>
        <w:tc>
          <w:tcPr>
            <w:tcW w:w="3054" w:type="dxa"/>
            <w:vAlign w:val="center"/>
          </w:tcPr>
          <w:p w14:paraId="46FE8C7B">
            <w:pPr>
              <w:jc w:val="center"/>
              <w:rPr>
                <w:rFonts w:ascii="宋体" w:hAnsi="宋体"/>
                <w:color w:val="auto"/>
                <w:sz w:val="24"/>
                <w:szCs w:val="24"/>
                <w:highlight w:val="none"/>
              </w:rPr>
            </w:pPr>
            <w:r>
              <w:rPr>
                <w:rFonts w:ascii="宋体" w:hAnsi="宋体"/>
                <w:color w:val="auto"/>
                <w:sz w:val="24"/>
                <w:szCs w:val="24"/>
                <w:highlight w:val="none"/>
              </w:rPr>
              <w:t>……</w:t>
            </w:r>
          </w:p>
        </w:tc>
        <w:tc>
          <w:tcPr>
            <w:tcW w:w="2852" w:type="dxa"/>
            <w:vAlign w:val="center"/>
          </w:tcPr>
          <w:p w14:paraId="43EA3DA2">
            <w:pPr>
              <w:jc w:val="center"/>
              <w:rPr>
                <w:rFonts w:ascii="宋体" w:hAnsi="宋体"/>
                <w:color w:val="auto"/>
                <w:sz w:val="24"/>
                <w:szCs w:val="24"/>
                <w:highlight w:val="none"/>
              </w:rPr>
            </w:pPr>
          </w:p>
        </w:tc>
        <w:tc>
          <w:tcPr>
            <w:tcW w:w="1308" w:type="dxa"/>
            <w:vAlign w:val="center"/>
          </w:tcPr>
          <w:p w14:paraId="26129B28">
            <w:pPr>
              <w:jc w:val="center"/>
              <w:rPr>
                <w:rFonts w:ascii="宋体" w:hAnsi="宋体"/>
                <w:color w:val="auto"/>
                <w:sz w:val="24"/>
                <w:szCs w:val="24"/>
                <w:highlight w:val="none"/>
              </w:rPr>
            </w:pPr>
          </w:p>
        </w:tc>
        <w:tc>
          <w:tcPr>
            <w:tcW w:w="1173" w:type="dxa"/>
            <w:vAlign w:val="center"/>
          </w:tcPr>
          <w:p w14:paraId="5EC96BE2">
            <w:pPr>
              <w:jc w:val="center"/>
              <w:rPr>
                <w:rFonts w:ascii="宋体" w:hAnsi="宋体"/>
                <w:color w:val="auto"/>
                <w:sz w:val="24"/>
                <w:szCs w:val="24"/>
                <w:highlight w:val="none"/>
              </w:rPr>
            </w:pPr>
          </w:p>
        </w:tc>
      </w:tr>
    </w:tbl>
    <w:p w14:paraId="0259ECDE">
      <w:pPr>
        <w:rPr>
          <w:rFonts w:ascii="宋体" w:hAnsi="宋体"/>
          <w:color w:val="auto"/>
          <w:sz w:val="24"/>
          <w:szCs w:val="24"/>
          <w:highlight w:val="none"/>
        </w:rPr>
      </w:pPr>
      <w:r>
        <w:rPr>
          <w:rFonts w:hint="eastAsia" w:ascii="宋体" w:hAnsi="宋体"/>
          <w:color w:val="auto"/>
          <w:sz w:val="24"/>
          <w:szCs w:val="24"/>
          <w:highlight w:val="none"/>
        </w:rPr>
        <w:t>注： 行数不够，可自行添加。</w:t>
      </w:r>
    </w:p>
    <w:p w14:paraId="17140F06">
      <w:pPr>
        <w:spacing w:line="480" w:lineRule="auto"/>
        <w:rPr>
          <w:rFonts w:ascii="宋体" w:hAnsi="宋体"/>
          <w:color w:val="auto"/>
          <w:sz w:val="24"/>
          <w:szCs w:val="21"/>
          <w:highlight w:val="none"/>
        </w:rPr>
      </w:pPr>
    </w:p>
    <w:p w14:paraId="7EDFED05">
      <w:pPr>
        <w:rPr>
          <w:color w:val="auto"/>
          <w:highlight w:val="none"/>
        </w:rPr>
      </w:pPr>
    </w:p>
    <w:p w14:paraId="6DE44E0E">
      <w:pPr>
        <w:pStyle w:val="59"/>
        <w:ind w:firstLine="0" w:firstLineChars="0"/>
        <w:rPr>
          <w:color w:val="auto"/>
          <w:highlight w:val="none"/>
        </w:rPr>
      </w:pPr>
    </w:p>
    <w:p w14:paraId="0A40EABF">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p>
    <w:p w14:paraId="7A5F28D1">
      <w:pPr>
        <w:pStyle w:val="61"/>
        <w:ind w:left="0" w:firstLine="0"/>
        <w:rPr>
          <w:color w:val="auto"/>
          <w:highlight w:val="none"/>
        </w:rPr>
      </w:pPr>
    </w:p>
    <w:p w14:paraId="1589F4F3">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十五、主要材料品牌表</w:t>
      </w:r>
    </w:p>
    <w:p w14:paraId="2F02A12D">
      <w:pPr>
        <w:jc w:val="left"/>
        <w:rPr>
          <w:rFonts w:ascii="宋体" w:hAnsi="宋体" w:cs="宋体"/>
          <w:bCs/>
          <w:color w:val="auto"/>
          <w:sz w:val="24"/>
          <w:szCs w:val="24"/>
          <w:highlight w:val="none"/>
        </w:rPr>
      </w:pPr>
      <w:r>
        <w:rPr>
          <w:rFonts w:hint="eastAsia" w:ascii="宋体" w:hAnsi="宋体" w:cs="宋体"/>
          <w:bCs/>
          <w:color w:val="auto"/>
          <w:sz w:val="24"/>
          <w:szCs w:val="24"/>
          <w:highlight w:val="none"/>
        </w:rPr>
        <w:t>项目名称：</w:t>
      </w:r>
    </w:p>
    <w:p w14:paraId="34252A7A">
      <w:pPr>
        <w:jc w:val="left"/>
        <w:rPr>
          <w:rFonts w:ascii="宋体" w:hAnsi="宋体" w:cs="宋体"/>
          <w:bCs/>
          <w:color w:val="auto"/>
          <w:sz w:val="24"/>
          <w:szCs w:val="24"/>
          <w:highlight w:val="none"/>
        </w:rPr>
      </w:pPr>
      <w:r>
        <w:rPr>
          <w:rFonts w:hint="eastAsia" w:ascii="宋体" w:hAnsi="宋体" w:cs="宋体"/>
          <w:bCs/>
          <w:color w:val="auto"/>
          <w:sz w:val="24"/>
          <w:szCs w:val="24"/>
          <w:highlight w:val="none"/>
        </w:rPr>
        <w:t>项目编号：</w:t>
      </w:r>
    </w:p>
    <w:p w14:paraId="345DDADD">
      <w:pPr>
        <w:jc w:val="left"/>
        <w:rPr>
          <w:rFonts w:ascii="黑体" w:hAnsi="黑体" w:eastAsia="黑体"/>
          <w:b/>
          <w:color w:val="auto"/>
          <w:sz w:val="32"/>
          <w:szCs w:val="32"/>
          <w:highlight w:val="none"/>
        </w:rPr>
      </w:pPr>
    </w:p>
    <w:p w14:paraId="0F6F444E">
      <w:pPr>
        <w:jc w:val="left"/>
        <w:rPr>
          <w:rFonts w:ascii="黑体" w:hAnsi="黑体" w:eastAsia="黑体"/>
          <w:b/>
          <w:color w:val="auto"/>
          <w:sz w:val="32"/>
          <w:szCs w:val="32"/>
          <w:highlight w:val="none"/>
        </w:rPr>
      </w:pPr>
    </w:p>
    <w:p w14:paraId="6BFF97DB">
      <w:pPr>
        <w:jc w:val="center"/>
        <w:rPr>
          <w:rFonts w:ascii="黑体" w:hAnsi="黑体" w:eastAsia="黑体"/>
          <w:b/>
          <w:color w:val="auto"/>
          <w:sz w:val="32"/>
          <w:szCs w:val="32"/>
          <w:highlight w:val="none"/>
        </w:rPr>
      </w:pPr>
    </w:p>
    <w:p w14:paraId="31013852">
      <w:pPr>
        <w:jc w:val="center"/>
        <w:rPr>
          <w:rFonts w:ascii="黑体" w:hAnsi="黑体" w:eastAsia="黑体"/>
          <w:b/>
          <w:color w:val="auto"/>
          <w:sz w:val="32"/>
          <w:szCs w:val="32"/>
          <w:highlight w:val="none"/>
        </w:rPr>
      </w:pPr>
    </w:p>
    <w:p w14:paraId="114AC2B5">
      <w:pPr>
        <w:jc w:val="center"/>
        <w:rPr>
          <w:rFonts w:ascii="黑体" w:hAnsi="黑体" w:eastAsia="黑体"/>
          <w:b/>
          <w:color w:val="auto"/>
          <w:sz w:val="32"/>
          <w:szCs w:val="32"/>
          <w:highlight w:val="none"/>
        </w:rPr>
      </w:pPr>
    </w:p>
    <w:p w14:paraId="357DC9D0">
      <w:pPr>
        <w:jc w:val="center"/>
        <w:rPr>
          <w:rFonts w:ascii="黑体" w:hAnsi="黑体" w:eastAsia="黑体"/>
          <w:b/>
          <w:color w:val="auto"/>
          <w:sz w:val="32"/>
          <w:szCs w:val="32"/>
          <w:highlight w:val="none"/>
        </w:rPr>
      </w:pPr>
    </w:p>
    <w:p w14:paraId="3808676C">
      <w:pPr>
        <w:jc w:val="center"/>
        <w:rPr>
          <w:rFonts w:ascii="黑体" w:hAnsi="黑体" w:eastAsia="黑体"/>
          <w:b/>
          <w:color w:val="auto"/>
          <w:sz w:val="32"/>
          <w:szCs w:val="32"/>
          <w:highlight w:val="none"/>
        </w:rPr>
      </w:pPr>
    </w:p>
    <w:p w14:paraId="050E222B">
      <w:pPr>
        <w:jc w:val="center"/>
        <w:rPr>
          <w:rFonts w:ascii="黑体" w:hAnsi="黑体" w:eastAsia="黑体"/>
          <w:b/>
          <w:color w:val="auto"/>
          <w:sz w:val="32"/>
          <w:szCs w:val="32"/>
          <w:highlight w:val="none"/>
        </w:rPr>
      </w:pPr>
    </w:p>
    <w:p w14:paraId="71C37C6E">
      <w:pPr>
        <w:jc w:val="center"/>
        <w:rPr>
          <w:rFonts w:ascii="黑体" w:hAnsi="黑体" w:eastAsia="黑体"/>
          <w:b/>
          <w:color w:val="auto"/>
          <w:sz w:val="32"/>
          <w:szCs w:val="32"/>
          <w:highlight w:val="none"/>
        </w:rPr>
      </w:pPr>
    </w:p>
    <w:p w14:paraId="0A7B7DE4">
      <w:pPr>
        <w:jc w:val="center"/>
        <w:rPr>
          <w:rFonts w:ascii="黑体" w:hAnsi="黑体" w:eastAsia="黑体"/>
          <w:b/>
          <w:color w:val="auto"/>
          <w:sz w:val="32"/>
          <w:szCs w:val="32"/>
          <w:highlight w:val="none"/>
        </w:rPr>
      </w:pPr>
    </w:p>
    <w:p w14:paraId="5E7B11C0">
      <w:pPr>
        <w:jc w:val="center"/>
        <w:rPr>
          <w:rFonts w:ascii="黑体" w:hAnsi="黑体" w:eastAsia="黑体"/>
          <w:b/>
          <w:color w:val="auto"/>
          <w:sz w:val="32"/>
          <w:szCs w:val="32"/>
          <w:highlight w:val="none"/>
        </w:rPr>
      </w:pPr>
    </w:p>
    <w:p w14:paraId="5908821F">
      <w:pPr>
        <w:jc w:val="center"/>
        <w:rPr>
          <w:rFonts w:ascii="黑体" w:hAnsi="黑体" w:eastAsia="黑体"/>
          <w:b/>
          <w:color w:val="auto"/>
          <w:sz w:val="32"/>
          <w:szCs w:val="32"/>
          <w:highlight w:val="none"/>
        </w:rPr>
      </w:pPr>
    </w:p>
    <w:p w14:paraId="3620B52F">
      <w:pPr>
        <w:jc w:val="center"/>
        <w:rPr>
          <w:rFonts w:ascii="黑体" w:hAnsi="黑体" w:eastAsia="黑体"/>
          <w:b/>
          <w:color w:val="auto"/>
          <w:sz w:val="32"/>
          <w:szCs w:val="32"/>
          <w:highlight w:val="none"/>
        </w:rPr>
      </w:pPr>
    </w:p>
    <w:p w14:paraId="40BFC725">
      <w:pPr>
        <w:jc w:val="center"/>
        <w:rPr>
          <w:rFonts w:ascii="黑体" w:hAnsi="黑体" w:eastAsia="黑体"/>
          <w:b/>
          <w:color w:val="auto"/>
          <w:sz w:val="32"/>
          <w:szCs w:val="32"/>
          <w:highlight w:val="none"/>
        </w:rPr>
      </w:pPr>
    </w:p>
    <w:p w14:paraId="2417BBD7">
      <w:pPr>
        <w:jc w:val="center"/>
        <w:rPr>
          <w:rFonts w:ascii="黑体" w:hAnsi="黑体" w:eastAsia="黑体"/>
          <w:b/>
          <w:color w:val="auto"/>
          <w:sz w:val="32"/>
          <w:szCs w:val="32"/>
          <w:highlight w:val="none"/>
        </w:rPr>
      </w:pPr>
    </w:p>
    <w:p w14:paraId="48F3ADB3">
      <w:pPr>
        <w:jc w:val="center"/>
        <w:rPr>
          <w:rFonts w:ascii="黑体" w:hAnsi="黑体" w:eastAsia="黑体"/>
          <w:b/>
          <w:color w:val="auto"/>
          <w:sz w:val="32"/>
          <w:szCs w:val="32"/>
          <w:highlight w:val="none"/>
        </w:rPr>
      </w:pPr>
    </w:p>
    <w:p w14:paraId="3B68804D">
      <w:pPr>
        <w:rPr>
          <w:rFonts w:ascii="黑体" w:hAnsi="黑体" w:eastAsia="黑体"/>
          <w:b/>
          <w:color w:val="auto"/>
          <w:sz w:val="32"/>
          <w:szCs w:val="32"/>
          <w:highlight w:val="none"/>
        </w:rPr>
      </w:pPr>
      <w:r>
        <w:rPr>
          <w:rFonts w:hint="eastAsia" w:ascii="黑体" w:hAnsi="黑体" w:eastAsia="黑体"/>
          <w:b/>
          <w:color w:val="auto"/>
          <w:sz w:val="32"/>
          <w:szCs w:val="32"/>
          <w:highlight w:val="none"/>
        </w:rPr>
        <w:br w:type="page"/>
      </w:r>
    </w:p>
    <w:p w14:paraId="285BBC0D">
      <w:pPr>
        <w:jc w:val="center"/>
        <w:rPr>
          <w:rFonts w:ascii="黑体" w:hAnsi="黑体" w:eastAsia="黑体"/>
          <w:b/>
          <w:color w:val="auto"/>
          <w:sz w:val="32"/>
          <w:szCs w:val="32"/>
          <w:highlight w:val="none"/>
        </w:rPr>
      </w:pPr>
    </w:p>
    <w:p w14:paraId="31528A0E">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十六、其他</w:t>
      </w:r>
    </w:p>
    <w:p w14:paraId="5B9A8E0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（方案及供应商认为有必要提供的声明和文件，如有自拟并自行添加）</w:t>
      </w:r>
    </w:p>
    <w:p w14:paraId="516CE0AC">
      <w:pPr>
        <w:pStyle w:val="63"/>
        <w:ind w:left="0" w:leftChars="0" w:firstLine="0" w:firstLineChars="0"/>
        <w:rPr>
          <w:rFonts w:hint="eastAsia" w:ascii="宋体" w:hAnsi="宋体" w:cs="宋体"/>
          <w:b/>
          <w:color w:val="auto"/>
          <w:sz w:val="24"/>
          <w:highlight w:val="none"/>
        </w:rPr>
      </w:pPr>
    </w:p>
    <w:sectPr>
      <w:footerReference r:id="rId6" w:type="default"/>
      <w:pgSz w:w="11906" w:h="16838"/>
      <w:pgMar w:top="1440" w:right="1417" w:bottom="1440" w:left="1417" w:header="1191" w:footer="992" w:gutter="0"/>
      <w:pgNumType w:fmt="numberInDash"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3B74A">
    <w:pPr>
      <w:pStyle w:val="19"/>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3B944">
    <w:pPr>
      <w:pStyle w:val="19"/>
      <w:tabs>
        <w:tab w:val="center" w:pos="4536"/>
        <w:tab w:val="clear" w:pos="4153"/>
      </w:tabs>
      <w:jc w:val="both"/>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F1D6">
    <w:pPr>
      <w:pStyle w:val="19"/>
      <w:tabs>
        <w:tab w:val="center" w:pos="4536"/>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posOffset>2679700</wp:posOffset>
              </wp:positionH>
              <wp:positionV relativeFrom="paragraph">
                <wp:posOffset>-6350</wp:posOffset>
              </wp:positionV>
              <wp:extent cx="247650" cy="131445"/>
              <wp:effectExtent l="0" t="0" r="0" b="0"/>
              <wp:wrapNone/>
              <wp:docPr id="2" name="文本框 2058"/>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a:effectLst/>
                    </wps:spPr>
                    <wps:txbx>
                      <w:txbxContent>
                        <w:p w14:paraId="4B734E8D">
                          <w:pPr>
                            <w:pStyle w:val="19"/>
                          </w:pPr>
                          <w:r>
                            <w:fldChar w:fldCharType="begin"/>
                          </w:r>
                          <w:r>
                            <w:instrText xml:space="preserve"> PAGE  \* MERGEFORMAT </w:instrText>
                          </w:r>
                          <w:r>
                            <w:fldChar w:fldCharType="separate"/>
                          </w:r>
                          <w:r>
                            <w:t>- 54 -</w:t>
                          </w:r>
                          <w:r>
                            <w:fldChar w:fldCharType="end"/>
                          </w:r>
                        </w:p>
                      </w:txbxContent>
                    </wps:txbx>
                    <wps:bodyPr wrap="none" lIns="0" tIns="0" rIns="0" bIns="0">
                      <a:spAutoFit/>
                    </wps:bodyPr>
                  </wps:wsp>
                </a:graphicData>
              </a:graphic>
            </wp:anchor>
          </w:drawing>
        </mc:Choice>
        <mc:Fallback>
          <w:pict>
            <v:shape id="文本框 2058" o:spid="_x0000_s1026" o:spt="202" type="#_x0000_t202" style="position:absolute;left:0pt;margin-left:211pt;margin-top:-0.5pt;height:10.35pt;width:19.5pt;mso-position-horizontal-relative:margin;mso-wrap-style:none;z-index:251659264;mso-width-relative:page;mso-height-relative:page;" filled="f" stroked="f" coordsize="21600,21600" o:gfxdata="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SINBdUAAAAJAQAADwAAAAAAAAABACAAAAAiAAAAZHJz&#10;L2Rvd25yZXYueG1sUEsBAhQAFAAAAAgAh07iQDZbrnPOAQAAnAMAAA4AAAAAAAAAAQAgAAAAJAEA&#10;AGRycy9lMm9Eb2MueG1sUEsFBgAAAAAGAAYAWQEAAGQFAAAAAA==&#10;">
              <v:fill on="f" focussize="0,0"/>
              <v:stroke on="f"/>
              <v:imagedata o:title=""/>
              <o:lock v:ext="edit" aspectratio="f"/>
              <v:textbox inset="0mm,0mm,0mm,0mm" style="mso-fit-shape-to-text:t;">
                <w:txbxContent>
                  <w:p w14:paraId="4B734E8D">
                    <w:pPr>
                      <w:pStyle w:val="19"/>
                    </w:pPr>
                    <w:r>
                      <w:fldChar w:fldCharType="begin"/>
                    </w:r>
                    <w:r>
                      <w:instrText xml:space="preserve"> PAGE  \* MERGEFORMAT </w:instrText>
                    </w:r>
                    <w:r>
                      <w:fldChar w:fldCharType="separate"/>
                    </w:r>
                    <w:r>
                      <w:t>- 54 -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C412">
    <w:pPr>
      <w:pStyle w:val="21"/>
      <w:ind w:firstLine="180" w:firstLineChars="100"/>
      <w:jc w:val="both"/>
      <w:rPr>
        <w:rFonts w:hint="eastAsia" w:eastAsia="宋体"/>
        <w:lang w:eastAsia="zh-CN"/>
      </w:rPr>
    </w:pPr>
    <w:r>
      <w:rPr>
        <w:rFonts w:hint="eastAsia" w:ascii="宋体" w:hAnsi="宋体" w:cs="宋体"/>
        <w:lang w:eastAsia="zh-CN"/>
      </w:rPr>
      <w:t>VCCGDLCS-2026263号</w:t>
    </w:r>
    <w:r>
      <w:rPr>
        <w:rFonts w:hint="eastAsia" w:ascii="宋体" w:hAnsi="宋体" w:cs="宋体"/>
        <w:lang w:val="en-US" w:eastAsia="zh-CN"/>
      </w:rPr>
      <w:t xml:space="preserve">                                                       </w:t>
    </w:r>
    <w:r>
      <w:rPr>
        <w:rFonts w:hint="eastAsia"/>
        <w:lang w:eastAsia="zh-CN"/>
      </w:rPr>
      <w:t>江苏唯诚建设咨询有限公司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5"/>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11033C00"/>
    <w:multiLevelType w:val="singleLevel"/>
    <w:tmpl w:val="11033C00"/>
    <w:lvl w:ilvl="0" w:tentative="0">
      <w:start w:val="1"/>
      <w:numFmt w:val="bullet"/>
      <w:pStyle w:val="13"/>
      <w:lvlText w:val=""/>
      <w:lvlJc w:val="left"/>
      <w:pPr>
        <w:tabs>
          <w:tab w:val="left" w:pos="780"/>
        </w:tabs>
        <w:ind w:left="780" w:hanging="360"/>
      </w:pPr>
      <w:rPr>
        <w:rFonts w:hint="default" w:ascii="Wingdings" w:hAnsi="Wingdings"/>
      </w:rPr>
    </w:lvl>
  </w:abstractNum>
  <w:abstractNum w:abstractNumId="2">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92"/>
      <w:isLgl/>
      <w:lvlText w:val="%1.%2"/>
      <w:lvlJc w:val="left"/>
      <w:pPr>
        <w:tabs>
          <w:tab w:val="left" w:pos="851"/>
        </w:tabs>
        <w:ind w:left="0" w:firstLine="0"/>
      </w:pPr>
    </w:lvl>
    <w:lvl w:ilvl="2" w:tentative="0">
      <w:start w:val="1"/>
      <w:numFmt w:val="decimal"/>
      <w:pStyle w:val="86"/>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3">
    <w:nsid w:val="52DF053B"/>
    <w:multiLevelType w:val="singleLevel"/>
    <w:tmpl w:val="52DF053B"/>
    <w:lvl w:ilvl="0" w:tentative="0">
      <w:start w:val="2"/>
      <w:numFmt w:val="chineseCounting"/>
      <w:suff w:val="nothing"/>
      <w:lvlText w:val="%1、"/>
      <w:lvlJc w:val="left"/>
      <w:rPr>
        <w:rFonts w:hint="eastAsia"/>
      </w:rPr>
    </w:lvl>
  </w:abstractNum>
  <w:abstractNum w:abstractNumId="4">
    <w:nsid w:val="5A4D868E"/>
    <w:multiLevelType w:val="singleLevel"/>
    <w:tmpl w:val="5A4D868E"/>
    <w:lvl w:ilvl="0" w:tentative="0">
      <w:start w:val="3"/>
      <w:numFmt w:val="chineseCounting"/>
      <w:suff w:val="nothing"/>
      <w:lvlText w:val="%1、"/>
      <w:lvlJc w:val="left"/>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YzZiNGZiNTE0ZjM0MDI5NDk1MzQzMzBmODgwMzUifQ=="/>
  </w:docVars>
  <w:rsids>
    <w:rsidRoot w:val="003D6ED5"/>
    <w:rsid w:val="00003582"/>
    <w:rsid w:val="000058E6"/>
    <w:rsid w:val="00013654"/>
    <w:rsid w:val="00027727"/>
    <w:rsid w:val="000308B7"/>
    <w:rsid w:val="00044430"/>
    <w:rsid w:val="00061825"/>
    <w:rsid w:val="00062384"/>
    <w:rsid w:val="00072D76"/>
    <w:rsid w:val="00076E0B"/>
    <w:rsid w:val="000942B7"/>
    <w:rsid w:val="00095538"/>
    <w:rsid w:val="000A002F"/>
    <w:rsid w:val="000A6FCA"/>
    <w:rsid w:val="000B2375"/>
    <w:rsid w:val="000B286F"/>
    <w:rsid w:val="000B44D3"/>
    <w:rsid w:val="000C2882"/>
    <w:rsid w:val="000C3DA7"/>
    <w:rsid w:val="000E198E"/>
    <w:rsid w:val="000E1FED"/>
    <w:rsid w:val="000E3FC3"/>
    <w:rsid w:val="000E4474"/>
    <w:rsid w:val="000E4D63"/>
    <w:rsid w:val="001032A1"/>
    <w:rsid w:val="00103897"/>
    <w:rsid w:val="00116ECE"/>
    <w:rsid w:val="00122D34"/>
    <w:rsid w:val="00135135"/>
    <w:rsid w:val="001406B1"/>
    <w:rsid w:val="0015004B"/>
    <w:rsid w:val="00175BD5"/>
    <w:rsid w:val="001A0DFD"/>
    <w:rsid w:val="001A0F32"/>
    <w:rsid w:val="001A450D"/>
    <w:rsid w:val="001A72F1"/>
    <w:rsid w:val="001C0B23"/>
    <w:rsid w:val="001E0949"/>
    <w:rsid w:val="001F7F7E"/>
    <w:rsid w:val="0020381C"/>
    <w:rsid w:val="00207C7F"/>
    <w:rsid w:val="002179D5"/>
    <w:rsid w:val="002205DA"/>
    <w:rsid w:val="0024360F"/>
    <w:rsid w:val="00247343"/>
    <w:rsid w:val="002520C8"/>
    <w:rsid w:val="0025453A"/>
    <w:rsid w:val="00260EFF"/>
    <w:rsid w:val="002644ED"/>
    <w:rsid w:val="002831B3"/>
    <w:rsid w:val="002858F6"/>
    <w:rsid w:val="00285B00"/>
    <w:rsid w:val="00292CBD"/>
    <w:rsid w:val="00296707"/>
    <w:rsid w:val="002B247F"/>
    <w:rsid w:val="002B6EA1"/>
    <w:rsid w:val="002E77D8"/>
    <w:rsid w:val="003042F5"/>
    <w:rsid w:val="00311A61"/>
    <w:rsid w:val="003139BF"/>
    <w:rsid w:val="00321D2B"/>
    <w:rsid w:val="00326A6D"/>
    <w:rsid w:val="00331F05"/>
    <w:rsid w:val="0033384F"/>
    <w:rsid w:val="0033757F"/>
    <w:rsid w:val="0034559A"/>
    <w:rsid w:val="003548C9"/>
    <w:rsid w:val="00357EFA"/>
    <w:rsid w:val="003651FB"/>
    <w:rsid w:val="00365D19"/>
    <w:rsid w:val="003731C7"/>
    <w:rsid w:val="00374E6A"/>
    <w:rsid w:val="00375CED"/>
    <w:rsid w:val="003A0997"/>
    <w:rsid w:val="003A795C"/>
    <w:rsid w:val="003B45AC"/>
    <w:rsid w:val="003D21B2"/>
    <w:rsid w:val="003D2A1B"/>
    <w:rsid w:val="003D6ED5"/>
    <w:rsid w:val="003F1847"/>
    <w:rsid w:val="003F2AC7"/>
    <w:rsid w:val="00417EF4"/>
    <w:rsid w:val="00451A4C"/>
    <w:rsid w:val="00454509"/>
    <w:rsid w:val="00456A14"/>
    <w:rsid w:val="00457304"/>
    <w:rsid w:val="00460A02"/>
    <w:rsid w:val="00484E5D"/>
    <w:rsid w:val="004B1D9A"/>
    <w:rsid w:val="004C64F3"/>
    <w:rsid w:val="004D52D8"/>
    <w:rsid w:val="004E0863"/>
    <w:rsid w:val="004E7022"/>
    <w:rsid w:val="004F1FD1"/>
    <w:rsid w:val="004F7264"/>
    <w:rsid w:val="0050076F"/>
    <w:rsid w:val="00500E35"/>
    <w:rsid w:val="00502537"/>
    <w:rsid w:val="0051739D"/>
    <w:rsid w:val="00520CC3"/>
    <w:rsid w:val="005319D6"/>
    <w:rsid w:val="00536408"/>
    <w:rsid w:val="005574FC"/>
    <w:rsid w:val="0056405A"/>
    <w:rsid w:val="00564A20"/>
    <w:rsid w:val="005714C6"/>
    <w:rsid w:val="005918DA"/>
    <w:rsid w:val="005939EC"/>
    <w:rsid w:val="00594D16"/>
    <w:rsid w:val="00596E5D"/>
    <w:rsid w:val="005A3D55"/>
    <w:rsid w:val="005C088A"/>
    <w:rsid w:val="005C3BD3"/>
    <w:rsid w:val="005C4E76"/>
    <w:rsid w:val="005D4603"/>
    <w:rsid w:val="005D58C8"/>
    <w:rsid w:val="005E0802"/>
    <w:rsid w:val="005E0AA6"/>
    <w:rsid w:val="005E3D95"/>
    <w:rsid w:val="005F0881"/>
    <w:rsid w:val="005F0FA2"/>
    <w:rsid w:val="00612345"/>
    <w:rsid w:val="006129CA"/>
    <w:rsid w:val="00621C19"/>
    <w:rsid w:val="00641E3B"/>
    <w:rsid w:val="00643A0C"/>
    <w:rsid w:val="006614E6"/>
    <w:rsid w:val="0068336C"/>
    <w:rsid w:val="00692EB0"/>
    <w:rsid w:val="00694C9F"/>
    <w:rsid w:val="00696E23"/>
    <w:rsid w:val="006A22E3"/>
    <w:rsid w:val="006A448E"/>
    <w:rsid w:val="006A44F1"/>
    <w:rsid w:val="006A5D76"/>
    <w:rsid w:val="006B1A72"/>
    <w:rsid w:val="006B59ED"/>
    <w:rsid w:val="006C6077"/>
    <w:rsid w:val="006D2A98"/>
    <w:rsid w:val="006F3084"/>
    <w:rsid w:val="006F7FE9"/>
    <w:rsid w:val="0075598E"/>
    <w:rsid w:val="00771B68"/>
    <w:rsid w:val="00773F7E"/>
    <w:rsid w:val="00777E73"/>
    <w:rsid w:val="00780B9A"/>
    <w:rsid w:val="00781044"/>
    <w:rsid w:val="0079386A"/>
    <w:rsid w:val="00797793"/>
    <w:rsid w:val="007A1658"/>
    <w:rsid w:val="007A5437"/>
    <w:rsid w:val="007B0453"/>
    <w:rsid w:val="007C717F"/>
    <w:rsid w:val="007D71B5"/>
    <w:rsid w:val="007F0795"/>
    <w:rsid w:val="007F23A4"/>
    <w:rsid w:val="007F5B86"/>
    <w:rsid w:val="00810A0D"/>
    <w:rsid w:val="00865348"/>
    <w:rsid w:val="008A1735"/>
    <w:rsid w:val="008A6DE3"/>
    <w:rsid w:val="008C3E2F"/>
    <w:rsid w:val="008D0351"/>
    <w:rsid w:val="008D190E"/>
    <w:rsid w:val="008E003E"/>
    <w:rsid w:val="008E12DF"/>
    <w:rsid w:val="008E5E0A"/>
    <w:rsid w:val="008E7DEC"/>
    <w:rsid w:val="00902B6C"/>
    <w:rsid w:val="00906C8D"/>
    <w:rsid w:val="009111DD"/>
    <w:rsid w:val="0092561E"/>
    <w:rsid w:val="009269A2"/>
    <w:rsid w:val="00942EDF"/>
    <w:rsid w:val="00953426"/>
    <w:rsid w:val="00963AD9"/>
    <w:rsid w:val="009676EA"/>
    <w:rsid w:val="00974FDC"/>
    <w:rsid w:val="0099319E"/>
    <w:rsid w:val="009A513B"/>
    <w:rsid w:val="009A5857"/>
    <w:rsid w:val="009B0E03"/>
    <w:rsid w:val="009B258E"/>
    <w:rsid w:val="009B4235"/>
    <w:rsid w:val="009B776D"/>
    <w:rsid w:val="009D0EDD"/>
    <w:rsid w:val="009D4C36"/>
    <w:rsid w:val="009D4E2C"/>
    <w:rsid w:val="009D6B1D"/>
    <w:rsid w:val="00A02A8A"/>
    <w:rsid w:val="00A1559D"/>
    <w:rsid w:val="00A1659D"/>
    <w:rsid w:val="00A2128C"/>
    <w:rsid w:val="00A27D10"/>
    <w:rsid w:val="00A432A2"/>
    <w:rsid w:val="00A44C8E"/>
    <w:rsid w:val="00A566D5"/>
    <w:rsid w:val="00A6244D"/>
    <w:rsid w:val="00A62700"/>
    <w:rsid w:val="00A72D2E"/>
    <w:rsid w:val="00A90305"/>
    <w:rsid w:val="00AA5139"/>
    <w:rsid w:val="00AB0033"/>
    <w:rsid w:val="00AB62BA"/>
    <w:rsid w:val="00AB7314"/>
    <w:rsid w:val="00AC00B4"/>
    <w:rsid w:val="00AC65C5"/>
    <w:rsid w:val="00AD306F"/>
    <w:rsid w:val="00AE7BBE"/>
    <w:rsid w:val="00AF7F7D"/>
    <w:rsid w:val="00B0708A"/>
    <w:rsid w:val="00B101A7"/>
    <w:rsid w:val="00B1128A"/>
    <w:rsid w:val="00B2494E"/>
    <w:rsid w:val="00B3144C"/>
    <w:rsid w:val="00B34923"/>
    <w:rsid w:val="00B35B94"/>
    <w:rsid w:val="00B53BE4"/>
    <w:rsid w:val="00B571F3"/>
    <w:rsid w:val="00B66B32"/>
    <w:rsid w:val="00B71F65"/>
    <w:rsid w:val="00B86B46"/>
    <w:rsid w:val="00B91537"/>
    <w:rsid w:val="00B93F2F"/>
    <w:rsid w:val="00BA54F7"/>
    <w:rsid w:val="00BA5FBE"/>
    <w:rsid w:val="00BC0838"/>
    <w:rsid w:val="00BD1E0F"/>
    <w:rsid w:val="00BD665F"/>
    <w:rsid w:val="00BD709B"/>
    <w:rsid w:val="00BD775B"/>
    <w:rsid w:val="00BE31DC"/>
    <w:rsid w:val="00BF706B"/>
    <w:rsid w:val="00C066B4"/>
    <w:rsid w:val="00C166BA"/>
    <w:rsid w:val="00C31247"/>
    <w:rsid w:val="00C32987"/>
    <w:rsid w:val="00C36AA5"/>
    <w:rsid w:val="00C7221A"/>
    <w:rsid w:val="00C752AA"/>
    <w:rsid w:val="00C80C37"/>
    <w:rsid w:val="00CB2076"/>
    <w:rsid w:val="00CB3C62"/>
    <w:rsid w:val="00CD497D"/>
    <w:rsid w:val="00CD5F9B"/>
    <w:rsid w:val="00CE034B"/>
    <w:rsid w:val="00CE1C40"/>
    <w:rsid w:val="00CF5500"/>
    <w:rsid w:val="00D158FA"/>
    <w:rsid w:val="00D161E2"/>
    <w:rsid w:val="00D17B09"/>
    <w:rsid w:val="00D218EE"/>
    <w:rsid w:val="00D40460"/>
    <w:rsid w:val="00D419A2"/>
    <w:rsid w:val="00D51D19"/>
    <w:rsid w:val="00D6302E"/>
    <w:rsid w:val="00D6779E"/>
    <w:rsid w:val="00D724F7"/>
    <w:rsid w:val="00D90EAD"/>
    <w:rsid w:val="00D9443B"/>
    <w:rsid w:val="00DA0E14"/>
    <w:rsid w:val="00DA50F4"/>
    <w:rsid w:val="00DB74B7"/>
    <w:rsid w:val="00DD300C"/>
    <w:rsid w:val="00DD4062"/>
    <w:rsid w:val="00E0284B"/>
    <w:rsid w:val="00E035DA"/>
    <w:rsid w:val="00E235F1"/>
    <w:rsid w:val="00E31206"/>
    <w:rsid w:val="00E3350D"/>
    <w:rsid w:val="00E40880"/>
    <w:rsid w:val="00E5323A"/>
    <w:rsid w:val="00E73F17"/>
    <w:rsid w:val="00E85EA2"/>
    <w:rsid w:val="00E97F26"/>
    <w:rsid w:val="00EA427F"/>
    <w:rsid w:val="00EA7025"/>
    <w:rsid w:val="00EB3A0D"/>
    <w:rsid w:val="00EB508A"/>
    <w:rsid w:val="00EB73EB"/>
    <w:rsid w:val="00EC2B63"/>
    <w:rsid w:val="00EE04E8"/>
    <w:rsid w:val="00EE2CBC"/>
    <w:rsid w:val="00EE434E"/>
    <w:rsid w:val="00EE5873"/>
    <w:rsid w:val="00EE7E7F"/>
    <w:rsid w:val="00EF2021"/>
    <w:rsid w:val="00EF7582"/>
    <w:rsid w:val="00EF7FC9"/>
    <w:rsid w:val="00F036C9"/>
    <w:rsid w:val="00F03C1B"/>
    <w:rsid w:val="00F27441"/>
    <w:rsid w:val="00F45AA5"/>
    <w:rsid w:val="00F50CDF"/>
    <w:rsid w:val="00F52A58"/>
    <w:rsid w:val="00F55FD3"/>
    <w:rsid w:val="00F71FA0"/>
    <w:rsid w:val="00F778AB"/>
    <w:rsid w:val="00F8040B"/>
    <w:rsid w:val="00F8390D"/>
    <w:rsid w:val="00F97977"/>
    <w:rsid w:val="00FA6202"/>
    <w:rsid w:val="00FA7CEB"/>
    <w:rsid w:val="00FB4547"/>
    <w:rsid w:val="00FC709A"/>
    <w:rsid w:val="00FD05FC"/>
    <w:rsid w:val="00FD49EE"/>
    <w:rsid w:val="00FD6399"/>
    <w:rsid w:val="00FF3B95"/>
    <w:rsid w:val="00FF7164"/>
    <w:rsid w:val="010069C3"/>
    <w:rsid w:val="01066A48"/>
    <w:rsid w:val="0108714A"/>
    <w:rsid w:val="010A478A"/>
    <w:rsid w:val="010B405F"/>
    <w:rsid w:val="010E6ECC"/>
    <w:rsid w:val="010F6498"/>
    <w:rsid w:val="01135DB0"/>
    <w:rsid w:val="01163BC4"/>
    <w:rsid w:val="011C626C"/>
    <w:rsid w:val="012515C4"/>
    <w:rsid w:val="01253372"/>
    <w:rsid w:val="01260E98"/>
    <w:rsid w:val="01336B85"/>
    <w:rsid w:val="013637D1"/>
    <w:rsid w:val="01395070"/>
    <w:rsid w:val="013C2097"/>
    <w:rsid w:val="013D4B60"/>
    <w:rsid w:val="01434E3A"/>
    <w:rsid w:val="014814AF"/>
    <w:rsid w:val="014A4B87"/>
    <w:rsid w:val="014D4677"/>
    <w:rsid w:val="014E7371"/>
    <w:rsid w:val="0159126E"/>
    <w:rsid w:val="016F45ED"/>
    <w:rsid w:val="017032A3"/>
    <w:rsid w:val="01710365"/>
    <w:rsid w:val="017165B7"/>
    <w:rsid w:val="01743410"/>
    <w:rsid w:val="01746AF4"/>
    <w:rsid w:val="0179546C"/>
    <w:rsid w:val="017E6F26"/>
    <w:rsid w:val="01822F6B"/>
    <w:rsid w:val="01831A44"/>
    <w:rsid w:val="018362EB"/>
    <w:rsid w:val="018C1643"/>
    <w:rsid w:val="018E53BB"/>
    <w:rsid w:val="01916C5A"/>
    <w:rsid w:val="019462D8"/>
    <w:rsid w:val="019B1886"/>
    <w:rsid w:val="019D115B"/>
    <w:rsid w:val="01A87296"/>
    <w:rsid w:val="01AA755E"/>
    <w:rsid w:val="01AC3A93"/>
    <w:rsid w:val="01AC5842"/>
    <w:rsid w:val="01AF0E8E"/>
    <w:rsid w:val="01AF5385"/>
    <w:rsid w:val="01B3097E"/>
    <w:rsid w:val="01B6046E"/>
    <w:rsid w:val="01B87F15"/>
    <w:rsid w:val="01B97F5E"/>
    <w:rsid w:val="01BB5A85"/>
    <w:rsid w:val="01C20BC1"/>
    <w:rsid w:val="01C42B8B"/>
    <w:rsid w:val="01C8526E"/>
    <w:rsid w:val="01CA417B"/>
    <w:rsid w:val="01D17056"/>
    <w:rsid w:val="01D37272"/>
    <w:rsid w:val="01D408F4"/>
    <w:rsid w:val="01D55085"/>
    <w:rsid w:val="01D66247"/>
    <w:rsid w:val="01D84888"/>
    <w:rsid w:val="01E3068F"/>
    <w:rsid w:val="01E44FDB"/>
    <w:rsid w:val="01E527CE"/>
    <w:rsid w:val="01E66FA5"/>
    <w:rsid w:val="01E74ACC"/>
    <w:rsid w:val="01EB45BC"/>
    <w:rsid w:val="01ED1B48"/>
    <w:rsid w:val="01F1594A"/>
    <w:rsid w:val="01F47488"/>
    <w:rsid w:val="01F62F61"/>
    <w:rsid w:val="01FB2325"/>
    <w:rsid w:val="02076F1C"/>
    <w:rsid w:val="02092C94"/>
    <w:rsid w:val="020B5B51"/>
    <w:rsid w:val="0216715F"/>
    <w:rsid w:val="021F4265"/>
    <w:rsid w:val="021F6D1A"/>
    <w:rsid w:val="02201D8C"/>
    <w:rsid w:val="02203329"/>
    <w:rsid w:val="0222365C"/>
    <w:rsid w:val="02245B5B"/>
    <w:rsid w:val="0227136C"/>
    <w:rsid w:val="023575E5"/>
    <w:rsid w:val="023F0464"/>
    <w:rsid w:val="02401036"/>
    <w:rsid w:val="024044E2"/>
    <w:rsid w:val="02454550"/>
    <w:rsid w:val="02497534"/>
    <w:rsid w:val="02532161"/>
    <w:rsid w:val="02555DE0"/>
    <w:rsid w:val="025657AD"/>
    <w:rsid w:val="02571C51"/>
    <w:rsid w:val="02581525"/>
    <w:rsid w:val="025E59EC"/>
    <w:rsid w:val="02663C42"/>
    <w:rsid w:val="026B74AB"/>
    <w:rsid w:val="026E2AF7"/>
    <w:rsid w:val="026F6516"/>
    <w:rsid w:val="027500FA"/>
    <w:rsid w:val="027C5214"/>
    <w:rsid w:val="02847B9A"/>
    <w:rsid w:val="028B5457"/>
    <w:rsid w:val="028D295C"/>
    <w:rsid w:val="028D5673"/>
    <w:rsid w:val="029032C2"/>
    <w:rsid w:val="02906F11"/>
    <w:rsid w:val="02927177"/>
    <w:rsid w:val="0297204E"/>
    <w:rsid w:val="029755E9"/>
    <w:rsid w:val="029D518A"/>
    <w:rsid w:val="02A12ECC"/>
    <w:rsid w:val="02A14633"/>
    <w:rsid w:val="02A36C44"/>
    <w:rsid w:val="02A4476B"/>
    <w:rsid w:val="02B250DA"/>
    <w:rsid w:val="02B81FC4"/>
    <w:rsid w:val="02BE2EDE"/>
    <w:rsid w:val="02C46BBB"/>
    <w:rsid w:val="02C95F7F"/>
    <w:rsid w:val="02CE68C6"/>
    <w:rsid w:val="02D50DC8"/>
    <w:rsid w:val="02E01C47"/>
    <w:rsid w:val="02E66B31"/>
    <w:rsid w:val="02E844CA"/>
    <w:rsid w:val="02F23728"/>
    <w:rsid w:val="02F254D6"/>
    <w:rsid w:val="02F513EE"/>
    <w:rsid w:val="02F76F90"/>
    <w:rsid w:val="02F77E61"/>
    <w:rsid w:val="02F96864"/>
    <w:rsid w:val="02FE20CD"/>
    <w:rsid w:val="031418F0"/>
    <w:rsid w:val="03157416"/>
    <w:rsid w:val="031B02A5"/>
    <w:rsid w:val="031D7543"/>
    <w:rsid w:val="0328539C"/>
    <w:rsid w:val="032D4760"/>
    <w:rsid w:val="03343D40"/>
    <w:rsid w:val="033B50CF"/>
    <w:rsid w:val="03404493"/>
    <w:rsid w:val="03425C39"/>
    <w:rsid w:val="034321D6"/>
    <w:rsid w:val="034A70C0"/>
    <w:rsid w:val="034D5288"/>
    <w:rsid w:val="035000AB"/>
    <w:rsid w:val="03522419"/>
    <w:rsid w:val="03525F75"/>
    <w:rsid w:val="035937A7"/>
    <w:rsid w:val="035D17BD"/>
    <w:rsid w:val="035D4076"/>
    <w:rsid w:val="035D422C"/>
    <w:rsid w:val="03716D43"/>
    <w:rsid w:val="0374238F"/>
    <w:rsid w:val="03795BF7"/>
    <w:rsid w:val="03863E70"/>
    <w:rsid w:val="038D16A3"/>
    <w:rsid w:val="038F0DD1"/>
    <w:rsid w:val="03921B3D"/>
    <w:rsid w:val="039667A9"/>
    <w:rsid w:val="03990047"/>
    <w:rsid w:val="039C3694"/>
    <w:rsid w:val="03A5079A"/>
    <w:rsid w:val="03A96DB1"/>
    <w:rsid w:val="03AA4003"/>
    <w:rsid w:val="03AA7B5F"/>
    <w:rsid w:val="03AB7F61"/>
    <w:rsid w:val="03AC7D7B"/>
    <w:rsid w:val="03B24C65"/>
    <w:rsid w:val="03B84619"/>
    <w:rsid w:val="03B86720"/>
    <w:rsid w:val="03C23461"/>
    <w:rsid w:val="03C350C4"/>
    <w:rsid w:val="03C36E72"/>
    <w:rsid w:val="03C84489"/>
    <w:rsid w:val="03C86B0F"/>
    <w:rsid w:val="03CE5F43"/>
    <w:rsid w:val="03D46029"/>
    <w:rsid w:val="03D66BA6"/>
    <w:rsid w:val="03DE5A5A"/>
    <w:rsid w:val="03E13472"/>
    <w:rsid w:val="03E77005"/>
    <w:rsid w:val="03EC0177"/>
    <w:rsid w:val="03F60FF6"/>
    <w:rsid w:val="03FF434E"/>
    <w:rsid w:val="04001E75"/>
    <w:rsid w:val="040556DD"/>
    <w:rsid w:val="040C25C7"/>
    <w:rsid w:val="040D73E3"/>
    <w:rsid w:val="04111670"/>
    <w:rsid w:val="041116DA"/>
    <w:rsid w:val="04127C56"/>
    <w:rsid w:val="04131BA8"/>
    <w:rsid w:val="041729E0"/>
    <w:rsid w:val="041871BE"/>
    <w:rsid w:val="041D47D5"/>
    <w:rsid w:val="04253689"/>
    <w:rsid w:val="042711AF"/>
    <w:rsid w:val="042A6EF2"/>
    <w:rsid w:val="0430275A"/>
    <w:rsid w:val="0431202E"/>
    <w:rsid w:val="043A5387"/>
    <w:rsid w:val="043F332D"/>
    <w:rsid w:val="043F7501"/>
    <w:rsid w:val="0442248D"/>
    <w:rsid w:val="04484FF1"/>
    <w:rsid w:val="044B5AAE"/>
    <w:rsid w:val="045126D0"/>
    <w:rsid w:val="045439B3"/>
    <w:rsid w:val="0458580D"/>
    <w:rsid w:val="045D72C7"/>
    <w:rsid w:val="046248DD"/>
    <w:rsid w:val="04695C6C"/>
    <w:rsid w:val="046C21D0"/>
    <w:rsid w:val="046C3066"/>
    <w:rsid w:val="046E3282"/>
    <w:rsid w:val="047010F6"/>
    <w:rsid w:val="047311FB"/>
    <w:rsid w:val="04763EE5"/>
    <w:rsid w:val="0478449D"/>
    <w:rsid w:val="047A5783"/>
    <w:rsid w:val="047D100A"/>
    <w:rsid w:val="047D4ADB"/>
    <w:rsid w:val="047E51B3"/>
    <w:rsid w:val="04802709"/>
    <w:rsid w:val="04844854"/>
    <w:rsid w:val="04846602"/>
    <w:rsid w:val="04877EA0"/>
    <w:rsid w:val="04932CE9"/>
    <w:rsid w:val="04934A97"/>
    <w:rsid w:val="04AB1DE0"/>
    <w:rsid w:val="04B02D72"/>
    <w:rsid w:val="04BC5D9C"/>
    <w:rsid w:val="04BE6324"/>
    <w:rsid w:val="04C75A94"/>
    <w:rsid w:val="04CE58E0"/>
    <w:rsid w:val="04D72BD5"/>
    <w:rsid w:val="04D94B9F"/>
    <w:rsid w:val="04DB0DF1"/>
    <w:rsid w:val="04DC4690"/>
    <w:rsid w:val="04DC643E"/>
    <w:rsid w:val="04E050DE"/>
    <w:rsid w:val="04E11CA6"/>
    <w:rsid w:val="04E452F2"/>
    <w:rsid w:val="04E53C72"/>
    <w:rsid w:val="04EB48D3"/>
    <w:rsid w:val="04EF43C3"/>
    <w:rsid w:val="04F01EE9"/>
    <w:rsid w:val="04F03C97"/>
    <w:rsid w:val="04F27A0F"/>
    <w:rsid w:val="04F973C6"/>
    <w:rsid w:val="04FD4EBC"/>
    <w:rsid w:val="04FE4606"/>
    <w:rsid w:val="04FF037E"/>
    <w:rsid w:val="05040B57"/>
    <w:rsid w:val="05044491"/>
    <w:rsid w:val="05045994"/>
    <w:rsid w:val="05092FAB"/>
    <w:rsid w:val="051122DE"/>
    <w:rsid w:val="05122FB5"/>
    <w:rsid w:val="05151950"/>
    <w:rsid w:val="051C2CDE"/>
    <w:rsid w:val="051E0804"/>
    <w:rsid w:val="0523406D"/>
    <w:rsid w:val="05353DA0"/>
    <w:rsid w:val="05385126"/>
    <w:rsid w:val="053E4A03"/>
    <w:rsid w:val="053E74DA"/>
    <w:rsid w:val="0543026B"/>
    <w:rsid w:val="0544074C"/>
    <w:rsid w:val="054C48B1"/>
    <w:rsid w:val="054E3E47"/>
    <w:rsid w:val="05544226"/>
    <w:rsid w:val="055A352B"/>
    <w:rsid w:val="055A55B4"/>
    <w:rsid w:val="05600E1D"/>
    <w:rsid w:val="0560706F"/>
    <w:rsid w:val="05614B95"/>
    <w:rsid w:val="0567285A"/>
    <w:rsid w:val="05687CD1"/>
    <w:rsid w:val="05721780"/>
    <w:rsid w:val="057335C1"/>
    <w:rsid w:val="05860158"/>
    <w:rsid w:val="05863F97"/>
    <w:rsid w:val="05883ED0"/>
    <w:rsid w:val="05937CDE"/>
    <w:rsid w:val="05952DBB"/>
    <w:rsid w:val="05976809"/>
    <w:rsid w:val="059960DD"/>
    <w:rsid w:val="059B1E55"/>
    <w:rsid w:val="059C797B"/>
    <w:rsid w:val="059D3E1F"/>
    <w:rsid w:val="05A01219"/>
    <w:rsid w:val="05A0746B"/>
    <w:rsid w:val="05A306C5"/>
    <w:rsid w:val="05AA0A4B"/>
    <w:rsid w:val="05AC577E"/>
    <w:rsid w:val="05AD2CD8"/>
    <w:rsid w:val="05B41169"/>
    <w:rsid w:val="05B44CC5"/>
    <w:rsid w:val="05B66F09"/>
    <w:rsid w:val="05C25634"/>
    <w:rsid w:val="05C50C80"/>
    <w:rsid w:val="05CA794E"/>
    <w:rsid w:val="05CF0BA4"/>
    <w:rsid w:val="05CF47C6"/>
    <w:rsid w:val="05DB04A3"/>
    <w:rsid w:val="05DB4947"/>
    <w:rsid w:val="05E51322"/>
    <w:rsid w:val="05EA4B8A"/>
    <w:rsid w:val="05ED1043"/>
    <w:rsid w:val="05EE6DAA"/>
    <w:rsid w:val="05EE6F91"/>
    <w:rsid w:val="05F24F24"/>
    <w:rsid w:val="05F72E03"/>
    <w:rsid w:val="05F91E7B"/>
    <w:rsid w:val="060967F3"/>
    <w:rsid w:val="060D1600"/>
    <w:rsid w:val="061816F7"/>
    <w:rsid w:val="061A7F2D"/>
    <w:rsid w:val="0622111A"/>
    <w:rsid w:val="06231E4A"/>
    <w:rsid w:val="062E2CC9"/>
    <w:rsid w:val="063564EA"/>
    <w:rsid w:val="06367DD0"/>
    <w:rsid w:val="063D3F02"/>
    <w:rsid w:val="063F4ED6"/>
    <w:rsid w:val="06431415"/>
    <w:rsid w:val="064A73D7"/>
    <w:rsid w:val="064E5119"/>
    <w:rsid w:val="0659586C"/>
    <w:rsid w:val="065B7836"/>
    <w:rsid w:val="0661309E"/>
    <w:rsid w:val="066165AE"/>
    <w:rsid w:val="067032E2"/>
    <w:rsid w:val="067B1209"/>
    <w:rsid w:val="06812F53"/>
    <w:rsid w:val="06856661"/>
    <w:rsid w:val="068E19BA"/>
    <w:rsid w:val="068E5516"/>
    <w:rsid w:val="06915006"/>
    <w:rsid w:val="06936FD0"/>
    <w:rsid w:val="06941D93"/>
    <w:rsid w:val="06A0080C"/>
    <w:rsid w:val="06A47322"/>
    <w:rsid w:val="06A72A7B"/>
    <w:rsid w:val="06A905A2"/>
    <w:rsid w:val="06AE7966"/>
    <w:rsid w:val="06B156A8"/>
    <w:rsid w:val="06B92EFF"/>
    <w:rsid w:val="06B93618"/>
    <w:rsid w:val="06BA630B"/>
    <w:rsid w:val="06BD229F"/>
    <w:rsid w:val="06C23411"/>
    <w:rsid w:val="06C278B5"/>
    <w:rsid w:val="06CE0008"/>
    <w:rsid w:val="06CE1DB6"/>
    <w:rsid w:val="06CE306C"/>
    <w:rsid w:val="06D373CC"/>
    <w:rsid w:val="06D51397"/>
    <w:rsid w:val="06D67EFC"/>
    <w:rsid w:val="06DA4BFF"/>
    <w:rsid w:val="06DD1E44"/>
    <w:rsid w:val="06DD74B2"/>
    <w:rsid w:val="06E15F8D"/>
    <w:rsid w:val="06E31D05"/>
    <w:rsid w:val="06E92E40"/>
    <w:rsid w:val="06ED4932"/>
    <w:rsid w:val="06EE06AA"/>
    <w:rsid w:val="06F37A6F"/>
    <w:rsid w:val="06F51A39"/>
    <w:rsid w:val="06F757B1"/>
    <w:rsid w:val="06F85085"/>
    <w:rsid w:val="06FD269B"/>
    <w:rsid w:val="06FE6B3F"/>
    <w:rsid w:val="07027A18"/>
    <w:rsid w:val="070D4E50"/>
    <w:rsid w:val="07151D6E"/>
    <w:rsid w:val="071D4AEC"/>
    <w:rsid w:val="071D689A"/>
    <w:rsid w:val="072258B7"/>
    <w:rsid w:val="072365A6"/>
    <w:rsid w:val="072732AB"/>
    <w:rsid w:val="07283BBC"/>
    <w:rsid w:val="073065CD"/>
    <w:rsid w:val="07367CF9"/>
    <w:rsid w:val="073C7962"/>
    <w:rsid w:val="07455D9F"/>
    <w:rsid w:val="074958E1"/>
    <w:rsid w:val="074B16CD"/>
    <w:rsid w:val="074B354F"/>
    <w:rsid w:val="074D3623"/>
    <w:rsid w:val="074D53D1"/>
    <w:rsid w:val="074E5043"/>
    <w:rsid w:val="07504551"/>
    <w:rsid w:val="075276EC"/>
    <w:rsid w:val="075819F8"/>
    <w:rsid w:val="07591FC7"/>
    <w:rsid w:val="07593D76"/>
    <w:rsid w:val="07610E7C"/>
    <w:rsid w:val="076D7821"/>
    <w:rsid w:val="076F17EB"/>
    <w:rsid w:val="07723089"/>
    <w:rsid w:val="077E06BA"/>
    <w:rsid w:val="07886409"/>
    <w:rsid w:val="078D1C71"/>
    <w:rsid w:val="078E1545"/>
    <w:rsid w:val="078F32E3"/>
    <w:rsid w:val="0794171E"/>
    <w:rsid w:val="07966D78"/>
    <w:rsid w:val="07983A54"/>
    <w:rsid w:val="079E79DA"/>
    <w:rsid w:val="079F1B8B"/>
    <w:rsid w:val="07A04E78"/>
    <w:rsid w:val="07A5520D"/>
    <w:rsid w:val="07A82607"/>
    <w:rsid w:val="07A86AAB"/>
    <w:rsid w:val="07AC659B"/>
    <w:rsid w:val="07AE39F0"/>
    <w:rsid w:val="07B35A21"/>
    <w:rsid w:val="07B611C8"/>
    <w:rsid w:val="07B71116"/>
    <w:rsid w:val="07BA233A"/>
    <w:rsid w:val="07BD69FF"/>
    <w:rsid w:val="07C05BA3"/>
    <w:rsid w:val="07C17B6D"/>
    <w:rsid w:val="07C37441"/>
    <w:rsid w:val="07CA6288"/>
    <w:rsid w:val="07CD0153"/>
    <w:rsid w:val="07D15ABF"/>
    <w:rsid w:val="07D16002"/>
    <w:rsid w:val="07D17DB0"/>
    <w:rsid w:val="07D433FC"/>
    <w:rsid w:val="07D45A45"/>
    <w:rsid w:val="07D63618"/>
    <w:rsid w:val="07D848A8"/>
    <w:rsid w:val="07DB2016"/>
    <w:rsid w:val="07DC1CAA"/>
    <w:rsid w:val="07DD33D3"/>
    <w:rsid w:val="07E06245"/>
    <w:rsid w:val="07E82A69"/>
    <w:rsid w:val="07ED44BE"/>
    <w:rsid w:val="07F615C4"/>
    <w:rsid w:val="07F61F78"/>
    <w:rsid w:val="07F817E1"/>
    <w:rsid w:val="07F87A11"/>
    <w:rsid w:val="07FE66CB"/>
    <w:rsid w:val="080041F1"/>
    <w:rsid w:val="08017F69"/>
    <w:rsid w:val="0803449C"/>
    <w:rsid w:val="080D4B60"/>
    <w:rsid w:val="08114650"/>
    <w:rsid w:val="08161C67"/>
    <w:rsid w:val="081E4FBF"/>
    <w:rsid w:val="08220261"/>
    <w:rsid w:val="08243B12"/>
    <w:rsid w:val="08275C22"/>
    <w:rsid w:val="083223B1"/>
    <w:rsid w:val="0838352D"/>
    <w:rsid w:val="08387E2F"/>
    <w:rsid w:val="083E11BD"/>
    <w:rsid w:val="08420CAE"/>
    <w:rsid w:val="0849203C"/>
    <w:rsid w:val="084C38DA"/>
    <w:rsid w:val="08585DDB"/>
    <w:rsid w:val="086724C2"/>
    <w:rsid w:val="086C1887"/>
    <w:rsid w:val="0874698D"/>
    <w:rsid w:val="087B531C"/>
    <w:rsid w:val="088210AA"/>
    <w:rsid w:val="0889068B"/>
    <w:rsid w:val="088A346F"/>
    <w:rsid w:val="088C3CD7"/>
    <w:rsid w:val="089A29E2"/>
    <w:rsid w:val="089B6610"/>
    <w:rsid w:val="089D7C92"/>
    <w:rsid w:val="08A76D63"/>
    <w:rsid w:val="08A8306C"/>
    <w:rsid w:val="08AA1318"/>
    <w:rsid w:val="08B03E69"/>
    <w:rsid w:val="08BC0A60"/>
    <w:rsid w:val="08BE5224"/>
    <w:rsid w:val="08CE42EF"/>
    <w:rsid w:val="08D00067"/>
    <w:rsid w:val="08D13DE0"/>
    <w:rsid w:val="08DA03F7"/>
    <w:rsid w:val="08DA07D3"/>
    <w:rsid w:val="08DC4C5E"/>
    <w:rsid w:val="08DE0F36"/>
    <w:rsid w:val="08EC29C7"/>
    <w:rsid w:val="08EE4992"/>
    <w:rsid w:val="08EE6740"/>
    <w:rsid w:val="08F04293"/>
    <w:rsid w:val="08F655F4"/>
    <w:rsid w:val="08F8136C"/>
    <w:rsid w:val="08F85810"/>
    <w:rsid w:val="08FD4BD5"/>
    <w:rsid w:val="090146C5"/>
    <w:rsid w:val="0902518B"/>
    <w:rsid w:val="09051E32"/>
    <w:rsid w:val="09071FE5"/>
    <w:rsid w:val="09095327"/>
    <w:rsid w:val="090B72F2"/>
    <w:rsid w:val="091066B6"/>
    <w:rsid w:val="09137F54"/>
    <w:rsid w:val="09181A0E"/>
    <w:rsid w:val="091F0FEF"/>
    <w:rsid w:val="091F75ED"/>
    <w:rsid w:val="0921144B"/>
    <w:rsid w:val="09267C87"/>
    <w:rsid w:val="092E2FE0"/>
    <w:rsid w:val="09355C8E"/>
    <w:rsid w:val="09371E95"/>
    <w:rsid w:val="09391A25"/>
    <w:rsid w:val="09414AC1"/>
    <w:rsid w:val="094D790A"/>
    <w:rsid w:val="095F1A31"/>
    <w:rsid w:val="095F3199"/>
    <w:rsid w:val="096B1B3E"/>
    <w:rsid w:val="096C5132"/>
    <w:rsid w:val="097A6225"/>
    <w:rsid w:val="09815E0C"/>
    <w:rsid w:val="09821F29"/>
    <w:rsid w:val="09825231"/>
    <w:rsid w:val="09831C78"/>
    <w:rsid w:val="09862E1C"/>
    <w:rsid w:val="098B0432"/>
    <w:rsid w:val="098D7D07"/>
    <w:rsid w:val="098F1CD1"/>
    <w:rsid w:val="099472E7"/>
    <w:rsid w:val="09970B85"/>
    <w:rsid w:val="099A0675"/>
    <w:rsid w:val="099E3CC2"/>
    <w:rsid w:val="099F3551"/>
    <w:rsid w:val="09A514F4"/>
    <w:rsid w:val="09AB1135"/>
    <w:rsid w:val="09AE35D0"/>
    <w:rsid w:val="09AF5ECF"/>
    <w:rsid w:val="09B23C11"/>
    <w:rsid w:val="09B71227"/>
    <w:rsid w:val="09B776D8"/>
    <w:rsid w:val="09BA160C"/>
    <w:rsid w:val="09BE25B6"/>
    <w:rsid w:val="09BE6112"/>
    <w:rsid w:val="09C120A6"/>
    <w:rsid w:val="09CD0A4B"/>
    <w:rsid w:val="09CD27F9"/>
    <w:rsid w:val="09CD6EB5"/>
    <w:rsid w:val="09D516AE"/>
    <w:rsid w:val="09D65B51"/>
    <w:rsid w:val="09D83256"/>
    <w:rsid w:val="09D9113A"/>
    <w:rsid w:val="09D91F81"/>
    <w:rsid w:val="09E244F6"/>
    <w:rsid w:val="09E3201C"/>
    <w:rsid w:val="09F558AC"/>
    <w:rsid w:val="09F61D50"/>
    <w:rsid w:val="09F671BA"/>
    <w:rsid w:val="0A0015A9"/>
    <w:rsid w:val="0A026946"/>
    <w:rsid w:val="0A0F2E11"/>
    <w:rsid w:val="0A116B8A"/>
    <w:rsid w:val="0A124A21"/>
    <w:rsid w:val="0A124F9F"/>
    <w:rsid w:val="0A1421D6"/>
    <w:rsid w:val="0A150388"/>
    <w:rsid w:val="0A1D70FA"/>
    <w:rsid w:val="0A200529"/>
    <w:rsid w:val="0A2368BD"/>
    <w:rsid w:val="0A257E91"/>
    <w:rsid w:val="0A3463D4"/>
    <w:rsid w:val="0A34760E"/>
    <w:rsid w:val="0A390506"/>
    <w:rsid w:val="0A3B7763"/>
    <w:rsid w:val="0A3F4C50"/>
    <w:rsid w:val="0A40121D"/>
    <w:rsid w:val="0A424F95"/>
    <w:rsid w:val="0A432ABB"/>
    <w:rsid w:val="0A4505E1"/>
    <w:rsid w:val="0A456833"/>
    <w:rsid w:val="0A4A537B"/>
    <w:rsid w:val="0A4B7550"/>
    <w:rsid w:val="0A516F86"/>
    <w:rsid w:val="0A56459C"/>
    <w:rsid w:val="0A5922DF"/>
    <w:rsid w:val="0A5A153B"/>
    <w:rsid w:val="0A5C592B"/>
    <w:rsid w:val="0A60366D"/>
    <w:rsid w:val="0A68475A"/>
    <w:rsid w:val="0A6B4970"/>
    <w:rsid w:val="0A7A5500"/>
    <w:rsid w:val="0A7D421F"/>
    <w:rsid w:val="0A7D7D7B"/>
    <w:rsid w:val="0A7E1D45"/>
    <w:rsid w:val="0A805ABD"/>
    <w:rsid w:val="0A877A05"/>
    <w:rsid w:val="0A892BC4"/>
    <w:rsid w:val="0A8D4551"/>
    <w:rsid w:val="0A911A78"/>
    <w:rsid w:val="0A952A19"/>
    <w:rsid w:val="0A984BB5"/>
    <w:rsid w:val="0AA16A91"/>
    <w:rsid w:val="0AA442E9"/>
    <w:rsid w:val="0AA51080"/>
    <w:rsid w:val="0AA56EB4"/>
    <w:rsid w:val="0AA7304A"/>
    <w:rsid w:val="0AAF1847"/>
    <w:rsid w:val="0AB17A28"/>
    <w:rsid w:val="0AB44ED8"/>
    <w:rsid w:val="0AB6328D"/>
    <w:rsid w:val="0ABA1CA5"/>
    <w:rsid w:val="0ABA2D7D"/>
    <w:rsid w:val="0AC459AA"/>
    <w:rsid w:val="0AD0684C"/>
    <w:rsid w:val="0AD6392F"/>
    <w:rsid w:val="0AD97CBD"/>
    <w:rsid w:val="0ADB2CF4"/>
    <w:rsid w:val="0ADF4592"/>
    <w:rsid w:val="0AE147AE"/>
    <w:rsid w:val="0AE734CA"/>
    <w:rsid w:val="0AF0291D"/>
    <w:rsid w:val="0AFC46F6"/>
    <w:rsid w:val="0AFF2E86"/>
    <w:rsid w:val="0B00275A"/>
    <w:rsid w:val="0B0E30C9"/>
    <w:rsid w:val="0B0F27C0"/>
    <w:rsid w:val="0B17629A"/>
    <w:rsid w:val="0B1A65E0"/>
    <w:rsid w:val="0B1E4082"/>
    <w:rsid w:val="0B237943"/>
    <w:rsid w:val="0B2B77D7"/>
    <w:rsid w:val="0B352404"/>
    <w:rsid w:val="0B3949C3"/>
    <w:rsid w:val="0B3D39AE"/>
    <w:rsid w:val="0B416FFB"/>
    <w:rsid w:val="0B4B2E2F"/>
    <w:rsid w:val="0B5200CB"/>
    <w:rsid w:val="0B52745A"/>
    <w:rsid w:val="0B536D2E"/>
    <w:rsid w:val="0B582596"/>
    <w:rsid w:val="0B6251C3"/>
    <w:rsid w:val="0B6665D0"/>
    <w:rsid w:val="0B680A2B"/>
    <w:rsid w:val="0B694D79"/>
    <w:rsid w:val="0B6B22C9"/>
    <w:rsid w:val="0B6D23F5"/>
    <w:rsid w:val="0B6E3131"/>
    <w:rsid w:val="0B7021FC"/>
    <w:rsid w:val="0B792C38"/>
    <w:rsid w:val="0B825D4F"/>
    <w:rsid w:val="0B837613"/>
    <w:rsid w:val="0B845139"/>
    <w:rsid w:val="0B8F617F"/>
    <w:rsid w:val="0B927856"/>
    <w:rsid w:val="0B9326C3"/>
    <w:rsid w:val="0B957346"/>
    <w:rsid w:val="0B9C06D5"/>
    <w:rsid w:val="0BA8707A"/>
    <w:rsid w:val="0BA94BA0"/>
    <w:rsid w:val="0BB772BD"/>
    <w:rsid w:val="0BB877D4"/>
    <w:rsid w:val="0BB93035"/>
    <w:rsid w:val="0BBB5225"/>
    <w:rsid w:val="0BC71D84"/>
    <w:rsid w:val="0BC90BD9"/>
    <w:rsid w:val="0BD47E6F"/>
    <w:rsid w:val="0BD55995"/>
    <w:rsid w:val="0BD936D7"/>
    <w:rsid w:val="0BDE2A9B"/>
    <w:rsid w:val="0BE300B2"/>
    <w:rsid w:val="0BE45BD8"/>
    <w:rsid w:val="0BE4744A"/>
    <w:rsid w:val="0BE81B6C"/>
    <w:rsid w:val="0BEF4CA9"/>
    <w:rsid w:val="0BF40511"/>
    <w:rsid w:val="0BF7590B"/>
    <w:rsid w:val="0C006EB6"/>
    <w:rsid w:val="0C0369A6"/>
    <w:rsid w:val="0C1464BD"/>
    <w:rsid w:val="0C193AD3"/>
    <w:rsid w:val="0C211D10"/>
    <w:rsid w:val="0C232BA4"/>
    <w:rsid w:val="0C281F69"/>
    <w:rsid w:val="0C2A0860"/>
    <w:rsid w:val="0C2A3AF7"/>
    <w:rsid w:val="0C2D2773"/>
    <w:rsid w:val="0C2D57D1"/>
    <w:rsid w:val="0C2E01F6"/>
    <w:rsid w:val="0C3152C1"/>
    <w:rsid w:val="0C3460F8"/>
    <w:rsid w:val="0C3651B9"/>
    <w:rsid w:val="0C3A5FD8"/>
    <w:rsid w:val="0C3B7EEE"/>
    <w:rsid w:val="0C3D3B65"/>
    <w:rsid w:val="0C401769"/>
    <w:rsid w:val="0C4C0A7C"/>
    <w:rsid w:val="0C4C219F"/>
    <w:rsid w:val="0C4D19CF"/>
    <w:rsid w:val="0C553CA1"/>
    <w:rsid w:val="0C57284E"/>
    <w:rsid w:val="0C5745FC"/>
    <w:rsid w:val="0C590CE4"/>
    <w:rsid w:val="0C5C7E64"/>
    <w:rsid w:val="0C62191E"/>
    <w:rsid w:val="0C650D4E"/>
    <w:rsid w:val="0C686809"/>
    <w:rsid w:val="0C6C62F9"/>
    <w:rsid w:val="0C6F5DE9"/>
    <w:rsid w:val="0C7156BE"/>
    <w:rsid w:val="0C756E34"/>
    <w:rsid w:val="0C7B02EA"/>
    <w:rsid w:val="0C801DA5"/>
    <w:rsid w:val="0C80768D"/>
    <w:rsid w:val="0C853BDD"/>
    <w:rsid w:val="0C880C59"/>
    <w:rsid w:val="0C90345F"/>
    <w:rsid w:val="0C947974"/>
    <w:rsid w:val="0C9C64B3"/>
    <w:rsid w:val="0CAB508B"/>
    <w:rsid w:val="0CAB6D14"/>
    <w:rsid w:val="0CAD06C0"/>
    <w:rsid w:val="0CB11F5E"/>
    <w:rsid w:val="0CB33F28"/>
    <w:rsid w:val="0CB437FC"/>
    <w:rsid w:val="0CB832EC"/>
    <w:rsid w:val="0CB953C7"/>
    <w:rsid w:val="0CBE6C92"/>
    <w:rsid w:val="0CBF688D"/>
    <w:rsid w:val="0CC46135"/>
    <w:rsid w:val="0CC7352F"/>
    <w:rsid w:val="0CCA1272"/>
    <w:rsid w:val="0CCA74C4"/>
    <w:rsid w:val="0CD914B5"/>
    <w:rsid w:val="0CDE6ACB"/>
    <w:rsid w:val="0CED5EFA"/>
    <w:rsid w:val="0CF307C8"/>
    <w:rsid w:val="0CF4009D"/>
    <w:rsid w:val="0CF4170C"/>
    <w:rsid w:val="0CFD303A"/>
    <w:rsid w:val="0D006A41"/>
    <w:rsid w:val="0D0504FC"/>
    <w:rsid w:val="0D0522AA"/>
    <w:rsid w:val="0D0550BE"/>
    <w:rsid w:val="0D093B48"/>
    <w:rsid w:val="0D14556D"/>
    <w:rsid w:val="0D1471C2"/>
    <w:rsid w:val="0D1555EB"/>
    <w:rsid w:val="0D156991"/>
    <w:rsid w:val="0D1F15BD"/>
    <w:rsid w:val="0D246F57"/>
    <w:rsid w:val="0D2564A8"/>
    <w:rsid w:val="0D27015E"/>
    <w:rsid w:val="0D2A1D10"/>
    <w:rsid w:val="0D2B4D1C"/>
    <w:rsid w:val="0D2C3CDA"/>
    <w:rsid w:val="0D2C7836"/>
    <w:rsid w:val="0D38267F"/>
    <w:rsid w:val="0D411534"/>
    <w:rsid w:val="0D4508F8"/>
    <w:rsid w:val="0D4F1296"/>
    <w:rsid w:val="0D5002C6"/>
    <w:rsid w:val="0D562B05"/>
    <w:rsid w:val="0D5648B3"/>
    <w:rsid w:val="0D570D57"/>
    <w:rsid w:val="0D5A0848"/>
    <w:rsid w:val="0D5D2504"/>
    <w:rsid w:val="0D697D47"/>
    <w:rsid w:val="0D6D057B"/>
    <w:rsid w:val="0D705975"/>
    <w:rsid w:val="0D725B91"/>
    <w:rsid w:val="0D73509A"/>
    <w:rsid w:val="0D7511DD"/>
    <w:rsid w:val="0D757126"/>
    <w:rsid w:val="0D7C30E6"/>
    <w:rsid w:val="0D7E609A"/>
    <w:rsid w:val="0D7F02AE"/>
    <w:rsid w:val="0D817B82"/>
    <w:rsid w:val="0D837D9E"/>
    <w:rsid w:val="0D86163D"/>
    <w:rsid w:val="0D895EB2"/>
    <w:rsid w:val="0D921D8F"/>
    <w:rsid w:val="0D927FE1"/>
    <w:rsid w:val="0D941F14"/>
    <w:rsid w:val="0D973E0E"/>
    <w:rsid w:val="0D98311E"/>
    <w:rsid w:val="0D9A0C44"/>
    <w:rsid w:val="0D9C30EB"/>
    <w:rsid w:val="0D9D0734"/>
    <w:rsid w:val="0DA441DC"/>
    <w:rsid w:val="0DAE46EF"/>
    <w:rsid w:val="0DB02216"/>
    <w:rsid w:val="0DB55A7E"/>
    <w:rsid w:val="0DB60191"/>
    <w:rsid w:val="0DB717F6"/>
    <w:rsid w:val="0DB77A48"/>
    <w:rsid w:val="0DB8731C"/>
    <w:rsid w:val="0DBA12E6"/>
    <w:rsid w:val="0DC34AA9"/>
    <w:rsid w:val="0DC379D7"/>
    <w:rsid w:val="0DC65EDD"/>
    <w:rsid w:val="0DC7755F"/>
    <w:rsid w:val="0DCB52A1"/>
    <w:rsid w:val="0DD028B8"/>
    <w:rsid w:val="0DD610C9"/>
    <w:rsid w:val="0DDF2AFB"/>
    <w:rsid w:val="0DE84DA4"/>
    <w:rsid w:val="0DE95727"/>
    <w:rsid w:val="0DF26CD2"/>
    <w:rsid w:val="0DFE5677"/>
    <w:rsid w:val="0DFE7425"/>
    <w:rsid w:val="0DFF47ED"/>
    <w:rsid w:val="0E007979"/>
    <w:rsid w:val="0E012A71"/>
    <w:rsid w:val="0E034A3B"/>
    <w:rsid w:val="0E0F1632"/>
    <w:rsid w:val="0E1053AA"/>
    <w:rsid w:val="0E107158"/>
    <w:rsid w:val="0E15476E"/>
    <w:rsid w:val="0E1956B3"/>
    <w:rsid w:val="0E197DBB"/>
    <w:rsid w:val="0E1A1D85"/>
    <w:rsid w:val="0E1A28BF"/>
    <w:rsid w:val="0E1A3500"/>
    <w:rsid w:val="0E1A45F7"/>
    <w:rsid w:val="0E1B7FD7"/>
    <w:rsid w:val="0E1C5AFD"/>
    <w:rsid w:val="0E211365"/>
    <w:rsid w:val="0E2214E3"/>
    <w:rsid w:val="0E2449B2"/>
    <w:rsid w:val="0E2774A7"/>
    <w:rsid w:val="0E296B84"/>
    <w:rsid w:val="0E323572"/>
    <w:rsid w:val="0E372DD1"/>
    <w:rsid w:val="0E3C4A79"/>
    <w:rsid w:val="0E3F3599"/>
    <w:rsid w:val="0E417312"/>
    <w:rsid w:val="0E423137"/>
    <w:rsid w:val="0E43308A"/>
    <w:rsid w:val="0E4A0A35"/>
    <w:rsid w:val="0E4F1A2E"/>
    <w:rsid w:val="0E63372C"/>
    <w:rsid w:val="0E64514C"/>
    <w:rsid w:val="0E680D42"/>
    <w:rsid w:val="0E682AF0"/>
    <w:rsid w:val="0E695115"/>
    <w:rsid w:val="0E6A6868"/>
    <w:rsid w:val="0E6B438E"/>
    <w:rsid w:val="0E7616B1"/>
    <w:rsid w:val="0E7771D7"/>
    <w:rsid w:val="0E792F4F"/>
    <w:rsid w:val="0E7B4F50"/>
    <w:rsid w:val="0E83792A"/>
    <w:rsid w:val="0E8474DE"/>
    <w:rsid w:val="0E8764B8"/>
    <w:rsid w:val="0E89077F"/>
    <w:rsid w:val="0E8A6F0A"/>
    <w:rsid w:val="0E8F4521"/>
    <w:rsid w:val="0EA378E1"/>
    <w:rsid w:val="0EAE0A7E"/>
    <w:rsid w:val="0EAE338A"/>
    <w:rsid w:val="0EB146BF"/>
    <w:rsid w:val="0EB21FBD"/>
    <w:rsid w:val="0EB45D35"/>
    <w:rsid w:val="0EB51BBC"/>
    <w:rsid w:val="0EB9334C"/>
    <w:rsid w:val="0EBE6BB4"/>
    <w:rsid w:val="0EC00B7E"/>
    <w:rsid w:val="0EC0292C"/>
    <w:rsid w:val="0EC046DA"/>
    <w:rsid w:val="0EC20452"/>
    <w:rsid w:val="0EC77D21"/>
    <w:rsid w:val="0ECA37AB"/>
    <w:rsid w:val="0ECA7307"/>
    <w:rsid w:val="0ECE329B"/>
    <w:rsid w:val="0ED168E7"/>
    <w:rsid w:val="0ED40186"/>
    <w:rsid w:val="0ED4086D"/>
    <w:rsid w:val="0ED87C76"/>
    <w:rsid w:val="0EE02FCE"/>
    <w:rsid w:val="0EE4793C"/>
    <w:rsid w:val="0EEE7499"/>
    <w:rsid w:val="0EEF3211"/>
    <w:rsid w:val="0EF6634E"/>
    <w:rsid w:val="0EF80318"/>
    <w:rsid w:val="0EFB3964"/>
    <w:rsid w:val="0F0E7B3C"/>
    <w:rsid w:val="0F0F7410"/>
    <w:rsid w:val="0F13413A"/>
    <w:rsid w:val="0F256C33"/>
    <w:rsid w:val="0F2729AB"/>
    <w:rsid w:val="0F274759"/>
    <w:rsid w:val="0F2A5FF8"/>
    <w:rsid w:val="0F2C6214"/>
    <w:rsid w:val="0F2C7FC2"/>
    <w:rsid w:val="0F2D1010"/>
    <w:rsid w:val="0F2F360E"/>
    <w:rsid w:val="0F331350"/>
    <w:rsid w:val="0F365E10"/>
    <w:rsid w:val="0F37178C"/>
    <w:rsid w:val="0F3A26DF"/>
    <w:rsid w:val="0F3D5D2B"/>
    <w:rsid w:val="0F3F7CF5"/>
    <w:rsid w:val="0F421593"/>
    <w:rsid w:val="0F49111A"/>
    <w:rsid w:val="0F4A0448"/>
    <w:rsid w:val="0F4E32A6"/>
    <w:rsid w:val="0F517A28"/>
    <w:rsid w:val="0F5337A0"/>
    <w:rsid w:val="0F59068B"/>
    <w:rsid w:val="0F6459AD"/>
    <w:rsid w:val="0F6838C7"/>
    <w:rsid w:val="0F6B0AEA"/>
    <w:rsid w:val="0F6C6610"/>
    <w:rsid w:val="0F7756E1"/>
    <w:rsid w:val="0F796544"/>
    <w:rsid w:val="0F7C7641"/>
    <w:rsid w:val="0F7E3A23"/>
    <w:rsid w:val="0F8120BC"/>
    <w:rsid w:val="0F815DA9"/>
    <w:rsid w:val="0F87344A"/>
    <w:rsid w:val="0F8B4CE8"/>
    <w:rsid w:val="0F9067A2"/>
    <w:rsid w:val="0F931DEF"/>
    <w:rsid w:val="0F9D4A1B"/>
    <w:rsid w:val="0FAC4C5F"/>
    <w:rsid w:val="0FB26719"/>
    <w:rsid w:val="0FB57FB7"/>
    <w:rsid w:val="0FB954F1"/>
    <w:rsid w:val="0FBF0E36"/>
    <w:rsid w:val="0FC644DC"/>
    <w:rsid w:val="0FC8192D"/>
    <w:rsid w:val="0FC85F3C"/>
    <w:rsid w:val="0FC93A62"/>
    <w:rsid w:val="0FCC4E8D"/>
    <w:rsid w:val="0FD0094D"/>
    <w:rsid w:val="0FD05DD9"/>
    <w:rsid w:val="0FD43E0E"/>
    <w:rsid w:val="0FDE750E"/>
    <w:rsid w:val="0FE12B5A"/>
    <w:rsid w:val="0FE4264A"/>
    <w:rsid w:val="0FE505F3"/>
    <w:rsid w:val="0FE97C61"/>
    <w:rsid w:val="0FEF171B"/>
    <w:rsid w:val="0FF07241"/>
    <w:rsid w:val="0FF30FC5"/>
    <w:rsid w:val="0FF87EA4"/>
    <w:rsid w:val="0FFC3E38"/>
    <w:rsid w:val="10070893"/>
    <w:rsid w:val="10093E5F"/>
    <w:rsid w:val="1017657C"/>
    <w:rsid w:val="10190546"/>
    <w:rsid w:val="1021701D"/>
    <w:rsid w:val="10240C99"/>
    <w:rsid w:val="10246EEB"/>
    <w:rsid w:val="10284C2D"/>
    <w:rsid w:val="10394D6A"/>
    <w:rsid w:val="103D747C"/>
    <w:rsid w:val="103F5AD3"/>
    <w:rsid w:val="104355C3"/>
    <w:rsid w:val="104D01F0"/>
    <w:rsid w:val="10501A8E"/>
    <w:rsid w:val="10524F6F"/>
    <w:rsid w:val="105772C0"/>
    <w:rsid w:val="105C0433"/>
    <w:rsid w:val="105C6685"/>
    <w:rsid w:val="10637A94"/>
    <w:rsid w:val="10692C75"/>
    <w:rsid w:val="106A6FF4"/>
    <w:rsid w:val="106D0892"/>
    <w:rsid w:val="10710382"/>
    <w:rsid w:val="10725EA8"/>
    <w:rsid w:val="1077526D"/>
    <w:rsid w:val="1078371F"/>
    <w:rsid w:val="107B4D5D"/>
    <w:rsid w:val="108D2CE2"/>
    <w:rsid w:val="108D4A90"/>
    <w:rsid w:val="109202F8"/>
    <w:rsid w:val="109951E3"/>
    <w:rsid w:val="109A05F6"/>
    <w:rsid w:val="109A0F5B"/>
    <w:rsid w:val="109C3875"/>
    <w:rsid w:val="10A047C3"/>
    <w:rsid w:val="10A1280F"/>
    <w:rsid w:val="10A67900"/>
    <w:rsid w:val="10AB6393"/>
    <w:rsid w:val="10B0361A"/>
    <w:rsid w:val="10B25724"/>
    <w:rsid w:val="10B32B01"/>
    <w:rsid w:val="10BB784F"/>
    <w:rsid w:val="10C04426"/>
    <w:rsid w:val="10C83D1A"/>
    <w:rsid w:val="10CA5CE4"/>
    <w:rsid w:val="10CF32FA"/>
    <w:rsid w:val="10D053AB"/>
    <w:rsid w:val="10D17073"/>
    <w:rsid w:val="10D40911"/>
    <w:rsid w:val="10D67504"/>
    <w:rsid w:val="10D75D0B"/>
    <w:rsid w:val="10DA04A5"/>
    <w:rsid w:val="10DB706F"/>
    <w:rsid w:val="10E03BE3"/>
    <w:rsid w:val="10E50428"/>
    <w:rsid w:val="10E723F2"/>
    <w:rsid w:val="10E741A0"/>
    <w:rsid w:val="10EC2AC6"/>
    <w:rsid w:val="10ED552F"/>
    <w:rsid w:val="10EE19D3"/>
    <w:rsid w:val="10F13271"/>
    <w:rsid w:val="10F1501F"/>
    <w:rsid w:val="10FB40F0"/>
    <w:rsid w:val="10FD2745"/>
    <w:rsid w:val="110034B4"/>
    <w:rsid w:val="11052E8A"/>
    <w:rsid w:val="11056D1C"/>
    <w:rsid w:val="110805BA"/>
    <w:rsid w:val="110A7E8F"/>
    <w:rsid w:val="110C3C07"/>
    <w:rsid w:val="110E2A64"/>
    <w:rsid w:val="11110CB1"/>
    <w:rsid w:val="11230F50"/>
    <w:rsid w:val="112A6783"/>
    <w:rsid w:val="112B4874"/>
    <w:rsid w:val="112D2373"/>
    <w:rsid w:val="112F5B47"/>
    <w:rsid w:val="11302AA6"/>
    <w:rsid w:val="113238F3"/>
    <w:rsid w:val="113340D7"/>
    <w:rsid w:val="113504F7"/>
    <w:rsid w:val="11390ABC"/>
    <w:rsid w:val="113F222E"/>
    <w:rsid w:val="114809B7"/>
    <w:rsid w:val="114943D9"/>
    <w:rsid w:val="114D134F"/>
    <w:rsid w:val="11592BC4"/>
    <w:rsid w:val="116003F7"/>
    <w:rsid w:val="116233EF"/>
    <w:rsid w:val="116457F1"/>
    <w:rsid w:val="11687430"/>
    <w:rsid w:val="11687684"/>
    <w:rsid w:val="116C5D79"/>
    <w:rsid w:val="11731ED8"/>
    <w:rsid w:val="117619C8"/>
    <w:rsid w:val="11777122"/>
    <w:rsid w:val="117F6ACF"/>
    <w:rsid w:val="118440E5"/>
    <w:rsid w:val="11847C41"/>
    <w:rsid w:val="11897A49"/>
    <w:rsid w:val="118D6492"/>
    <w:rsid w:val="119333A6"/>
    <w:rsid w:val="11A1719D"/>
    <w:rsid w:val="11A2456B"/>
    <w:rsid w:val="11A402E3"/>
    <w:rsid w:val="11A55E09"/>
    <w:rsid w:val="11A82FBB"/>
    <w:rsid w:val="11AB75A7"/>
    <w:rsid w:val="11B85B3D"/>
    <w:rsid w:val="11BB1392"/>
    <w:rsid w:val="11C40985"/>
    <w:rsid w:val="11C73FD2"/>
    <w:rsid w:val="11D02E86"/>
    <w:rsid w:val="11D0732A"/>
    <w:rsid w:val="11D861DF"/>
    <w:rsid w:val="11DF3D09"/>
    <w:rsid w:val="11E30DCB"/>
    <w:rsid w:val="11E64458"/>
    <w:rsid w:val="11E710E0"/>
    <w:rsid w:val="11E903EC"/>
    <w:rsid w:val="11EC57E6"/>
    <w:rsid w:val="11F0177A"/>
    <w:rsid w:val="11F052D6"/>
    <w:rsid w:val="11F72B09"/>
    <w:rsid w:val="11FA6155"/>
    <w:rsid w:val="12015736"/>
    <w:rsid w:val="120174E4"/>
    <w:rsid w:val="12051118"/>
    <w:rsid w:val="12062D4C"/>
    <w:rsid w:val="12105979"/>
    <w:rsid w:val="1218482D"/>
    <w:rsid w:val="122338FE"/>
    <w:rsid w:val="12244F80"/>
    <w:rsid w:val="1226519C"/>
    <w:rsid w:val="122A4C8C"/>
    <w:rsid w:val="122B630F"/>
    <w:rsid w:val="1233153B"/>
    <w:rsid w:val="123A47A4"/>
    <w:rsid w:val="123C051C"/>
    <w:rsid w:val="123C49C0"/>
    <w:rsid w:val="123D6042"/>
    <w:rsid w:val="124617BC"/>
    <w:rsid w:val="12494B6A"/>
    <w:rsid w:val="124D0D21"/>
    <w:rsid w:val="12511B36"/>
    <w:rsid w:val="125F420A"/>
    <w:rsid w:val="126029A5"/>
    <w:rsid w:val="126161D4"/>
    <w:rsid w:val="126B2BAF"/>
    <w:rsid w:val="126D2DCB"/>
    <w:rsid w:val="126E366F"/>
    <w:rsid w:val="12751C80"/>
    <w:rsid w:val="12767ED2"/>
    <w:rsid w:val="1278528D"/>
    <w:rsid w:val="127D1B2A"/>
    <w:rsid w:val="127E0B34"/>
    <w:rsid w:val="127F665A"/>
    <w:rsid w:val="12870DC9"/>
    <w:rsid w:val="128B14A3"/>
    <w:rsid w:val="12922832"/>
    <w:rsid w:val="12987EB7"/>
    <w:rsid w:val="1299771C"/>
    <w:rsid w:val="129C1FAB"/>
    <w:rsid w:val="12A242C4"/>
    <w:rsid w:val="12A731F1"/>
    <w:rsid w:val="12AA7B7B"/>
    <w:rsid w:val="12B216E7"/>
    <w:rsid w:val="12B74046"/>
    <w:rsid w:val="12CD73C6"/>
    <w:rsid w:val="12CF1390"/>
    <w:rsid w:val="12D22C2E"/>
    <w:rsid w:val="12D44BF8"/>
    <w:rsid w:val="12D469A6"/>
    <w:rsid w:val="12D76496"/>
    <w:rsid w:val="12DD36F8"/>
    <w:rsid w:val="12DE7825"/>
    <w:rsid w:val="12DF680F"/>
    <w:rsid w:val="12E017EF"/>
    <w:rsid w:val="12E27315"/>
    <w:rsid w:val="12E4180D"/>
    <w:rsid w:val="12E60488"/>
    <w:rsid w:val="12EA6440"/>
    <w:rsid w:val="12EC17FE"/>
    <w:rsid w:val="12ED005B"/>
    <w:rsid w:val="12EF558E"/>
    <w:rsid w:val="12EF7AF8"/>
    <w:rsid w:val="12F232D0"/>
    <w:rsid w:val="12F26E2C"/>
    <w:rsid w:val="12F47048"/>
    <w:rsid w:val="12F72695"/>
    <w:rsid w:val="12F901BB"/>
    <w:rsid w:val="12F9640D"/>
    <w:rsid w:val="12FD60C7"/>
    <w:rsid w:val="12FE1C75"/>
    <w:rsid w:val="1300779B"/>
    <w:rsid w:val="13036A8B"/>
    <w:rsid w:val="130631D2"/>
    <w:rsid w:val="130B7EEE"/>
    <w:rsid w:val="130F5C30"/>
    <w:rsid w:val="131411AB"/>
    <w:rsid w:val="13165211"/>
    <w:rsid w:val="13187CB0"/>
    <w:rsid w:val="13250FB0"/>
    <w:rsid w:val="13313DF9"/>
    <w:rsid w:val="13367661"/>
    <w:rsid w:val="1340403C"/>
    <w:rsid w:val="134358DA"/>
    <w:rsid w:val="134753CA"/>
    <w:rsid w:val="13524DAD"/>
    <w:rsid w:val="13541895"/>
    <w:rsid w:val="136441CE"/>
    <w:rsid w:val="136F4921"/>
    <w:rsid w:val="13702B73"/>
    <w:rsid w:val="1373619A"/>
    <w:rsid w:val="13767A5D"/>
    <w:rsid w:val="137837D5"/>
    <w:rsid w:val="138142DF"/>
    <w:rsid w:val="13833F28"/>
    <w:rsid w:val="13857BA2"/>
    <w:rsid w:val="13862CCC"/>
    <w:rsid w:val="1386762D"/>
    <w:rsid w:val="138E4DA7"/>
    <w:rsid w:val="13900351"/>
    <w:rsid w:val="13954387"/>
    <w:rsid w:val="13960100"/>
    <w:rsid w:val="139D5CF1"/>
    <w:rsid w:val="13A26AA4"/>
    <w:rsid w:val="13A3635A"/>
    <w:rsid w:val="13A426E7"/>
    <w:rsid w:val="13A97E33"/>
    <w:rsid w:val="13B46AA4"/>
    <w:rsid w:val="13BB36C2"/>
    <w:rsid w:val="13C50A3B"/>
    <w:rsid w:val="13C702B9"/>
    <w:rsid w:val="13CA1B57"/>
    <w:rsid w:val="13CC1070"/>
    <w:rsid w:val="13CF716E"/>
    <w:rsid w:val="13D50C28"/>
    <w:rsid w:val="13D85AAA"/>
    <w:rsid w:val="13D9378D"/>
    <w:rsid w:val="13DB6FB8"/>
    <w:rsid w:val="13E7259A"/>
    <w:rsid w:val="13EA2243"/>
    <w:rsid w:val="13F6294C"/>
    <w:rsid w:val="13F90B03"/>
    <w:rsid w:val="13FD3CDB"/>
    <w:rsid w:val="14011A1D"/>
    <w:rsid w:val="14025462"/>
    <w:rsid w:val="1403484E"/>
    <w:rsid w:val="140B1D9B"/>
    <w:rsid w:val="14103A0E"/>
    <w:rsid w:val="14107EB2"/>
    <w:rsid w:val="14117786"/>
    <w:rsid w:val="14186D67"/>
    <w:rsid w:val="141B0788"/>
    <w:rsid w:val="141B27E4"/>
    <w:rsid w:val="14213E6D"/>
    <w:rsid w:val="14270D58"/>
    <w:rsid w:val="14292D22"/>
    <w:rsid w:val="142B0848"/>
    <w:rsid w:val="142D2812"/>
    <w:rsid w:val="142E32FB"/>
    <w:rsid w:val="142E48AC"/>
    <w:rsid w:val="14394194"/>
    <w:rsid w:val="143A6CDD"/>
    <w:rsid w:val="143C4803"/>
    <w:rsid w:val="143D5520"/>
    <w:rsid w:val="1444190A"/>
    <w:rsid w:val="14445DAD"/>
    <w:rsid w:val="144731A8"/>
    <w:rsid w:val="144813FA"/>
    <w:rsid w:val="144D6A10"/>
    <w:rsid w:val="145F4995"/>
    <w:rsid w:val="14634486"/>
    <w:rsid w:val="14771CDF"/>
    <w:rsid w:val="147860A8"/>
    <w:rsid w:val="147A532B"/>
    <w:rsid w:val="147E27A5"/>
    <w:rsid w:val="148443FC"/>
    <w:rsid w:val="14877923"/>
    <w:rsid w:val="148D45F4"/>
    <w:rsid w:val="14900FF3"/>
    <w:rsid w:val="149363ED"/>
    <w:rsid w:val="1497412F"/>
    <w:rsid w:val="14993714"/>
    <w:rsid w:val="149C1746"/>
    <w:rsid w:val="149F1820"/>
    <w:rsid w:val="149F2FE4"/>
    <w:rsid w:val="14A10CE5"/>
    <w:rsid w:val="14A405FA"/>
    <w:rsid w:val="14A64372"/>
    <w:rsid w:val="14A800EA"/>
    <w:rsid w:val="14A80A0E"/>
    <w:rsid w:val="14B06F9F"/>
    <w:rsid w:val="14B46A8F"/>
    <w:rsid w:val="14B505E3"/>
    <w:rsid w:val="14B95E54"/>
    <w:rsid w:val="14C44852"/>
    <w:rsid w:val="14C96593"/>
    <w:rsid w:val="14CD5DA3"/>
    <w:rsid w:val="14D26F15"/>
    <w:rsid w:val="14E95CEF"/>
    <w:rsid w:val="14EA0703"/>
    <w:rsid w:val="14F15E1C"/>
    <w:rsid w:val="14F57FE3"/>
    <w:rsid w:val="14F72E20"/>
    <w:rsid w:val="150A7730"/>
    <w:rsid w:val="151169CA"/>
    <w:rsid w:val="15194B44"/>
    <w:rsid w:val="151A3F0B"/>
    <w:rsid w:val="15202377"/>
    <w:rsid w:val="153A26E7"/>
    <w:rsid w:val="154107F7"/>
    <w:rsid w:val="15451DDD"/>
    <w:rsid w:val="15452A4F"/>
    <w:rsid w:val="15483CA3"/>
    <w:rsid w:val="154A2F50"/>
    <w:rsid w:val="154A73F4"/>
    <w:rsid w:val="15524A1D"/>
    <w:rsid w:val="15537E34"/>
    <w:rsid w:val="1554409C"/>
    <w:rsid w:val="15567B46"/>
    <w:rsid w:val="155B33AF"/>
    <w:rsid w:val="155D688F"/>
    <w:rsid w:val="155E2E9F"/>
    <w:rsid w:val="156009C5"/>
    <w:rsid w:val="15632263"/>
    <w:rsid w:val="156A3853"/>
    <w:rsid w:val="157B135B"/>
    <w:rsid w:val="157E4A5E"/>
    <w:rsid w:val="15806971"/>
    <w:rsid w:val="1582093B"/>
    <w:rsid w:val="15836462"/>
    <w:rsid w:val="158906BB"/>
    <w:rsid w:val="15897F1C"/>
    <w:rsid w:val="159643E7"/>
    <w:rsid w:val="15976156"/>
    <w:rsid w:val="159B6AEE"/>
    <w:rsid w:val="15A941B8"/>
    <w:rsid w:val="15B075C6"/>
    <w:rsid w:val="15B46D86"/>
    <w:rsid w:val="15B825AF"/>
    <w:rsid w:val="15BB209F"/>
    <w:rsid w:val="15BB3E4D"/>
    <w:rsid w:val="15C471A6"/>
    <w:rsid w:val="15CF04E4"/>
    <w:rsid w:val="15E11B06"/>
    <w:rsid w:val="15EC4007"/>
    <w:rsid w:val="15FD6214"/>
    <w:rsid w:val="15FD6410"/>
    <w:rsid w:val="15FF5E46"/>
    <w:rsid w:val="16021A7C"/>
    <w:rsid w:val="160475A2"/>
    <w:rsid w:val="160A6A90"/>
    <w:rsid w:val="160B0931"/>
    <w:rsid w:val="161361DE"/>
    <w:rsid w:val="161426C7"/>
    <w:rsid w:val="16143C3C"/>
    <w:rsid w:val="1618304E"/>
    <w:rsid w:val="161C28E0"/>
    <w:rsid w:val="1629525B"/>
    <w:rsid w:val="162E461F"/>
    <w:rsid w:val="163065E9"/>
    <w:rsid w:val="163F682C"/>
    <w:rsid w:val="164200CB"/>
    <w:rsid w:val="1642631D"/>
    <w:rsid w:val="16442095"/>
    <w:rsid w:val="164833AF"/>
    <w:rsid w:val="164C04ED"/>
    <w:rsid w:val="164D0F49"/>
    <w:rsid w:val="164D719B"/>
    <w:rsid w:val="1652768E"/>
    <w:rsid w:val="16534086"/>
    <w:rsid w:val="16544222"/>
    <w:rsid w:val="16546845"/>
    <w:rsid w:val="16565924"/>
    <w:rsid w:val="16596B51"/>
    <w:rsid w:val="16691AFB"/>
    <w:rsid w:val="166C4E41"/>
    <w:rsid w:val="166E331E"/>
    <w:rsid w:val="16781D3E"/>
    <w:rsid w:val="167B3A91"/>
    <w:rsid w:val="167E4F7B"/>
    <w:rsid w:val="16810BF3"/>
    <w:rsid w:val="168120B7"/>
    <w:rsid w:val="16816E45"/>
    <w:rsid w:val="16840A70"/>
    <w:rsid w:val="168B305D"/>
    <w:rsid w:val="168F66FB"/>
    <w:rsid w:val="16924BAE"/>
    <w:rsid w:val="169B1CC8"/>
    <w:rsid w:val="169B5218"/>
    <w:rsid w:val="169D782C"/>
    <w:rsid w:val="169E79F7"/>
    <w:rsid w:val="16A56638"/>
    <w:rsid w:val="16A619B3"/>
    <w:rsid w:val="16A62408"/>
    <w:rsid w:val="16B66F43"/>
    <w:rsid w:val="16BE3BF5"/>
    <w:rsid w:val="16C17241"/>
    <w:rsid w:val="16C3745D"/>
    <w:rsid w:val="16C62AAA"/>
    <w:rsid w:val="16CB6312"/>
    <w:rsid w:val="16D72F09"/>
    <w:rsid w:val="16D927DD"/>
    <w:rsid w:val="16DA6555"/>
    <w:rsid w:val="16E318AE"/>
    <w:rsid w:val="16EB3764"/>
    <w:rsid w:val="16EF3DAF"/>
    <w:rsid w:val="16F94C2D"/>
    <w:rsid w:val="16FC471D"/>
    <w:rsid w:val="16FE3FF2"/>
    <w:rsid w:val="17005FBC"/>
    <w:rsid w:val="17033CFE"/>
    <w:rsid w:val="170447DA"/>
    <w:rsid w:val="17045380"/>
    <w:rsid w:val="170535D2"/>
    <w:rsid w:val="1706734A"/>
    <w:rsid w:val="170F5E90"/>
    <w:rsid w:val="1716283B"/>
    <w:rsid w:val="17180C70"/>
    <w:rsid w:val="171E28E6"/>
    <w:rsid w:val="17215F32"/>
    <w:rsid w:val="172516D9"/>
    <w:rsid w:val="17283764"/>
    <w:rsid w:val="17292121"/>
    <w:rsid w:val="173159F1"/>
    <w:rsid w:val="17342109"/>
    <w:rsid w:val="17384B04"/>
    <w:rsid w:val="1739327C"/>
    <w:rsid w:val="173E0892"/>
    <w:rsid w:val="1741112D"/>
    <w:rsid w:val="174B2FAF"/>
    <w:rsid w:val="174C1B02"/>
    <w:rsid w:val="174D31CB"/>
    <w:rsid w:val="175005C5"/>
    <w:rsid w:val="17551314"/>
    <w:rsid w:val="175B58E8"/>
    <w:rsid w:val="175D602C"/>
    <w:rsid w:val="175E7186"/>
    <w:rsid w:val="17620A24"/>
    <w:rsid w:val="176C3651"/>
    <w:rsid w:val="176D73C9"/>
    <w:rsid w:val="17726EEA"/>
    <w:rsid w:val="177E40C4"/>
    <w:rsid w:val="1787048B"/>
    <w:rsid w:val="17884203"/>
    <w:rsid w:val="17914E66"/>
    <w:rsid w:val="17926BD2"/>
    <w:rsid w:val="17942BA8"/>
    <w:rsid w:val="17954360"/>
    <w:rsid w:val="179606CE"/>
    <w:rsid w:val="179C49C1"/>
    <w:rsid w:val="179E3A27"/>
    <w:rsid w:val="17A252C5"/>
    <w:rsid w:val="17A32DEB"/>
    <w:rsid w:val="17AC6144"/>
    <w:rsid w:val="17B31280"/>
    <w:rsid w:val="17B44FF8"/>
    <w:rsid w:val="17B46632"/>
    <w:rsid w:val="17B51F36"/>
    <w:rsid w:val="17B62B1E"/>
    <w:rsid w:val="17BF5E77"/>
    <w:rsid w:val="17C82BCE"/>
    <w:rsid w:val="17CA65CA"/>
    <w:rsid w:val="17DD62FD"/>
    <w:rsid w:val="17EA38DE"/>
    <w:rsid w:val="17EE050A"/>
    <w:rsid w:val="17EF7DDE"/>
    <w:rsid w:val="17F453F5"/>
    <w:rsid w:val="17F9352B"/>
    <w:rsid w:val="18095344"/>
    <w:rsid w:val="180E4708"/>
    <w:rsid w:val="181240A7"/>
    <w:rsid w:val="1824217E"/>
    <w:rsid w:val="18243F2C"/>
    <w:rsid w:val="18267CA4"/>
    <w:rsid w:val="18273A1C"/>
    <w:rsid w:val="18291542"/>
    <w:rsid w:val="182A0E16"/>
    <w:rsid w:val="182B52BA"/>
    <w:rsid w:val="182F0322"/>
    <w:rsid w:val="18352A53"/>
    <w:rsid w:val="183A54FD"/>
    <w:rsid w:val="1847093C"/>
    <w:rsid w:val="184C5231"/>
    <w:rsid w:val="184C6FDF"/>
    <w:rsid w:val="18511F57"/>
    <w:rsid w:val="1857344B"/>
    <w:rsid w:val="18657988"/>
    <w:rsid w:val="18673E19"/>
    <w:rsid w:val="187D5EF7"/>
    <w:rsid w:val="18866995"/>
    <w:rsid w:val="18890233"/>
    <w:rsid w:val="18910E95"/>
    <w:rsid w:val="189746FE"/>
    <w:rsid w:val="189B47D1"/>
    <w:rsid w:val="189D5A8C"/>
    <w:rsid w:val="18A32F63"/>
    <w:rsid w:val="18A51C9C"/>
    <w:rsid w:val="18AB01A9"/>
    <w:rsid w:val="18AB63FB"/>
    <w:rsid w:val="18B43502"/>
    <w:rsid w:val="18B52DD6"/>
    <w:rsid w:val="18BE612E"/>
    <w:rsid w:val="18C94AD3"/>
    <w:rsid w:val="18D45952"/>
    <w:rsid w:val="18D46BEB"/>
    <w:rsid w:val="18DC65B5"/>
    <w:rsid w:val="18DD5F19"/>
    <w:rsid w:val="18E37943"/>
    <w:rsid w:val="18E9167E"/>
    <w:rsid w:val="18EB67F8"/>
    <w:rsid w:val="18ED6A14"/>
    <w:rsid w:val="18F03E0E"/>
    <w:rsid w:val="18F25DD8"/>
    <w:rsid w:val="18F733EE"/>
    <w:rsid w:val="18F97167"/>
    <w:rsid w:val="190056C1"/>
    <w:rsid w:val="1901601B"/>
    <w:rsid w:val="19067AD5"/>
    <w:rsid w:val="19081158"/>
    <w:rsid w:val="190A1374"/>
    <w:rsid w:val="190A2B12"/>
    <w:rsid w:val="190B6E9A"/>
    <w:rsid w:val="19193365"/>
    <w:rsid w:val="191C10A7"/>
    <w:rsid w:val="19212219"/>
    <w:rsid w:val="192817FA"/>
    <w:rsid w:val="19324427"/>
    <w:rsid w:val="1934481E"/>
    <w:rsid w:val="193463F1"/>
    <w:rsid w:val="19375EE1"/>
    <w:rsid w:val="19393A07"/>
    <w:rsid w:val="19406B43"/>
    <w:rsid w:val="194303E2"/>
    <w:rsid w:val="1945415A"/>
    <w:rsid w:val="1946089D"/>
    <w:rsid w:val="194F322A"/>
    <w:rsid w:val="19573E8D"/>
    <w:rsid w:val="195E6FCA"/>
    <w:rsid w:val="1967529D"/>
    <w:rsid w:val="196842EC"/>
    <w:rsid w:val="19717EBC"/>
    <w:rsid w:val="19783AB2"/>
    <w:rsid w:val="197A63D2"/>
    <w:rsid w:val="19856C4C"/>
    <w:rsid w:val="19900E5B"/>
    <w:rsid w:val="19910B4F"/>
    <w:rsid w:val="199212ED"/>
    <w:rsid w:val="199A2918"/>
    <w:rsid w:val="19A10D28"/>
    <w:rsid w:val="19A30E80"/>
    <w:rsid w:val="19A35324"/>
    <w:rsid w:val="19A370D2"/>
    <w:rsid w:val="19A60971"/>
    <w:rsid w:val="19A74E14"/>
    <w:rsid w:val="19A81450"/>
    <w:rsid w:val="19AC5F87"/>
    <w:rsid w:val="19AC7FBE"/>
    <w:rsid w:val="19AE61A3"/>
    <w:rsid w:val="19AF3CC9"/>
    <w:rsid w:val="19B20DD3"/>
    <w:rsid w:val="19B27315"/>
    <w:rsid w:val="19B40CF7"/>
    <w:rsid w:val="19B72B7E"/>
    <w:rsid w:val="19B9232B"/>
    <w:rsid w:val="19B94B48"/>
    <w:rsid w:val="19BD0194"/>
    <w:rsid w:val="19C21C4E"/>
    <w:rsid w:val="19C37774"/>
    <w:rsid w:val="19C92FDD"/>
    <w:rsid w:val="19CC487B"/>
    <w:rsid w:val="19CD414F"/>
    <w:rsid w:val="19CF45FB"/>
    <w:rsid w:val="19D07778"/>
    <w:rsid w:val="19E00326"/>
    <w:rsid w:val="19E03E83"/>
    <w:rsid w:val="19E576EB"/>
    <w:rsid w:val="19E679C4"/>
    <w:rsid w:val="19E971DB"/>
    <w:rsid w:val="19FB6F0E"/>
    <w:rsid w:val="19FD46F1"/>
    <w:rsid w:val="19FD4A34"/>
    <w:rsid w:val="1A037B71"/>
    <w:rsid w:val="1A08318B"/>
    <w:rsid w:val="1A0E1F0E"/>
    <w:rsid w:val="1A11687D"/>
    <w:rsid w:val="1A1F69B1"/>
    <w:rsid w:val="1A24187A"/>
    <w:rsid w:val="1A27777D"/>
    <w:rsid w:val="1A2A3350"/>
    <w:rsid w:val="1A2E4BEE"/>
    <w:rsid w:val="1A3348FA"/>
    <w:rsid w:val="1A402B73"/>
    <w:rsid w:val="1A420699"/>
    <w:rsid w:val="1A493E75"/>
    <w:rsid w:val="1A4B50AA"/>
    <w:rsid w:val="1A564145"/>
    <w:rsid w:val="1A565416"/>
    <w:rsid w:val="1A5B54C3"/>
    <w:rsid w:val="1A69031C"/>
    <w:rsid w:val="1A710772"/>
    <w:rsid w:val="1A716259"/>
    <w:rsid w:val="1A772A39"/>
    <w:rsid w:val="1A7C47D0"/>
    <w:rsid w:val="1A7F369B"/>
    <w:rsid w:val="1A8769F4"/>
    <w:rsid w:val="1A974E89"/>
    <w:rsid w:val="1A9D3949"/>
    <w:rsid w:val="1A9D7FC6"/>
    <w:rsid w:val="1A9F5AEC"/>
    <w:rsid w:val="1AA70D85"/>
    <w:rsid w:val="1AAE21D3"/>
    <w:rsid w:val="1AB0041E"/>
    <w:rsid w:val="1AB377E9"/>
    <w:rsid w:val="1AB570BD"/>
    <w:rsid w:val="1AB9713F"/>
    <w:rsid w:val="1ABF6EAF"/>
    <w:rsid w:val="1AC47300"/>
    <w:rsid w:val="1AC86822"/>
    <w:rsid w:val="1ACC4407"/>
    <w:rsid w:val="1AD02149"/>
    <w:rsid w:val="1AD9671D"/>
    <w:rsid w:val="1ADD03C2"/>
    <w:rsid w:val="1AE259D8"/>
    <w:rsid w:val="1AE31E7C"/>
    <w:rsid w:val="1AE71C05"/>
    <w:rsid w:val="1AEB2BBF"/>
    <w:rsid w:val="1AF04599"/>
    <w:rsid w:val="1AF37BE5"/>
    <w:rsid w:val="1AFC4CEC"/>
    <w:rsid w:val="1B0342CC"/>
    <w:rsid w:val="1B070062"/>
    <w:rsid w:val="1B0961AD"/>
    <w:rsid w:val="1B1262BE"/>
    <w:rsid w:val="1B18764C"/>
    <w:rsid w:val="1B210BF7"/>
    <w:rsid w:val="1B23671D"/>
    <w:rsid w:val="1B28788F"/>
    <w:rsid w:val="1B316012"/>
    <w:rsid w:val="1B35229F"/>
    <w:rsid w:val="1B39193F"/>
    <w:rsid w:val="1B391A9C"/>
    <w:rsid w:val="1B4072CF"/>
    <w:rsid w:val="1B482BAE"/>
    <w:rsid w:val="1B4D72F6"/>
    <w:rsid w:val="1B505038"/>
    <w:rsid w:val="1B506DE6"/>
    <w:rsid w:val="1B570174"/>
    <w:rsid w:val="1B5957A5"/>
    <w:rsid w:val="1B597B7F"/>
    <w:rsid w:val="1B662AAD"/>
    <w:rsid w:val="1B6C7141"/>
    <w:rsid w:val="1B6D5F76"/>
    <w:rsid w:val="1B7138AA"/>
    <w:rsid w:val="1B753A8E"/>
    <w:rsid w:val="1B7B3CCC"/>
    <w:rsid w:val="1B7E5AA8"/>
    <w:rsid w:val="1B83470E"/>
    <w:rsid w:val="1B854CE1"/>
    <w:rsid w:val="1B860A5A"/>
    <w:rsid w:val="1B93683E"/>
    <w:rsid w:val="1B9969DF"/>
    <w:rsid w:val="1B9B4505"/>
    <w:rsid w:val="1B9C4323"/>
    <w:rsid w:val="1BA57132"/>
    <w:rsid w:val="1BA84E74"/>
    <w:rsid w:val="1BAC6712"/>
    <w:rsid w:val="1BB74F5A"/>
    <w:rsid w:val="1BBD402A"/>
    <w:rsid w:val="1BC021BE"/>
    <w:rsid w:val="1BC752FA"/>
    <w:rsid w:val="1BCF0653"/>
    <w:rsid w:val="1BD96DDB"/>
    <w:rsid w:val="1BDD2D6F"/>
    <w:rsid w:val="1BDD64C4"/>
    <w:rsid w:val="1BE0016A"/>
    <w:rsid w:val="1BE13EE2"/>
    <w:rsid w:val="1BEA0FE8"/>
    <w:rsid w:val="1BF65BDF"/>
    <w:rsid w:val="1BF6798D"/>
    <w:rsid w:val="1BFC5AAE"/>
    <w:rsid w:val="1C024584"/>
    <w:rsid w:val="1C03400A"/>
    <w:rsid w:val="1C0A6C76"/>
    <w:rsid w:val="1C142509"/>
    <w:rsid w:val="1C142AAA"/>
    <w:rsid w:val="1C16002F"/>
    <w:rsid w:val="1C19367C"/>
    <w:rsid w:val="1C197B20"/>
    <w:rsid w:val="1C1A4CA0"/>
    <w:rsid w:val="1C1C3525"/>
    <w:rsid w:val="1C262C1A"/>
    <w:rsid w:val="1C290600"/>
    <w:rsid w:val="1C2D2C9B"/>
    <w:rsid w:val="1C3B1844"/>
    <w:rsid w:val="1C3B5CE8"/>
    <w:rsid w:val="1C3D380E"/>
    <w:rsid w:val="1C440C60"/>
    <w:rsid w:val="1C47468D"/>
    <w:rsid w:val="1C4C1CA3"/>
    <w:rsid w:val="1C4D36AB"/>
    <w:rsid w:val="1C4D79F2"/>
    <w:rsid w:val="1C4E5A1B"/>
    <w:rsid w:val="1C511779"/>
    <w:rsid w:val="1C536B8E"/>
    <w:rsid w:val="1C563089"/>
    <w:rsid w:val="1C5841A4"/>
    <w:rsid w:val="1C640D9B"/>
    <w:rsid w:val="1C646FED"/>
    <w:rsid w:val="1C6601F2"/>
    <w:rsid w:val="1C7408FE"/>
    <w:rsid w:val="1C7903AF"/>
    <w:rsid w:val="1C7A05BE"/>
    <w:rsid w:val="1C7D1E5D"/>
    <w:rsid w:val="1C8B27CB"/>
    <w:rsid w:val="1C8E7BC6"/>
    <w:rsid w:val="1C9262FB"/>
    <w:rsid w:val="1C986C96"/>
    <w:rsid w:val="1C997140"/>
    <w:rsid w:val="1CA44A0F"/>
    <w:rsid w:val="1CA70003"/>
    <w:rsid w:val="1CA76EDA"/>
    <w:rsid w:val="1CA94A00"/>
    <w:rsid w:val="1CAB69CA"/>
    <w:rsid w:val="1CB263DE"/>
    <w:rsid w:val="1CB279A9"/>
    <w:rsid w:val="1CB533A4"/>
    <w:rsid w:val="1CB810E7"/>
    <w:rsid w:val="1CBB2985"/>
    <w:rsid w:val="1CBF2475"/>
    <w:rsid w:val="1CC17F9B"/>
    <w:rsid w:val="1CC21F65"/>
    <w:rsid w:val="1CC25AC1"/>
    <w:rsid w:val="1CC84BE4"/>
    <w:rsid w:val="1CC96E50"/>
    <w:rsid w:val="1CCA0C6F"/>
    <w:rsid w:val="1CCD203C"/>
    <w:rsid w:val="1CD04682"/>
    <w:rsid w:val="1CD774B0"/>
    <w:rsid w:val="1CE00629"/>
    <w:rsid w:val="1CE57D5A"/>
    <w:rsid w:val="1CEB326A"/>
    <w:rsid w:val="1CED3684"/>
    <w:rsid w:val="1CF0262F"/>
    <w:rsid w:val="1CF0690F"/>
    <w:rsid w:val="1D0113C9"/>
    <w:rsid w:val="1D01483C"/>
    <w:rsid w:val="1D0C4D3C"/>
    <w:rsid w:val="1D0D31E0"/>
    <w:rsid w:val="1D13631D"/>
    <w:rsid w:val="1D181B85"/>
    <w:rsid w:val="1D1B1F70"/>
    <w:rsid w:val="1D232A04"/>
    <w:rsid w:val="1D2D73DF"/>
    <w:rsid w:val="1D2E13A9"/>
    <w:rsid w:val="1D3272A2"/>
    <w:rsid w:val="1D383FD6"/>
    <w:rsid w:val="1D4209B0"/>
    <w:rsid w:val="1D4330A6"/>
    <w:rsid w:val="1D436C02"/>
    <w:rsid w:val="1D4604A0"/>
    <w:rsid w:val="1D55000A"/>
    <w:rsid w:val="1D586233"/>
    <w:rsid w:val="1D5968EC"/>
    <w:rsid w:val="1D5A3F4C"/>
    <w:rsid w:val="1D5F5A06"/>
    <w:rsid w:val="1D631052"/>
    <w:rsid w:val="1D633073"/>
    <w:rsid w:val="1D666D95"/>
    <w:rsid w:val="1D686669"/>
    <w:rsid w:val="1D6A50EA"/>
    <w:rsid w:val="1D762F10"/>
    <w:rsid w:val="1D796AC8"/>
    <w:rsid w:val="1D7A45EE"/>
    <w:rsid w:val="1D7A639C"/>
    <w:rsid w:val="1D813BCE"/>
    <w:rsid w:val="1D8C53A3"/>
    <w:rsid w:val="1D9531D6"/>
    <w:rsid w:val="1DA460D2"/>
    <w:rsid w:val="1DAB29F9"/>
    <w:rsid w:val="1DAC61A2"/>
    <w:rsid w:val="1DB00010"/>
    <w:rsid w:val="1DB16262"/>
    <w:rsid w:val="1DB418AE"/>
    <w:rsid w:val="1DB55626"/>
    <w:rsid w:val="1DB63878"/>
    <w:rsid w:val="1DB775F0"/>
    <w:rsid w:val="1DBE097F"/>
    <w:rsid w:val="1DC37D43"/>
    <w:rsid w:val="1DC46673"/>
    <w:rsid w:val="1DCA10D2"/>
    <w:rsid w:val="1DCC6BCB"/>
    <w:rsid w:val="1DD35915"/>
    <w:rsid w:val="1DD91315"/>
    <w:rsid w:val="1DDB508D"/>
    <w:rsid w:val="1DEA1774"/>
    <w:rsid w:val="1DF52E86"/>
    <w:rsid w:val="1DF77DC1"/>
    <w:rsid w:val="1DFB128B"/>
    <w:rsid w:val="1DFB3BD9"/>
    <w:rsid w:val="1DFE0D7B"/>
    <w:rsid w:val="1E002D45"/>
    <w:rsid w:val="1E0068A1"/>
    <w:rsid w:val="1E0077BD"/>
    <w:rsid w:val="1E0346BB"/>
    <w:rsid w:val="1E045A8A"/>
    <w:rsid w:val="1E053855"/>
    <w:rsid w:val="1E0565AE"/>
    <w:rsid w:val="1E081BFA"/>
    <w:rsid w:val="1E0C16EA"/>
    <w:rsid w:val="1E0C793C"/>
    <w:rsid w:val="1E0D0FBE"/>
    <w:rsid w:val="1E14234D"/>
    <w:rsid w:val="1E1467F1"/>
    <w:rsid w:val="1E18008F"/>
    <w:rsid w:val="1E2702D2"/>
    <w:rsid w:val="1E2C3B3A"/>
    <w:rsid w:val="1E2F362A"/>
    <w:rsid w:val="1E2F53D8"/>
    <w:rsid w:val="1E301693"/>
    <w:rsid w:val="1E326C77"/>
    <w:rsid w:val="1E3819A8"/>
    <w:rsid w:val="1E396257"/>
    <w:rsid w:val="1E3E386E"/>
    <w:rsid w:val="1E3E39E6"/>
    <w:rsid w:val="1E401394"/>
    <w:rsid w:val="1E403142"/>
    <w:rsid w:val="1E445BB5"/>
    <w:rsid w:val="1E4B5FA8"/>
    <w:rsid w:val="1E4F7829"/>
    <w:rsid w:val="1E5B61CE"/>
    <w:rsid w:val="1E5D1854"/>
    <w:rsid w:val="1E5E181A"/>
    <w:rsid w:val="1E635082"/>
    <w:rsid w:val="1E6C03DB"/>
    <w:rsid w:val="1E7159F1"/>
    <w:rsid w:val="1E7338E5"/>
    <w:rsid w:val="1E74103D"/>
    <w:rsid w:val="1E763007"/>
    <w:rsid w:val="1E786D7F"/>
    <w:rsid w:val="1E7948A6"/>
    <w:rsid w:val="1E7A2AF8"/>
    <w:rsid w:val="1E7D6144"/>
    <w:rsid w:val="1E827BFE"/>
    <w:rsid w:val="1E845724"/>
    <w:rsid w:val="1E8A260F"/>
    <w:rsid w:val="1E8C282B"/>
    <w:rsid w:val="1E8D5CB1"/>
    <w:rsid w:val="1E8F5E77"/>
    <w:rsid w:val="1E911BEF"/>
    <w:rsid w:val="1E9275C5"/>
    <w:rsid w:val="1E931075"/>
    <w:rsid w:val="1E9359FF"/>
    <w:rsid w:val="1E9B1C91"/>
    <w:rsid w:val="1E9C5D87"/>
    <w:rsid w:val="1E9D2342"/>
    <w:rsid w:val="1E9E60BA"/>
    <w:rsid w:val="1EA731C1"/>
    <w:rsid w:val="1EAC07D7"/>
    <w:rsid w:val="1EAE454F"/>
    <w:rsid w:val="1EB31B66"/>
    <w:rsid w:val="1EB35BD8"/>
    <w:rsid w:val="1EBF050A"/>
    <w:rsid w:val="1EC05AB5"/>
    <w:rsid w:val="1EC2624D"/>
    <w:rsid w:val="1EC63B74"/>
    <w:rsid w:val="1ECA65F0"/>
    <w:rsid w:val="1ECE074D"/>
    <w:rsid w:val="1EDA619E"/>
    <w:rsid w:val="1EDC131A"/>
    <w:rsid w:val="1EDC41F6"/>
    <w:rsid w:val="1EDF295B"/>
    <w:rsid w:val="1EE61F3B"/>
    <w:rsid w:val="1EE77A61"/>
    <w:rsid w:val="1EE833D9"/>
    <w:rsid w:val="1EE95587"/>
    <w:rsid w:val="1EEA12FF"/>
    <w:rsid w:val="1EEB5328"/>
    <w:rsid w:val="1EEB7551"/>
    <w:rsid w:val="1EEC32CA"/>
    <w:rsid w:val="1EEC5078"/>
    <w:rsid w:val="1EF34658"/>
    <w:rsid w:val="1EFA3C38"/>
    <w:rsid w:val="1EFB1C1F"/>
    <w:rsid w:val="1F046865"/>
    <w:rsid w:val="1F070103"/>
    <w:rsid w:val="1F095375"/>
    <w:rsid w:val="1F0979D8"/>
    <w:rsid w:val="1F0C322D"/>
    <w:rsid w:val="1F100D66"/>
    <w:rsid w:val="1F122D30"/>
    <w:rsid w:val="1F152820"/>
    <w:rsid w:val="1F15637C"/>
    <w:rsid w:val="1F1840BF"/>
    <w:rsid w:val="1F2C58B2"/>
    <w:rsid w:val="1F3F1B86"/>
    <w:rsid w:val="1F4B4494"/>
    <w:rsid w:val="1F4B6242"/>
    <w:rsid w:val="1F520A72"/>
    <w:rsid w:val="1F5844BB"/>
    <w:rsid w:val="1F5A46D7"/>
    <w:rsid w:val="1F5B1004"/>
    <w:rsid w:val="1F5F1CED"/>
    <w:rsid w:val="1F5F3A9B"/>
    <w:rsid w:val="1F6022F5"/>
    <w:rsid w:val="1F69491A"/>
    <w:rsid w:val="1F705CA9"/>
    <w:rsid w:val="1F792DAF"/>
    <w:rsid w:val="1F7F7C9A"/>
    <w:rsid w:val="1F845EBA"/>
    <w:rsid w:val="1F861028"/>
    <w:rsid w:val="1F881244"/>
    <w:rsid w:val="1F890B18"/>
    <w:rsid w:val="1F896D6A"/>
    <w:rsid w:val="1F973235"/>
    <w:rsid w:val="1F981484"/>
    <w:rsid w:val="1F983013"/>
    <w:rsid w:val="1F983CCE"/>
    <w:rsid w:val="1F9C084C"/>
    <w:rsid w:val="1F9E2816"/>
    <w:rsid w:val="1FA00AD9"/>
    <w:rsid w:val="1FA15E62"/>
    <w:rsid w:val="1FB262C1"/>
    <w:rsid w:val="1FB63591"/>
    <w:rsid w:val="1FBD34A2"/>
    <w:rsid w:val="1FC009DE"/>
    <w:rsid w:val="1FC64311"/>
    <w:rsid w:val="1FC85AE5"/>
    <w:rsid w:val="1FC97167"/>
    <w:rsid w:val="1FCE5529"/>
    <w:rsid w:val="1FD53D5E"/>
    <w:rsid w:val="1FD56262"/>
    <w:rsid w:val="1FE16BA6"/>
    <w:rsid w:val="1FE27D80"/>
    <w:rsid w:val="1FE521F3"/>
    <w:rsid w:val="1FE741BD"/>
    <w:rsid w:val="1FEA15B7"/>
    <w:rsid w:val="1FEB532F"/>
    <w:rsid w:val="1FED554B"/>
    <w:rsid w:val="1FF22B62"/>
    <w:rsid w:val="1FF561AE"/>
    <w:rsid w:val="1FFA08C4"/>
    <w:rsid w:val="1FFE1506"/>
    <w:rsid w:val="200230F1"/>
    <w:rsid w:val="20060D7B"/>
    <w:rsid w:val="200F2C45"/>
    <w:rsid w:val="20112FE8"/>
    <w:rsid w:val="20157E2A"/>
    <w:rsid w:val="201A79C2"/>
    <w:rsid w:val="201C3652"/>
    <w:rsid w:val="20234A6C"/>
    <w:rsid w:val="20285722"/>
    <w:rsid w:val="20286583"/>
    <w:rsid w:val="202F346E"/>
    <w:rsid w:val="2031368A"/>
    <w:rsid w:val="203171E6"/>
    <w:rsid w:val="203A3726"/>
    <w:rsid w:val="203C58F3"/>
    <w:rsid w:val="203E32AB"/>
    <w:rsid w:val="204213F3"/>
    <w:rsid w:val="204A02A8"/>
    <w:rsid w:val="204D6F9F"/>
    <w:rsid w:val="20564E9E"/>
    <w:rsid w:val="2059648A"/>
    <w:rsid w:val="20670E5A"/>
    <w:rsid w:val="206E238A"/>
    <w:rsid w:val="20765541"/>
    <w:rsid w:val="207812B9"/>
    <w:rsid w:val="207C36C3"/>
    <w:rsid w:val="20803CC9"/>
    <w:rsid w:val="208B7348"/>
    <w:rsid w:val="209B0B03"/>
    <w:rsid w:val="209B13A7"/>
    <w:rsid w:val="209D520A"/>
    <w:rsid w:val="209E2043"/>
    <w:rsid w:val="20A43E5C"/>
    <w:rsid w:val="20A756FA"/>
    <w:rsid w:val="20A976C4"/>
    <w:rsid w:val="20AA51EA"/>
    <w:rsid w:val="20AC0F62"/>
    <w:rsid w:val="20AC4ABE"/>
    <w:rsid w:val="20B10327"/>
    <w:rsid w:val="20B24026"/>
    <w:rsid w:val="20B63B8F"/>
    <w:rsid w:val="20B9542D"/>
    <w:rsid w:val="20BB45F9"/>
    <w:rsid w:val="20BB73F7"/>
    <w:rsid w:val="20CA763A"/>
    <w:rsid w:val="20D3029D"/>
    <w:rsid w:val="20D34741"/>
    <w:rsid w:val="20E26732"/>
    <w:rsid w:val="20E64474"/>
    <w:rsid w:val="20EB1A8B"/>
    <w:rsid w:val="20EE157B"/>
    <w:rsid w:val="20EF0E4F"/>
    <w:rsid w:val="20F070A1"/>
    <w:rsid w:val="20F14BC7"/>
    <w:rsid w:val="20F63F8C"/>
    <w:rsid w:val="20FA1CCE"/>
    <w:rsid w:val="20FA3A7C"/>
    <w:rsid w:val="21015D8F"/>
    <w:rsid w:val="21025026"/>
    <w:rsid w:val="21031EA1"/>
    <w:rsid w:val="210E39CB"/>
    <w:rsid w:val="210F0963"/>
    <w:rsid w:val="21154D5A"/>
    <w:rsid w:val="21162880"/>
    <w:rsid w:val="211D6D87"/>
    <w:rsid w:val="21254871"/>
    <w:rsid w:val="21354AB4"/>
    <w:rsid w:val="2149662E"/>
    <w:rsid w:val="214E2A49"/>
    <w:rsid w:val="214F6BCE"/>
    <w:rsid w:val="215414C1"/>
    <w:rsid w:val="21555156"/>
    <w:rsid w:val="215D04AF"/>
    <w:rsid w:val="215D225D"/>
    <w:rsid w:val="216655B5"/>
    <w:rsid w:val="216B138B"/>
    <w:rsid w:val="216D6ACE"/>
    <w:rsid w:val="21723F5A"/>
    <w:rsid w:val="217355DC"/>
    <w:rsid w:val="21833D82"/>
    <w:rsid w:val="21837F15"/>
    <w:rsid w:val="21871088"/>
    <w:rsid w:val="218D0B38"/>
    <w:rsid w:val="21920158"/>
    <w:rsid w:val="21923DFF"/>
    <w:rsid w:val="219557DE"/>
    <w:rsid w:val="21967DBF"/>
    <w:rsid w:val="219A525F"/>
    <w:rsid w:val="219B33C4"/>
    <w:rsid w:val="219C0FD7"/>
    <w:rsid w:val="219F2875"/>
    <w:rsid w:val="21A41C3A"/>
    <w:rsid w:val="21BC0100"/>
    <w:rsid w:val="21BF0821"/>
    <w:rsid w:val="21BF6A73"/>
    <w:rsid w:val="21C66054"/>
    <w:rsid w:val="21C67E02"/>
    <w:rsid w:val="21CE6CB6"/>
    <w:rsid w:val="21CF5542"/>
    <w:rsid w:val="21D4251F"/>
    <w:rsid w:val="21D544E9"/>
    <w:rsid w:val="21D818E3"/>
    <w:rsid w:val="21DA565B"/>
    <w:rsid w:val="21DF0EC4"/>
    <w:rsid w:val="21E66AB3"/>
    <w:rsid w:val="21EA2E05"/>
    <w:rsid w:val="21EF3B5B"/>
    <w:rsid w:val="21F7445F"/>
    <w:rsid w:val="21F9443D"/>
    <w:rsid w:val="22001566"/>
    <w:rsid w:val="22010E3A"/>
    <w:rsid w:val="220426D8"/>
    <w:rsid w:val="2208147E"/>
    <w:rsid w:val="2210107D"/>
    <w:rsid w:val="2221328A"/>
    <w:rsid w:val="22235254"/>
    <w:rsid w:val="222B72CC"/>
    <w:rsid w:val="22330D82"/>
    <w:rsid w:val="22355E26"/>
    <w:rsid w:val="22356D36"/>
    <w:rsid w:val="22391116"/>
    <w:rsid w:val="223E5BEA"/>
    <w:rsid w:val="224315DD"/>
    <w:rsid w:val="224B0ED0"/>
    <w:rsid w:val="224C47AB"/>
    <w:rsid w:val="224F3E0C"/>
    <w:rsid w:val="22525B39"/>
    <w:rsid w:val="22552F34"/>
    <w:rsid w:val="22574EFE"/>
    <w:rsid w:val="226B673B"/>
    <w:rsid w:val="22737F8A"/>
    <w:rsid w:val="22750E06"/>
    <w:rsid w:val="22794E74"/>
    <w:rsid w:val="227B5090"/>
    <w:rsid w:val="22812619"/>
    <w:rsid w:val="2282499F"/>
    <w:rsid w:val="22844605"/>
    <w:rsid w:val="22885B34"/>
    <w:rsid w:val="22905F9B"/>
    <w:rsid w:val="22915D99"/>
    <w:rsid w:val="22960D10"/>
    <w:rsid w:val="229879F0"/>
    <w:rsid w:val="229B3091"/>
    <w:rsid w:val="22A719E1"/>
    <w:rsid w:val="22AD4B1E"/>
    <w:rsid w:val="22B440FE"/>
    <w:rsid w:val="22B45EAC"/>
    <w:rsid w:val="22B62C39"/>
    <w:rsid w:val="22BB36DF"/>
    <w:rsid w:val="22BB548D"/>
    <w:rsid w:val="22BC7AC7"/>
    <w:rsid w:val="22BF2E59"/>
    <w:rsid w:val="22C00CF5"/>
    <w:rsid w:val="22C2681B"/>
    <w:rsid w:val="22C500B9"/>
    <w:rsid w:val="22C5455D"/>
    <w:rsid w:val="22C75BE0"/>
    <w:rsid w:val="22E20C6B"/>
    <w:rsid w:val="22E418F0"/>
    <w:rsid w:val="22E70030"/>
    <w:rsid w:val="22EB1154"/>
    <w:rsid w:val="22EC3277"/>
    <w:rsid w:val="22ED0263"/>
    <w:rsid w:val="22F015DA"/>
    <w:rsid w:val="22F4274D"/>
    <w:rsid w:val="22F96690"/>
    <w:rsid w:val="22FF35CB"/>
    <w:rsid w:val="23040BE2"/>
    <w:rsid w:val="23107582"/>
    <w:rsid w:val="23137077"/>
    <w:rsid w:val="23152DEF"/>
    <w:rsid w:val="2318468D"/>
    <w:rsid w:val="23184B1A"/>
    <w:rsid w:val="232272BA"/>
    <w:rsid w:val="23244DE0"/>
    <w:rsid w:val="23250A35"/>
    <w:rsid w:val="23290648"/>
    <w:rsid w:val="232A43C0"/>
    <w:rsid w:val="23360FB7"/>
    <w:rsid w:val="23376AAB"/>
    <w:rsid w:val="233B037C"/>
    <w:rsid w:val="233B65CE"/>
    <w:rsid w:val="233C36AF"/>
    <w:rsid w:val="233D694A"/>
    <w:rsid w:val="23496F3C"/>
    <w:rsid w:val="23531B69"/>
    <w:rsid w:val="23552CC4"/>
    <w:rsid w:val="23557326"/>
    <w:rsid w:val="23580F2E"/>
    <w:rsid w:val="235A6A54"/>
    <w:rsid w:val="235B27CC"/>
    <w:rsid w:val="235B2848"/>
    <w:rsid w:val="235D47D5"/>
    <w:rsid w:val="235F406A"/>
    <w:rsid w:val="23627FFE"/>
    <w:rsid w:val="236553F8"/>
    <w:rsid w:val="236B2A0F"/>
    <w:rsid w:val="237044C9"/>
    <w:rsid w:val="2375388E"/>
    <w:rsid w:val="23775858"/>
    <w:rsid w:val="237D2742"/>
    <w:rsid w:val="23871813"/>
    <w:rsid w:val="238B4E5F"/>
    <w:rsid w:val="238E2BA1"/>
    <w:rsid w:val="239161EE"/>
    <w:rsid w:val="23967436"/>
    <w:rsid w:val="23977CA8"/>
    <w:rsid w:val="23A777BF"/>
    <w:rsid w:val="23AA2DDC"/>
    <w:rsid w:val="23AE4FF1"/>
    <w:rsid w:val="23B4085A"/>
    <w:rsid w:val="23B720F8"/>
    <w:rsid w:val="23B73EA6"/>
    <w:rsid w:val="23C06940"/>
    <w:rsid w:val="23C11063"/>
    <w:rsid w:val="23C44F4B"/>
    <w:rsid w:val="23C6058D"/>
    <w:rsid w:val="23C67B2A"/>
    <w:rsid w:val="23C70B5B"/>
    <w:rsid w:val="23D06D16"/>
    <w:rsid w:val="23D22A8E"/>
    <w:rsid w:val="23D507D0"/>
    <w:rsid w:val="23D8149D"/>
    <w:rsid w:val="23DB3ED9"/>
    <w:rsid w:val="23DD1433"/>
    <w:rsid w:val="23E10F23"/>
    <w:rsid w:val="23E56031"/>
    <w:rsid w:val="23ED3D6C"/>
    <w:rsid w:val="23F073B8"/>
    <w:rsid w:val="23FC34CB"/>
    <w:rsid w:val="23FC5D5D"/>
    <w:rsid w:val="23FE7D27"/>
    <w:rsid w:val="23FF6D26"/>
    <w:rsid w:val="24001138"/>
    <w:rsid w:val="24030E99"/>
    <w:rsid w:val="24035494"/>
    <w:rsid w:val="24042E63"/>
    <w:rsid w:val="240864B0"/>
    <w:rsid w:val="240A4F8A"/>
    <w:rsid w:val="24155071"/>
    <w:rsid w:val="24174945"/>
    <w:rsid w:val="241935A1"/>
    <w:rsid w:val="241C6A54"/>
    <w:rsid w:val="241E3F25"/>
    <w:rsid w:val="242502D3"/>
    <w:rsid w:val="24277076"/>
    <w:rsid w:val="242B4894"/>
    <w:rsid w:val="242F7169"/>
    <w:rsid w:val="2432177F"/>
    <w:rsid w:val="243674C1"/>
    <w:rsid w:val="24374FE7"/>
    <w:rsid w:val="243D7B46"/>
    <w:rsid w:val="24412E6E"/>
    <w:rsid w:val="2446522A"/>
    <w:rsid w:val="24482D50"/>
    <w:rsid w:val="244A2F6C"/>
    <w:rsid w:val="244A4D1A"/>
    <w:rsid w:val="244B0A92"/>
    <w:rsid w:val="244C00B5"/>
    <w:rsid w:val="244C5796"/>
    <w:rsid w:val="244F2331"/>
    <w:rsid w:val="24613E12"/>
    <w:rsid w:val="24632624"/>
    <w:rsid w:val="24661428"/>
    <w:rsid w:val="24773635"/>
    <w:rsid w:val="247B0206"/>
    <w:rsid w:val="247B1377"/>
    <w:rsid w:val="247E2C16"/>
    <w:rsid w:val="248166DC"/>
    <w:rsid w:val="24855D52"/>
    <w:rsid w:val="24894CC7"/>
    <w:rsid w:val="248D2E59"/>
    <w:rsid w:val="248F4E23"/>
    <w:rsid w:val="2492206B"/>
    <w:rsid w:val="24961D0D"/>
    <w:rsid w:val="24967F5F"/>
    <w:rsid w:val="249E5772"/>
    <w:rsid w:val="249F545E"/>
    <w:rsid w:val="24A77AD6"/>
    <w:rsid w:val="24A85EE5"/>
    <w:rsid w:val="24AF2DCF"/>
    <w:rsid w:val="24B55EEC"/>
    <w:rsid w:val="24B853BF"/>
    <w:rsid w:val="24BB5C18"/>
    <w:rsid w:val="24C04FDC"/>
    <w:rsid w:val="24CA2B96"/>
    <w:rsid w:val="24D42836"/>
    <w:rsid w:val="24D506C8"/>
    <w:rsid w:val="24DE36B4"/>
    <w:rsid w:val="24E0742D"/>
    <w:rsid w:val="24E30CCB"/>
    <w:rsid w:val="24EA02AB"/>
    <w:rsid w:val="24F44F16"/>
    <w:rsid w:val="24F46A34"/>
    <w:rsid w:val="24F669CD"/>
    <w:rsid w:val="24F66C50"/>
    <w:rsid w:val="24FC3D7E"/>
    <w:rsid w:val="25050C41"/>
    <w:rsid w:val="25070E5D"/>
    <w:rsid w:val="2519649B"/>
    <w:rsid w:val="251B2BA7"/>
    <w:rsid w:val="252C71BA"/>
    <w:rsid w:val="252E0198"/>
    <w:rsid w:val="25360432"/>
    <w:rsid w:val="25362D5A"/>
    <w:rsid w:val="25387269"/>
    <w:rsid w:val="253A4D8F"/>
    <w:rsid w:val="253D03DB"/>
    <w:rsid w:val="2540611D"/>
    <w:rsid w:val="254A7A9F"/>
    <w:rsid w:val="254C6870"/>
    <w:rsid w:val="25551BC9"/>
    <w:rsid w:val="25565941"/>
    <w:rsid w:val="25592D3B"/>
    <w:rsid w:val="255C4358"/>
    <w:rsid w:val="256040C9"/>
    <w:rsid w:val="2561056D"/>
    <w:rsid w:val="25710085"/>
    <w:rsid w:val="2572617E"/>
    <w:rsid w:val="257302A1"/>
    <w:rsid w:val="25733493"/>
    <w:rsid w:val="25803D3A"/>
    <w:rsid w:val="25902C01"/>
    <w:rsid w:val="259827BD"/>
    <w:rsid w:val="259D0E7A"/>
    <w:rsid w:val="259D757B"/>
    <w:rsid w:val="259F2E44"/>
    <w:rsid w:val="25A91F14"/>
    <w:rsid w:val="25AB17E9"/>
    <w:rsid w:val="25AB3597"/>
    <w:rsid w:val="25AF4DA6"/>
    <w:rsid w:val="25B032A3"/>
    <w:rsid w:val="25B34B41"/>
    <w:rsid w:val="25B91E90"/>
    <w:rsid w:val="25BD776E"/>
    <w:rsid w:val="25C30157"/>
    <w:rsid w:val="25C32FD6"/>
    <w:rsid w:val="25C428AA"/>
    <w:rsid w:val="25C603D0"/>
    <w:rsid w:val="25CB3C39"/>
    <w:rsid w:val="25D23219"/>
    <w:rsid w:val="25DB14CF"/>
    <w:rsid w:val="25DC7BF4"/>
    <w:rsid w:val="25DE1BBE"/>
    <w:rsid w:val="25DF1492"/>
    <w:rsid w:val="25DF76E4"/>
    <w:rsid w:val="25E371D4"/>
    <w:rsid w:val="25E44CFA"/>
    <w:rsid w:val="25F47F48"/>
    <w:rsid w:val="25F960F3"/>
    <w:rsid w:val="25FA2800"/>
    <w:rsid w:val="25FC2044"/>
    <w:rsid w:val="25FC3DF2"/>
    <w:rsid w:val="260158AC"/>
    <w:rsid w:val="2601765A"/>
    <w:rsid w:val="26051C44"/>
    <w:rsid w:val="260929B3"/>
    <w:rsid w:val="26153106"/>
    <w:rsid w:val="26181471"/>
    <w:rsid w:val="261825DA"/>
    <w:rsid w:val="261B7E53"/>
    <w:rsid w:val="261C4494"/>
    <w:rsid w:val="261F20D3"/>
    <w:rsid w:val="2622319C"/>
    <w:rsid w:val="262275D1"/>
    <w:rsid w:val="26284BE7"/>
    <w:rsid w:val="2629095F"/>
    <w:rsid w:val="262E5F76"/>
    <w:rsid w:val="26301CEE"/>
    <w:rsid w:val="26357304"/>
    <w:rsid w:val="26395046"/>
    <w:rsid w:val="263A2B6C"/>
    <w:rsid w:val="26412A64"/>
    <w:rsid w:val="26435EC5"/>
    <w:rsid w:val="264439EB"/>
    <w:rsid w:val="26451C3D"/>
    <w:rsid w:val="26461511"/>
    <w:rsid w:val="26473E9B"/>
    <w:rsid w:val="26487037"/>
    <w:rsid w:val="26492DAF"/>
    <w:rsid w:val="264D6D44"/>
    <w:rsid w:val="264E03C6"/>
    <w:rsid w:val="265D6D62"/>
    <w:rsid w:val="265F1573"/>
    <w:rsid w:val="26624445"/>
    <w:rsid w:val="266471E8"/>
    <w:rsid w:val="266A3452"/>
    <w:rsid w:val="267442D0"/>
    <w:rsid w:val="26773DC1"/>
    <w:rsid w:val="26793695"/>
    <w:rsid w:val="267C3185"/>
    <w:rsid w:val="268362C1"/>
    <w:rsid w:val="268825FE"/>
    <w:rsid w:val="268A58A2"/>
    <w:rsid w:val="268A7650"/>
    <w:rsid w:val="268E39D0"/>
    <w:rsid w:val="268F110A"/>
    <w:rsid w:val="268F2EB8"/>
    <w:rsid w:val="26995AE5"/>
    <w:rsid w:val="269B7AAF"/>
    <w:rsid w:val="26A050C5"/>
    <w:rsid w:val="26A56238"/>
    <w:rsid w:val="26A821CC"/>
    <w:rsid w:val="26AA1AA0"/>
    <w:rsid w:val="26AC0ACC"/>
    <w:rsid w:val="26B24DF9"/>
    <w:rsid w:val="26B4291F"/>
    <w:rsid w:val="26BB7D0D"/>
    <w:rsid w:val="26C1431F"/>
    <w:rsid w:val="26C37006"/>
    <w:rsid w:val="26C50688"/>
    <w:rsid w:val="26C56027"/>
    <w:rsid w:val="26C81B3E"/>
    <w:rsid w:val="26CF5C93"/>
    <w:rsid w:val="26D1527F"/>
    <w:rsid w:val="26D20FF7"/>
    <w:rsid w:val="26D23E6B"/>
    <w:rsid w:val="26DC3C24"/>
    <w:rsid w:val="26E63E5F"/>
    <w:rsid w:val="26EB1EFE"/>
    <w:rsid w:val="26EF3957"/>
    <w:rsid w:val="26F45411"/>
    <w:rsid w:val="26F96584"/>
    <w:rsid w:val="26FD0CCF"/>
    <w:rsid w:val="26FE2633"/>
    <w:rsid w:val="2705317A"/>
    <w:rsid w:val="27084A19"/>
    <w:rsid w:val="270F3FF9"/>
    <w:rsid w:val="271B0BF0"/>
    <w:rsid w:val="27257379"/>
    <w:rsid w:val="27291C14"/>
    <w:rsid w:val="272B7390"/>
    <w:rsid w:val="272F01F7"/>
    <w:rsid w:val="272F1FA5"/>
    <w:rsid w:val="27343A60"/>
    <w:rsid w:val="2734580E"/>
    <w:rsid w:val="27384086"/>
    <w:rsid w:val="27391076"/>
    <w:rsid w:val="273D0B66"/>
    <w:rsid w:val="274A3283"/>
    <w:rsid w:val="274E2D73"/>
    <w:rsid w:val="274F2647"/>
    <w:rsid w:val="27532158"/>
    <w:rsid w:val="27565784"/>
    <w:rsid w:val="27585733"/>
    <w:rsid w:val="275A389E"/>
    <w:rsid w:val="276500BD"/>
    <w:rsid w:val="27651E6B"/>
    <w:rsid w:val="27653C19"/>
    <w:rsid w:val="276E0D20"/>
    <w:rsid w:val="276E367F"/>
    <w:rsid w:val="277C0BD1"/>
    <w:rsid w:val="277D5407"/>
    <w:rsid w:val="277E60F8"/>
    <w:rsid w:val="277F6452"/>
    <w:rsid w:val="278247CB"/>
    <w:rsid w:val="27826579"/>
    <w:rsid w:val="27836D3D"/>
    <w:rsid w:val="278A18D2"/>
    <w:rsid w:val="278E41B3"/>
    <w:rsid w:val="27910EB2"/>
    <w:rsid w:val="2791205B"/>
    <w:rsid w:val="27921558"/>
    <w:rsid w:val="27960276"/>
    <w:rsid w:val="27A02EA3"/>
    <w:rsid w:val="27A06D9C"/>
    <w:rsid w:val="27A40BE5"/>
    <w:rsid w:val="27A440AE"/>
    <w:rsid w:val="27AC1848"/>
    <w:rsid w:val="27B0416A"/>
    <w:rsid w:val="27BC2C3B"/>
    <w:rsid w:val="27BD1CA7"/>
    <w:rsid w:val="27BF40EE"/>
    <w:rsid w:val="27C13C7E"/>
    <w:rsid w:val="27C46B92"/>
    <w:rsid w:val="27C546B8"/>
    <w:rsid w:val="27C6290A"/>
    <w:rsid w:val="27C72DD7"/>
    <w:rsid w:val="27C923FA"/>
    <w:rsid w:val="27DA4607"/>
    <w:rsid w:val="27DA4FB9"/>
    <w:rsid w:val="27E014F2"/>
    <w:rsid w:val="27EB6814"/>
    <w:rsid w:val="27EE3C0E"/>
    <w:rsid w:val="27FA25B3"/>
    <w:rsid w:val="2800405D"/>
    <w:rsid w:val="28013942"/>
    <w:rsid w:val="28033B5E"/>
    <w:rsid w:val="280B656E"/>
    <w:rsid w:val="280C22E7"/>
    <w:rsid w:val="280E605F"/>
    <w:rsid w:val="28196722"/>
    <w:rsid w:val="281F201A"/>
    <w:rsid w:val="28277120"/>
    <w:rsid w:val="2829733C"/>
    <w:rsid w:val="282B09BF"/>
    <w:rsid w:val="282E038C"/>
    <w:rsid w:val="282E7D8D"/>
    <w:rsid w:val="283852AB"/>
    <w:rsid w:val="283D2292"/>
    <w:rsid w:val="284163F8"/>
    <w:rsid w:val="284303FE"/>
    <w:rsid w:val="28485A15"/>
    <w:rsid w:val="284D302B"/>
    <w:rsid w:val="284D7976"/>
    <w:rsid w:val="284F6DA3"/>
    <w:rsid w:val="28551EE0"/>
    <w:rsid w:val="28565E8D"/>
    <w:rsid w:val="28577A06"/>
    <w:rsid w:val="285D2B42"/>
    <w:rsid w:val="28612632"/>
    <w:rsid w:val="286766E4"/>
    <w:rsid w:val="286914E7"/>
    <w:rsid w:val="286E581F"/>
    <w:rsid w:val="287A36F4"/>
    <w:rsid w:val="287F0D0A"/>
    <w:rsid w:val="28812CD5"/>
    <w:rsid w:val="2881511B"/>
    <w:rsid w:val="2886653D"/>
    <w:rsid w:val="28887BBF"/>
    <w:rsid w:val="2893739E"/>
    <w:rsid w:val="289A78F2"/>
    <w:rsid w:val="28A075FF"/>
    <w:rsid w:val="28A16ED3"/>
    <w:rsid w:val="28A32C4B"/>
    <w:rsid w:val="28A6273B"/>
    <w:rsid w:val="28A94618"/>
    <w:rsid w:val="28B60BD0"/>
    <w:rsid w:val="28C130D1"/>
    <w:rsid w:val="28CC03F4"/>
    <w:rsid w:val="28CD5F1A"/>
    <w:rsid w:val="28CE372B"/>
    <w:rsid w:val="28D41056"/>
    <w:rsid w:val="28D63020"/>
    <w:rsid w:val="28D92B11"/>
    <w:rsid w:val="28DC7F0B"/>
    <w:rsid w:val="28E30F46"/>
    <w:rsid w:val="28E60D8A"/>
    <w:rsid w:val="28E82D54"/>
    <w:rsid w:val="28F45255"/>
    <w:rsid w:val="28FB65E3"/>
    <w:rsid w:val="29086F52"/>
    <w:rsid w:val="290A0F1C"/>
    <w:rsid w:val="290F208E"/>
    <w:rsid w:val="290F53E0"/>
    <w:rsid w:val="29121B7F"/>
    <w:rsid w:val="29127DD1"/>
    <w:rsid w:val="291369FA"/>
    <w:rsid w:val="29192DC0"/>
    <w:rsid w:val="291A72BF"/>
    <w:rsid w:val="291B16F9"/>
    <w:rsid w:val="291D29FD"/>
    <w:rsid w:val="291E496A"/>
    <w:rsid w:val="291E49C7"/>
    <w:rsid w:val="29226266"/>
    <w:rsid w:val="292A336C"/>
    <w:rsid w:val="292D267C"/>
    <w:rsid w:val="29336DAB"/>
    <w:rsid w:val="293826F4"/>
    <w:rsid w:val="293C4DB3"/>
    <w:rsid w:val="293D4E4D"/>
    <w:rsid w:val="29422464"/>
    <w:rsid w:val="294361DC"/>
    <w:rsid w:val="294F4B81"/>
    <w:rsid w:val="29511E01"/>
    <w:rsid w:val="295310F3"/>
    <w:rsid w:val="29591D17"/>
    <w:rsid w:val="295977AD"/>
    <w:rsid w:val="295B3526"/>
    <w:rsid w:val="295D104C"/>
    <w:rsid w:val="295F4E1C"/>
    <w:rsid w:val="29653455"/>
    <w:rsid w:val="296543A4"/>
    <w:rsid w:val="29665F83"/>
    <w:rsid w:val="2967011C"/>
    <w:rsid w:val="29673C78"/>
    <w:rsid w:val="296C5733"/>
    <w:rsid w:val="296D02DD"/>
    <w:rsid w:val="296D3C10"/>
    <w:rsid w:val="296D78BD"/>
    <w:rsid w:val="29736AC1"/>
    <w:rsid w:val="29746395"/>
    <w:rsid w:val="29787C34"/>
    <w:rsid w:val="29787C43"/>
    <w:rsid w:val="298011DE"/>
    <w:rsid w:val="298E7457"/>
    <w:rsid w:val="29915199"/>
    <w:rsid w:val="299627B0"/>
    <w:rsid w:val="299802D6"/>
    <w:rsid w:val="299B6018"/>
    <w:rsid w:val="299F4469"/>
    <w:rsid w:val="29A8408B"/>
    <w:rsid w:val="29BA760A"/>
    <w:rsid w:val="29C54E43"/>
    <w:rsid w:val="29CA4207"/>
    <w:rsid w:val="29CB6407"/>
    <w:rsid w:val="29D200F7"/>
    <w:rsid w:val="29D357B2"/>
    <w:rsid w:val="29D37560"/>
    <w:rsid w:val="29DA08EE"/>
    <w:rsid w:val="29E654E5"/>
    <w:rsid w:val="29EC23D0"/>
    <w:rsid w:val="29F51284"/>
    <w:rsid w:val="29F731DA"/>
    <w:rsid w:val="29FD638B"/>
    <w:rsid w:val="2A04596B"/>
    <w:rsid w:val="2A047719"/>
    <w:rsid w:val="2A0936FF"/>
    <w:rsid w:val="2A0B4F4C"/>
    <w:rsid w:val="2A0B6B04"/>
    <w:rsid w:val="2A0C4820"/>
    <w:rsid w:val="2A1738F0"/>
    <w:rsid w:val="2A181417"/>
    <w:rsid w:val="2A196977"/>
    <w:rsid w:val="2A1C76AC"/>
    <w:rsid w:val="2A202079"/>
    <w:rsid w:val="2A204F8D"/>
    <w:rsid w:val="2A2B114A"/>
    <w:rsid w:val="2A331DAD"/>
    <w:rsid w:val="2A353D77"/>
    <w:rsid w:val="2A391AB9"/>
    <w:rsid w:val="2A3E70CF"/>
    <w:rsid w:val="2A41271B"/>
    <w:rsid w:val="2A4144C9"/>
    <w:rsid w:val="2A44220C"/>
    <w:rsid w:val="2A454BC0"/>
    <w:rsid w:val="2A524929"/>
    <w:rsid w:val="2A555A6C"/>
    <w:rsid w:val="2A5E151F"/>
    <w:rsid w:val="2A612DBE"/>
    <w:rsid w:val="2A622692"/>
    <w:rsid w:val="2A6329AE"/>
    <w:rsid w:val="2A691C72"/>
    <w:rsid w:val="2A6E0ADA"/>
    <w:rsid w:val="2A707A61"/>
    <w:rsid w:val="2A757CA7"/>
    <w:rsid w:val="2A7D127A"/>
    <w:rsid w:val="2A8B3997"/>
    <w:rsid w:val="2A8F65AE"/>
    <w:rsid w:val="2A9211C9"/>
    <w:rsid w:val="2A924D25"/>
    <w:rsid w:val="2A97058D"/>
    <w:rsid w:val="2A9739BC"/>
    <w:rsid w:val="2A994305"/>
    <w:rsid w:val="2A9A4101"/>
    <w:rsid w:val="2AAD0BB7"/>
    <w:rsid w:val="2AB27175"/>
    <w:rsid w:val="2AB70C30"/>
    <w:rsid w:val="2ABA427C"/>
    <w:rsid w:val="2ABD4243"/>
    <w:rsid w:val="2AC35EDE"/>
    <w:rsid w:val="2AC5334C"/>
    <w:rsid w:val="2AC84BEB"/>
    <w:rsid w:val="2AC967C3"/>
    <w:rsid w:val="2AD25A69"/>
    <w:rsid w:val="2AD27817"/>
    <w:rsid w:val="2AD43590"/>
    <w:rsid w:val="2AD74E2E"/>
    <w:rsid w:val="2ADC2444"/>
    <w:rsid w:val="2AE35581"/>
    <w:rsid w:val="2AEF03C9"/>
    <w:rsid w:val="2AEF0632"/>
    <w:rsid w:val="2AF217E0"/>
    <w:rsid w:val="2AFD097C"/>
    <w:rsid w:val="2B073515"/>
    <w:rsid w:val="2B073965"/>
    <w:rsid w:val="2B0C3752"/>
    <w:rsid w:val="2B141BDE"/>
    <w:rsid w:val="2B18339A"/>
    <w:rsid w:val="2B200583"/>
    <w:rsid w:val="2B2C33CC"/>
    <w:rsid w:val="2B2D4A4E"/>
    <w:rsid w:val="2B365FF8"/>
    <w:rsid w:val="2B373B1E"/>
    <w:rsid w:val="2B3900CC"/>
    <w:rsid w:val="2B404781"/>
    <w:rsid w:val="2B4125A7"/>
    <w:rsid w:val="2B413A08"/>
    <w:rsid w:val="2B473D61"/>
    <w:rsid w:val="2B4A583C"/>
    <w:rsid w:val="2B4F24F4"/>
    <w:rsid w:val="2B4F2C16"/>
    <w:rsid w:val="2B51016E"/>
    <w:rsid w:val="2B5605C8"/>
    <w:rsid w:val="2B577D1D"/>
    <w:rsid w:val="2B5B15BB"/>
    <w:rsid w:val="2B5B780D"/>
    <w:rsid w:val="2B5E10AB"/>
    <w:rsid w:val="2B5F1934"/>
    <w:rsid w:val="2B662AB1"/>
    <w:rsid w:val="2B683CD8"/>
    <w:rsid w:val="2B6978BA"/>
    <w:rsid w:val="2B6C1A1A"/>
    <w:rsid w:val="2B6F5066"/>
    <w:rsid w:val="2B6F540B"/>
    <w:rsid w:val="2B710DDE"/>
    <w:rsid w:val="2B74267D"/>
    <w:rsid w:val="2B746B21"/>
    <w:rsid w:val="2B764BC1"/>
    <w:rsid w:val="2B791F31"/>
    <w:rsid w:val="2B7B7EAF"/>
    <w:rsid w:val="2B7C7B3D"/>
    <w:rsid w:val="2B8C3E6A"/>
    <w:rsid w:val="2B8D373E"/>
    <w:rsid w:val="2B8E1990"/>
    <w:rsid w:val="2B960845"/>
    <w:rsid w:val="2B966A97"/>
    <w:rsid w:val="2B9722F6"/>
    <w:rsid w:val="2B9F3B9D"/>
    <w:rsid w:val="2BAA2542"/>
    <w:rsid w:val="2BB1567F"/>
    <w:rsid w:val="2BB36E3A"/>
    <w:rsid w:val="2BBA09D7"/>
    <w:rsid w:val="2BC43604"/>
    <w:rsid w:val="2BD870AF"/>
    <w:rsid w:val="2BDB6BA0"/>
    <w:rsid w:val="2BDD0504"/>
    <w:rsid w:val="2BDD6474"/>
    <w:rsid w:val="2BE07D12"/>
    <w:rsid w:val="2BE75544"/>
    <w:rsid w:val="2BEC2B5B"/>
    <w:rsid w:val="2BF10171"/>
    <w:rsid w:val="2BF51A0F"/>
    <w:rsid w:val="2BFF288E"/>
    <w:rsid w:val="2C025EDA"/>
    <w:rsid w:val="2C0A4D8F"/>
    <w:rsid w:val="2C1005F7"/>
    <w:rsid w:val="2C136339"/>
    <w:rsid w:val="2C155C0E"/>
    <w:rsid w:val="2C1A4B3A"/>
    <w:rsid w:val="2C1D4AC2"/>
    <w:rsid w:val="2C230712"/>
    <w:rsid w:val="2C286E71"/>
    <w:rsid w:val="2C29048A"/>
    <w:rsid w:val="2C2C73FB"/>
    <w:rsid w:val="2C2F6B4B"/>
    <w:rsid w:val="2C3075D9"/>
    <w:rsid w:val="2C31448E"/>
    <w:rsid w:val="2C3F0EDD"/>
    <w:rsid w:val="2C423829"/>
    <w:rsid w:val="2C432176"/>
    <w:rsid w:val="2C4330E2"/>
    <w:rsid w:val="2C484235"/>
    <w:rsid w:val="2C4E2B62"/>
    <w:rsid w:val="2C575896"/>
    <w:rsid w:val="2C5863D0"/>
    <w:rsid w:val="2C602C01"/>
    <w:rsid w:val="2C6170A5"/>
    <w:rsid w:val="2C644EC7"/>
    <w:rsid w:val="2C6B3A80"/>
    <w:rsid w:val="2C725C4B"/>
    <w:rsid w:val="2C730B86"/>
    <w:rsid w:val="2C7768C8"/>
    <w:rsid w:val="2C7867B7"/>
    <w:rsid w:val="2C7B0A57"/>
    <w:rsid w:val="2C7C7A3B"/>
    <w:rsid w:val="2C83526D"/>
    <w:rsid w:val="2C840FE5"/>
    <w:rsid w:val="2C8608B9"/>
    <w:rsid w:val="2C89312C"/>
    <w:rsid w:val="2C8E7311"/>
    <w:rsid w:val="2C934D84"/>
    <w:rsid w:val="2C950AFD"/>
    <w:rsid w:val="2C974875"/>
    <w:rsid w:val="2C9A25B7"/>
    <w:rsid w:val="2C9A6113"/>
    <w:rsid w:val="2C9C00DD"/>
    <w:rsid w:val="2C9D5C03"/>
    <w:rsid w:val="2C9F35EE"/>
    <w:rsid w:val="2CAC567D"/>
    <w:rsid w:val="2CAD5E46"/>
    <w:rsid w:val="2CB25B52"/>
    <w:rsid w:val="2CB30362"/>
    <w:rsid w:val="2CB61A5F"/>
    <w:rsid w:val="2CBF201D"/>
    <w:rsid w:val="2CBF5B79"/>
    <w:rsid w:val="2CCD64E8"/>
    <w:rsid w:val="2CD21D51"/>
    <w:rsid w:val="2CD71115"/>
    <w:rsid w:val="2CDC2BCF"/>
    <w:rsid w:val="2CE51A84"/>
    <w:rsid w:val="2CE81574"/>
    <w:rsid w:val="2CEF46B1"/>
    <w:rsid w:val="2CF03F85"/>
    <w:rsid w:val="2CF76820"/>
    <w:rsid w:val="2CFC41F4"/>
    <w:rsid w:val="2D0619FA"/>
    <w:rsid w:val="2D1A7254"/>
    <w:rsid w:val="2D1B36F8"/>
    <w:rsid w:val="2D1C2FCC"/>
    <w:rsid w:val="2D1E4F96"/>
    <w:rsid w:val="2D215F24"/>
    <w:rsid w:val="2D216834"/>
    <w:rsid w:val="2D241E80"/>
    <w:rsid w:val="2D266C91"/>
    <w:rsid w:val="2D2D6F87"/>
    <w:rsid w:val="2D371BB4"/>
    <w:rsid w:val="2D3C541C"/>
    <w:rsid w:val="2D477265"/>
    <w:rsid w:val="2D480265"/>
    <w:rsid w:val="2D4A5D8B"/>
    <w:rsid w:val="2D4B6B2F"/>
    <w:rsid w:val="2D4C4AC2"/>
    <w:rsid w:val="2D564730"/>
    <w:rsid w:val="2D597D7C"/>
    <w:rsid w:val="2D630BFB"/>
    <w:rsid w:val="2D684463"/>
    <w:rsid w:val="2D6B7AAF"/>
    <w:rsid w:val="2D6F134E"/>
    <w:rsid w:val="2D776454"/>
    <w:rsid w:val="2D7B5F44"/>
    <w:rsid w:val="2D7E3C87"/>
    <w:rsid w:val="2D811081"/>
    <w:rsid w:val="2D8132AC"/>
    <w:rsid w:val="2D8D7A9E"/>
    <w:rsid w:val="2D940DB4"/>
    <w:rsid w:val="2D983721"/>
    <w:rsid w:val="2D9B2143"/>
    <w:rsid w:val="2D9E1C33"/>
    <w:rsid w:val="2D9E7E85"/>
    <w:rsid w:val="2DA60AE7"/>
    <w:rsid w:val="2DA84860"/>
    <w:rsid w:val="2DAC25A2"/>
    <w:rsid w:val="2DB815CA"/>
    <w:rsid w:val="2DB87198"/>
    <w:rsid w:val="2DB9081B"/>
    <w:rsid w:val="2DBB4593"/>
    <w:rsid w:val="2DC07DFB"/>
    <w:rsid w:val="2DC31699"/>
    <w:rsid w:val="2DC518B5"/>
    <w:rsid w:val="2DC53663"/>
    <w:rsid w:val="2DCE076A"/>
    <w:rsid w:val="2DCE5BE2"/>
    <w:rsid w:val="2DD07F16"/>
    <w:rsid w:val="2DD37B2E"/>
    <w:rsid w:val="2DD75C3B"/>
    <w:rsid w:val="2DDC3596"/>
    <w:rsid w:val="2DEC299E"/>
    <w:rsid w:val="2DEF06E0"/>
    <w:rsid w:val="2DEF624E"/>
    <w:rsid w:val="2DF126AA"/>
    <w:rsid w:val="2DF16206"/>
    <w:rsid w:val="2DF33D2D"/>
    <w:rsid w:val="2DF714A1"/>
    <w:rsid w:val="2E026666"/>
    <w:rsid w:val="2E0F48DF"/>
    <w:rsid w:val="2E1B3283"/>
    <w:rsid w:val="2E1F4301"/>
    <w:rsid w:val="2E20089A"/>
    <w:rsid w:val="2E250712"/>
    <w:rsid w:val="2E262C57"/>
    <w:rsid w:val="2E2760CC"/>
    <w:rsid w:val="2E3D58F0"/>
    <w:rsid w:val="2E422F06"/>
    <w:rsid w:val="2E426A62"/>
    <w:rsid w:val="2E440A2C"/>
    <w:rsid w:val="2E444588"/>
    <w:rsid w:val="2E552C39"/>
    <w:rsid w:val="2E55723E"/>
    <w:rsid w:val="2E5679F3"/>
    <w:rsid w:val="2E580034"/>
    <w:rsid w:val="2E5C5B0D"/>
    <w:rsid w:val="2E5D3CD5"/>
    <w:rsid w:val="2E641A7D"/>
    <w:rsid w:val="2E692241"/>
    <w:rsid w:val="2E7632C6"/>
    <w:rsid w:val="2E7806D6"/>
    <w:rsid w:val="2E786D60"/>
    <w:rsid w:val="2E7A6874"/>
    <w:rsid w:val="2E7D3F3E"/>
    <w:rsid w:val="2E8203DE"/>
    <w:rsid w:val="2E8928E3"/>
    <w:rsid w:val="2E94741A"/>
    <w:rsid w:val="2E9774DC"/>
    <w:rsid w:val="2EA45B4E"/>
    <w:rsid w:val="2EA4771D"/>
    <w:rsid w:val="2EB001C3"/>
    <w:rsid w:val="2EB462EC"/>
    <w:rsid w:val="2EB61D24"/>
    <w:rsid w:val="2EB92876"/>
    <w:rsid w:val="2EBC2E1B"/>
    <w:rsid w:val="2EBC4A66"/>
    <w:rsid w:val="2EBE2287"/>
    <w:rsid w:val="2EC15BD9"/>
    <w:rsid w:val="2EC27BA3"/>
    <w:rsid w:val="2EC456C9"/>
    <w:rsid w:val="2EC563D6"/>
    <w:rsid w:val="2EC97183"/>
    <w:rsid w:val="2ECE479A"/>
    <w:rsid w:val="2ECF2712"/>
    <w:rsid w:val="2ED51684"/>
    <w:rsid w:val="2ED7364E"/>
    <w:rsid w:val="2EDC0C65"/>
    <w:rsid w:val="2EDC6EB7"/>
    <w:rsid w:val="2EE10029"/>
    <w:rsid w:val="2EE95130"/>
    <w:rsid w:val="2EEB0EA8"/>
    <w:rsid w:val="2EEF6BEA"/>
    <w:rsid w:val="2EF02962"/>
    <w:rsid w:val="2EF17594"/>
    <w:rsid w:val="2F00243A"/>
    <w:rsid w:val="2F025A79"/>
    <w:rsid w:val="2F0C46EC"/>
    <w:rsid w:val="2F126434"/>
    <w:rsid w:val="2F132180"/>
    <w:rsid w:val="2F146650"/>
    <w:rsid w:val="2F210D6D"/>
    <w:rsid w:val="2F236894"/>
    <w:rsid w:val="2F2919D0"/>
    <w:rsid w:val="2F2A282C"/>
    <w:rsid w:val="2F2D7712"/>
    <w:rsid w:val="2F302D5E"/>
    <w:rsid w:val="2F324D29"/>
    <w:rsid w:val="2F3565C7"/>
    <w:rsid w:val="2F364819"/>
    <w:rsid w:val="2F370591"/>
    <w:rsid w:val="2F3C5BA7"/>
    <w:rsid w:val="2F3E191F"/>
    <w:rsid w:val="2F3F2FA2"/>
    <w:rsid w:val="2F4058E6"/>
    <w:rsid w:val="2F41392E"/>
    <w:rsid w:val="2F414F6C"/>
    <w:rsid w:val="2F464330"/>
    <w:rsid w:val="2F4A2D72"/>
    <w:rsid w:val="2F4D3910"/>
    <w:rsid w:val="2F5051AF"/>
    <w:rsid w:val="2F522CD5"/>
    <w:rsid w:val="2F594063"/>
    <w:rsid w:val="2F5C1DA5"/>
    <w:rsid w:val="2F61560E"/>
    <w:rsid w:val="2F6C2E99"/>
    <w:rsid w:val="2F7470EF"/>
    <w:rsid w:val="2F827A5E"/>
    <w:rsid w:val="2F912E6A"/>
    <w:rsid w:val="2F923A19"/>
    <w:rsid w:val="2F99570A"/>
    <w:rsid w:val="2FA06136"/>
    <w:rsid w:val="2FA12EAC"/>
    <w:rsid w:val="2FAA48BF"/>
    <w:rsid w:val="2FAB0637"/>
    <w:rsid w:val="2FAC4ADB"/>
    <w:rsid w:val="2FAD0853"/>
    <w:rsid w:val="2FB219C5"/>
    <w:rsid w:val="2FB67708"/>
    <w:rsid w:val="2FBC1D2B"/>
    <w:rsid w:val="2FBC45F2"/>
    <w:rsid w:val="2FC811E9"/>
    <w:rsid w:val="2FC949E6"/>
    <w:rsid w:val="2FCA6D0F"/>
    <w:rsid w:val="2FCB35A6"/>
    <w:rsid w:val="2FCF07C9"/>
    <w:rsid w:val="2FD656B4"/>
    <w:rsid w:val="2FDB53C0"/>
    <w:rsid w:val="2FE53EEE"/>
    <w:rsid w:val="2FE853E7"/>
    <w:rsid w:val="2FF248C3"/>
    <w:rsid w:val="2FF3108F"/>
    <w:rsid w:val="2FF344B8"/>
    <w:rsid w:val="2FF40230"/>
    <w:rsid w:val="2FFE4C0B"/>
    <w:rsid w:val="3002294D"/>
    <w:rsid w:val="300264A9"/>
    <w:rsid w:val="3011493E"/>
    <w:rsid w:val="30131DC2"/>
    <w:rsid w:val="30182170"/>
    <w:rsid w:val="30184A37"/>
    <w:rsid w:val="301D6BAD"/>
    <w:rsid w:val="30204B81"/>
    <w:rsid w:val="30244B9F"/>
    <w:rsid w:val="302F1268"/>
    <w:rsid w:val="302F2517"/>
    <w:rsid w:val="303348B4"/>
    <w:rsid w:val="30337920"/>
    <w:rsid w:val="303453F9"/>
    <w:rsid w:val="303F76FD"/>
    <w:rsid w:val="30420F9B"/>
    <w:rsid w:val="30507C3E"/>
    <w:rsid w:val="305111DE"/>
    <w:rsid w:val="305D273A"/>
    <w:rsid w:val="305D4027"/>
    <w:rsid w:val="305D7B83"/>
    <w:rsid w:val="30601421"/>
    <w:rsid w:val="306058C5"/>
    <w:rsid w:val="306C1990"/>
    <w:rsid w:val="307153DD"/>
    <w:rsid w:val="307D0225"/>
    <w:rsid w:val="307D1FD3"/>
    <w:rsid w:val="30801FAB"/>
    <w:rsid w:val="30830B7D"/>
    <w:rsid w:val="3086483E"/>
    <w:rsid w:val="30872E52"/>
    <w:rsid w:val="30874C00"/>
    <w:rsid w:val="308855D1"/>
    <w:rsid w:val="308B2942"/>
    <w:rsid w:val="308B46F0"/>
    <w:rsid w:val="308F7DEE"/>
    <w:rsid w:val="309612E7"/>
    <w:rsid w:val="309A2B85"/>
    <w:rsid w:val="309D14D3"/>
    <w:rsid w:val="309D4424"/>
    <w:rsid w:val="30A80D53"/>
    <w:rsid w:val="30A9101A"/>
    <w:rsid w:val="30A9726C"/>
    <w:rsid w:val="30AC4667"/>
    <w:rsid w:val="30AD0B0B"/>
    <w:rsid w:val="30B359F5"/>
    <w:rsid w:val="30B67293"/>
    <w:rsid w:val="30B80A53"/>
    <w:rsid w:val="30C45E54"/>
    <w:rsid w:val="30C47C02"/>
    <w:rsid w:val="30CF6683"/>
    <w:rsid w:val="30D6155F"/>
    <w:rsid w:val="30E43E01"/>
    <w:rsid w:val="30E67B79"/>
    <w:rsid w:val="30F009F7"/>
    <w:rsid w:val="30F5600E"/>
    <w:rsid w:val="30F73B34"/>
    <w:rsid w:val="30F878AC"/>
    <w:rsid w:val="30FA7AC8"/>
    <w:rsid w:val="30FE32FE"/>
    <w:rsid w:val="3102072B"/>
    <w:rsid w:val="3103697D"/>
    <w:rsid w:val="310B3A83"/>
    <w:rsid w:val="31132938"/>
    <w:rsid w:val="311961A0"/>
    <w:rsid w:val="311D7312"/>
    <w:rsid w:val="31265672"/>
    <w:rsid w:val="312839F7"/>
    <w:rsid w:val="31321010"/>
    <w:rsid w:val="313A7EC4"/>
    <w:rsid w:val="31402441"/>
    <w:rsid w:val="314174A5"/>
    <w:rsid w:val="31440D43"/>
    <w:rsid w:val="31476A7C"/>
    <w:rsid w:val="314A70F7"/>
    <w:rsid w:val="314D19A6"/>
    <w:rsid w:val="31554CFE"/>
    <w:rsid w:val="31576CC8"/>
    <w:rsid w:val="315A40C3"/>
    <w:rsid w:val="31603DCF"/>
    <w:rsid w:val="316B3526"/>
    <w:rsid w:val="316F4012"/>
    <w:rsid w:val="317038E6"/>
    <w:rsid w:val="31745184"/>
    <w:rsid w:val="317E24A7"/>
    <w:rsid w:val="317F1D7B"/>
    <w:rsid w:val="31812575"/>
    <w:rsid w:val="318178A1"/>
    <w:rsid w:val="31834F09"/>
    <w:rsid w:val="31864EB8"/>
    <w:rsid w:val="31886E82"/>
    <w:rsid w:val="318B24CE"/>
    <w:rsid w:val="318C34DD"/>
    <w:rsid w:val="3192358B"/>
    <w:rsid w:val="31927D00"/>
    <w:rsid w:val="319677F1"/>
    <w:rsid w:val="319C7200"/>
    <w:rsid w:val="319E0249"/>
    <w:rsid w:val="31A87524"/>
    <w:rsid w:val="31AA329C"/>
    <w:rsid w:val="31AB491E"/>
    <w:rsid w:val="31AD0696"/>
    <w:rsid w:val="31AE76A3"/>
    <w:rsid w:val="31AF440F"/>
    <w:rsid w:val="31B95877"/>
    <w:rsid w:val="31C205E6"/>
    <w:rsid w:val="31C82C7F"/>
    <w:rsid w:val="31D10829"/>
    <w:rsid w:val="31D420C7"/>
    <w:rsid w:val="31D82DA0"/>
    <w:rsid w:val="31EB11BF"/>
    <w:rsid w:val="31F03846"/>
    <w:rsid w:val="31F15893"/>
    <w:rsid w:val="31F2254D"/>
    <w:rsid w:val="31F300EE"/>
    <w:rsid w:val="320329AC"/>
    <w:rsid w:val="3203475A"/>
    <w:rsid w:val="320D5288"/>
    <w:rsid w:val="320F28B0"/>
    <w:rsid w:val="32144BB9"/>
    <w:rsid w:val="321A2D0F"/>
    <w:rsid w:val="32230959"/>
    <w:rsid w:val="3223322E"/>
    <w:rsid w:val="32233775"/>
    <w:rsid w:val="322E7A29"/>
    <w:rsid w:val="32340DB8"/>
    <w:rsid w:val="3239017C"/>
    <w:rsid w:val="323B2146"/>
    <w:rsid w:val="323E5792"/>
    <w:rsid w:val="324A2ACB"/>
    <w:rsid w:val="32502792"/>
    <w:rsid w:val="325356E2"/>
    <w:rsid w:val="32543208"/>
    <w:rsid w:val="325A6A70"/>
    <w:rsid w:val="325B4596"/>
    <w:rsid w:val="325B5E1C"/>
    <w:rsid w:val="325B6344"/>
    <w:rsid w:val="3260395B"/>
    <w:rsid w:val="3264169D"/>
    <w:rsid w:val="3264344B"/>
    <w:rsid w:val="32653C91"/>
    <w:rsid w:val="32696CB3"/>
    <w:rsid w:val="326B46FA"/>
    <w:rsid w:val="32717916"/>
    <w:rsid w:val="32732014"/>
    <w:rsid w:val="327360D5"/>
    <w:rsid w:val="327B2543"/>
    <w:rsid w:val="327F64D7"/>
    <w:rsid w:val="32805DAB"/>
    <w:rsid w:val="3283636F"/>
    <w:rsid w:val="3284589B"/>
    <w:rsid w:val="3287538B"/>
    <w:rsid w:val="32904240"/>
    <w:rsid w:val="3291620A"/>
    <w:rsid w:val="32917FB8"/>
    <w:rsid w:val="32967772"/>
    <w:rsid w:val="329A6E6D"/>
    <w:rsid w:val="329B0E37"/>
    <w:rsid w:val="329F26D5"/>
    <w:rsid w:val="32AC7161"/>
    <w:rsid w:val="32B37F2E"/>
    <w:rsid w:val="32B53CA7"/>
    <w:rsid w:val="32B67A1F"/>
    <w:rsid w:val="32BC3B2E"/>
    <w:rsid w:val="32C0264B"/>
    <w:rsid w:val="32C739DA"/>
    <w:rsid w:val="32D0288E"/>
    <w:rsid w:val="32D3237F"/>
    <w:rsid w:val="32D54349"/>
    <w:rsid w:val="32D66E37"/>
    <w:rsid w:val="32DC1AA8"/>
    <w:rsid w:val="32DD0992"/>
    <w:rsid w:val="32DD4FAB"/>
    <w:rsid w:val="32DF6F75"/>
    <w:rsid w:val="32E93950"/>
    <w:rsid w:val="32F04CDF"/>
    <w:rsid w:val="32F72511"/>
    <w:rsid w:val="32FF0DF3"/>
    <w:rsid w:val="3301513E"/>
    <w:rsid w:val="33096785"/>
    <w:rsid w:val="330C763F"/>
    <w:rsid w:val="330E785B"/>
    <w:rsid w:val="3317670F"/>
    <w:rsid w:val="33180DAC"/>
    <w:rsid w:val="33182487"/>
    <w:rsid w:val="331B66F2"/>
    <w:rsid w:val="33203425"/>
    <w:rsid w:val="332130EA"/>
    <w:rsid w:val="332300F4"/>
    <w:rsid w:val="33233A9D"/>
    <w:rsid w:val="33264BA4"/>
    <w:rsid w:val="33276F01"/>
    <w:rsid w:val="332B21BB"/>
    <w:rsid w:val="333077D1"/>
    <w:rsid w:val="333C6ED8"/>
    <w:rsid w:val="33541711"/>
    <w:rsid w:val="33557238"/>
    <w:rsid w:val="3358616F"/>
    <w:rsid w:val="33586728"/>
    <w:rsid w:val="335C2374"/>
    <w:rsid w:val="335E60EC"/>
    <w:rsid w:val="3361798A"/>
    <w:rsid w:val="336254B1"/>
    <w:rsid w:val="33633703"/>
    <w:rsid w:val="336449CE"/>
    <w:rsid w:val="336456CD"/>
    <w:rsid w:val="336A2681"/>
    <w:rsid w:val="336B60FB"/>
    <w:rsid w:val="33751688"/>
    <w:rsid w:val="337A7C1E"/>
    <w:rsid w:val="3381627F"/>
    <w:rsid w:val="338E62A6"/>
    <w:rsid w:val="338F274A"/>
    <w:rsid w:val="339147B5"/>
    <w:rsid w:val="33945FB2"/>
    <w:rsid w:val="33963EB7"/>
    <w:rsid w:val="33983272"/>
    <w:rsid w:val="33995376"/>
    <w:rsid w:val="339A10EE"/>
    <w:rsid w:val="339C09C3"/>
    <w:rsid w:val="339C4E66"/>
    <w:rsid w:val="339E473B"/>
    <w:rsid w:val="33A03224"/>
    <w:rsid w:val="33A1247D"/>
    <w:rsid w:val="33B2468A"/>
    <w:rsid w:val="33B64797"/>
    <w:rsid w:val="33B91574"/>
    <w:rsid w:val="33BA52ED"/>
    <w:rsid w:val="33BE336B"/>
    <w:rsid w:val="33C02A0F"/>
    <w:rsid w:val="33C10E62"/>
    <w:rsid w:val="33C30645"/>
    <w:rsid w:val="33C71857"/>
    <w:rsid w:val="33CA19D4"/>
    <w:rsid w:val="33D22636"/>
    <w:rsid w:val="33D60378"/>
    <w:rsid w:val="33E17F12"/>
    <w:rsid w:val="33E842E6"/>
    <w:rsid w:val="33F26834"/>
    <w:rsid w:val="33F407FF"/>
    <w:rsid w:val="33F425AD"/>
    <w:rsid w:val="33FB4C99"/>
    <w:rsid w:val="33FB4D82"/>
    <w:rsid w:val="33FC2A86"/>
    <w:rsid w:val="340518DC"/>
    <w:rsid w:val="340C3D9A"/>
    <w:rsid w:val="340F73E6"/>
    <w:rsid w:val="3411315F"/>
    <w:rsid w:val="341449FD"/>
    <w:rsid w:val="341B5D8B"/>
    <w:rsid w:val="341C0C99"/>
    <w:rsid w:val="341C4358"/>
    <w:rsid w:val="341D5FA7"/>
    <w:rsid w:val="341E587B"/>
    <w:rsid w:val="34232E92"/>
    <w:rsid w:val="34254E5C"/>
    <w:rsid w:val="342B1D46"/>
    <w:rsid w:val="342D5ABF"/>
    <w:rsid w:val="343155AF"/>
    <w:rsid w:val="343432F1"/>
    <w:rsid w:val="34363308"/>
    <w:rsid w:val="343706EB"/>
    <w:rsid w:val="343B591B"/>
    <w:rsid w:val="344572AC"/>
    <w:rsid w:val="345D45F6"/>
    <w:rsid w:val="346E05B1"/>
    <w:rsid w:val="34711E4F"/>
    <w:rsid w:val="347656B7"/>
    <w:rsid w:val="34781430"/>
    <w:rsid w:val="347B2CCE"/>
    <w:rsid w:val="348576A9"/>
    <w:rsid w:val="34897199"/>
    <w:rsid w:val="348A10EC"/>
    <w:rsid w:val="348C4EDB"/>
    <w:rsid w:val="348D6F1C"/>
    <w:rsid w:val="348F0527"/>
    <w:rsid w:val="348F22D5"/>
    <w:rsid w:val="3491187F"/>
    <w:rsid w:val="34930017"/>
    <w:rsid w:val="34951ECC"/>
    <w:rsid w:val="34963664"/>
    <w:rsid w:val="349761A3"/>
    <w:rsid w:val="34980AC4"/>
    <w:rsid w:val="349D0E96"/>
    <w:rsid w:val="349D49F2"/>
    <w:rsid w:val="349E076A"/>
    <w:rsid w:val="34A114F5"/>
    <w:rsid w:val="34A43FD3"/>
    <w:rsid w:val="34A71D15"/>
    <w:rsid w:val="34A845B2"/>
    <w:rsid w:val="34AD3D69"/>
    <w:rsid w:val="34AE3328"/>
    <w:rsid w:val="34B34216"/>
    <w:rsid w:val="34B91EE7"/>
    <w:rsid w:val="34B92969"/>
    <w:rsid w:val="34BE410B"/>
    <w:rsid w:val="34C93A39"/>
    <w:rsid w:val="34CA5108"/>
    <w:rsid w:val="34CC3529"/>
    <w:rsid w:val="34CF6B76"/>
    <w:rsid w:val="34D523DE"/>
    <w:rsid w:val="34D61600"/>
    <w:rsid w:val="34D66156"/>
    <w:rsid w:val="34D750C6"/>
    <w:rsid w:val="34DB19BE"/>
    <w:rsid w:val="34DF14AF"/>
    <w:rsid w:val="34E22D4D"/>
    <w:rsid w:val="34E27C35"/>
    <w:rsid w:val="34E46AC5"/>
    <w:rsid w:val="34E70363"/>
    <w:rsid w:val="34FA0097"/>
    <w:rsid w:val="34FA1E45"/>
    <w:rsid w:val="34FA62E8"/>
    <w:rsid w:val="35040F15"/>
    <w:rsid w:val="350902DA"/>
    <w:rsid w:val="351A6043"/>
    <w:rsid w:val="35204D95"/>
    <w:rsid w:val="352B46F4"/>
    <w:rsid w:val="352D221A"/>
    <w:rsid w:val="352D3CED"/>
    <w:rsid w:val="35357321"/>
    <w:rsid w:val="35366BF5"/>
    <w:rsid w:val="3538471B"/>
    <w:rsid w:val="35410481"/>
    <w:rsid w:val="354237EC"/>
    <w:rsid w:val="35431A3E"/>
    <w:rsid w:val="35470E02"/>
    <w:rsid w:val="35487054"/>
    <w:rsid w:val="35531555"/>
    <w:rsid w:val="35563A9D"/>
    <w:rsid w:val="3558300F"/>
    <w:rsid w:val="355E0625"/>
    <w:rsid w:val="356419B4"/>
    <w:rsid w:val="35650978"/>
    <w:rsid w:val="35690D78"/>
    <w:rsid w:val="3569521C"/>
    <w:rsid w:val="356D6ABA"/>
    <w:rsid w:val="35700359"/>
    <w:rsid w:val="3574669E"/>
    <w:rsid w:val="357778BD"/>
    <w:rsid w:val="3578720D"/>
    <w:rsid w:val="357A11D7"/>
    <w:rsid w:val="357C0AAC"/>
    <w:rsid w:val="357C7345"/>
    <w:rsid w:val="357F5240"/>
    <w:rsid w:val="357F67EE"/>
    <w:rsid w:val="358160C2"/>
    <w:rsid w:val="358279F3"/>
    <w:rsid w:val="358362DE"/>
    <w:rsid w:val="358A766C"/>
    <w:rsid w:val="358D0F0B"/>
    <w:rsid w:val="358E5865"/>
    <w:rsid w:val="3592207D"/>
    <w:rsid w:val="359A5D39"/>
    <w:rsid w:val="359A7184"/>
    <w:rsid w:val="359C2CD9"/>
    <w:rsid w:val="359D0A22"/>
    <w:rsid w:val="359D295D"/>
    <w:rsid w:val="359F08EB"/>
    <w:rsid w:val="35A61FCC"/>
    <w:rsid w:val="35A7094F"/>
    <w:rsid w:val="35A818A1"/>
    <w:rsid w:val="35AD6EB7"/>
    <w:rsid w:val="35B93AAE"/>
    <w:rsid w:val="35C13A7B"/>
    <w:rsid w:val="35C30488"/>
    <w:rsid w:val="35C82100"/>
    <w:rsid w:val="35CA60DF"/>
    <w:rsid w:val="35CF507F"/>
    <w:rsid w:val="35D2691D"/>
    <w:rsid w:val="35D8035B"/>
    <w:rsid w:val="35D97CAC"/>
    <w:rsid w:val="35DA3A24"/>
    <w:rsid w:val="35DD4AE1"/>
    <w:rsid w:val="35EA1EB9"/>
    <w:rsid w:val="35F20D6E"/>
    <w:rsid w:val="35F363F2"/>
    <w:rsid w:val="35F9334B"/>
    <w:rsid w:val="35FB40C6"/>
    <w:rsid w:val="35FC0EDD"/>
    <w:rsid w:val="35FF2E36"/>
    <w:rsid w:val="36015455"/>
    <w:rsid w:val="36017959"/>
    <w:rsid w:val="360A392E"/>
    <w:rsid w:val="360B1E2F"/>
    <w:rsid w:val="360B30D1"/>
    <w:rsid w:val="360F18B9"/>
    <w:rsid w:val="361B6516"/>
    <w:rsid w:val="36266C69"/>
    <w:rsid w:val="36286E2C"/>
    <w:rsid w:val="362B6A5C"/>
    <w:rsid w:val="362C7822"/>
    <w:rsid w:val="362F1FC2"/>
    <w:rsid w:val="36324D14"/>
    <w:rsid w:val="36343134"/>
    <w:rsid w:val="36363350"/>
    <w:rsid w:val="36392E40"/>
    <w:rsid w:val="363C1548"/>
    <w:rsid w:val="364020BF"/>
    <w:rsid w:val="36483084"/>
    <w:rsid w:val="36484E32"/>
    <w:rsid w:val="364C66D0"/>
    <w:rsid w:val="364C7FFC"/>
    <w:rsid w:val="364F22D7"/>
    <w:rsid w:val="36541A28"/>
    <w:rsid w:val="365437D6"/>
    <w:rsid w:val="365A1ADC"/>
    <w:rsid w:val="365E4655"/>
    <w:rsid w:val="36637EBD"/>
    <w:rsid w:val="36667DB3"/>
    <w:rsid w:val="366E2AEA"/>
    <w:rsid w:val="368C11C2"/>
    <w:rsid w:val="368E7A59"/>
    <w:rsid w:val="36910587"/>
    <w:rsid w:val="369260AD"/>
    <w:rsid w:val="36987753"/>
    <w:rsid w:val="369E04F7"/>
    <w:rsid w:val="369E719B"/>
    <w:rsid w:val="36AC023A"/>
    <w:rsid w:val="36B129D7"/>
    <w:rsid w:val="36B14785"/>
    <w:rsid w:val="36B94C78"/>
    <w:rsid w:val="36BD137C"/>
    <w:rsid w:val="36BD312A"/>
    <w:rsid w:val="36C142AC"/>
    <w:rsid w:val="36C22E36"/>
    <w:rsid w:val="36C528E1"/>
    <w:rsid w:val="36C66559"/>
    <w:rsid w:val="36C73FA8"/>
    <w:rsid w:val="36CE01E2"/>
    <w:rsid w:val="36D14E27"/>
    <w:rsid w:val="36DD557A"/>
    <w:rsid w:val="36DF6832"/>
    <w:rsid w:val="36E27034"/>
    <w:rsid w:val="36E6514A"/>
    <w:rsid w:val="36EF34FF"/>
    <w:rsid w:val="36F6373C"/>
    <w:rsid w:val="36FD3E6E"/>
    <w:rsid w:val="370C5E5F"/>
    <w:rsid w:val="370E1FEA"/>
    <w:rsid w:val="371116C7"/>
    <w:rsid w:val="37165CDA"/>
    <w:rsid w:val="371A44DE"/>
    <w:rsid w:val="371E516A"/>
    <w:rsid w:val="372413FB"/>
    <w:rsid w:val="372431A9"/>
    <w:rsid w:val="372555C4"/>
    <w:rsid w:val="372633C5"/>
    <w:rsid w:val="37295A2E"/>
    <w:rsid w:val="372C02AF"/>
    <w:rsid w:val="37304231"/>
    <w:rsid w:val="37343C8E"/>
    <w:rsid w:val="373A29CC"/>
    <w:rsid w:val="373C4996"/>
    <w:rsid w:val="373D426B"/>
    <w:rsid w:val="37515F68"/>
    <w:rsid w:val="37531CE0"/>
    <w:rsid w:val="37533A8E"/>
    <w:rsid w:val="375717D0"/>
    <w:rsid w:val="3757272A"/>
    <w:rsid w:val="37582C85"/>
    <w:rsid w:val="375A306E"/>
    <w:rsid w:val="375A6BCB"/>
    <w:rsid w:val="375C0B95"/>
    <w:rsid w:val="375D490D"/>
    <w:rsid w:val="37644D2D"/>
    <w:rsid w:val="37695060"/>
    <w:rsid w:val="376B7F48"/>
    <w:rsid w:val="376C4B50"/>
    <w:rsid w:val="37704A8E"/>
    <w:rsid w:val="37712166"/>
    <w:rsid w:val="3779295A"/>
    <w:rsid w:val="377A101B"/>
    <w:rsid w:val="377C2FE5"/>
    <w:rsid w:val="377E4FAF"/>
    <w:rsid w:val="377F0D27"/>
    <w:rsid w:val="37817239"/>
    <w:rsid w:val="37826121"/>
    <w:rsid w:val="37887BDC"/>
    <w:rsid w:val="378B3228"/>
    <w:rsid w:val="378D51F2"/>
    <w:rsid w:val="37971171"/>
    <w:rsid w:val="37995591"/>
    <w:rsid w:val="37AB38CA"/>
    <w:rsid w:val="37AE6F16"/>
    <w:rsid w:val="37B45D65"/>
    <w:rsid w:val="37B87E49"/>
    <w:rsid w:val="37C46192"/>
    <w:rsid w:val="37C47584"/>
    <w:rsid w:val="37D13DAE"/>
    <w:rsid w:val="37D72911"/>
    <w:rsid w:val="37D83F93"/>
    <w:rsid w:val="37ED7A3F"/>
    <w:rsid w:val="37F05781"/>
    <w:rsid w:val="37F60FE9"/>
    <w:rsid w:val="37F86F59"/>
    <w:rsid w:val="37FB77DD"/>
    <w:rsid w:val="37FC2378"/>
    <w:rsid w:val="37FE1C4C"/>
    <w:rsid w:val="38001D4F"/>
    <w:rsid w:val="38097EDE"/>
    <w:rsid w:val="380A05F1"/>
    <w:rsid w:val="380A6843"/>
    <w:rsid w:val="380E7CEF"/>
    <w:rsid w:val="38116670"/>
    <w:rsid w:val="381256F7"/>
    <w:rsid w:val="381551E7"/>
    <w:rsid w:val="38184EF1"/>
    <w:rsid w:val="381C6576"/>
    <w:rsid w:val="382216D7"/>
    <w:rsid w:val="38246312"/>
    <w:rsid w:val="38251072"/>
    <w:rsid w:val="383E5F98"/>
    <w:rsid w:val="384A0187"/>
    <w:rsid w:val="384D21C8"/>
    <w:rsid w:val="38514471"/>
    <w:rsid w:val="38517682"/>
    <w:rsid w:val="38563836"/>
    <w:rsid w:val="386046B4"/>
    <w:rsid w:val="38637D01"/>
    <w:rsid w:val="38651ADA"/>
    <w:rsid w:val="386B4E07"/>
    <w:rsid w:val="386C3059"/>
    <w:rsid w:val="38710670"/>
    <w:rsid w:val="38797524"/>
    <w:rsid w:val="388145BC"/>
    <w:rsid w:val="388365F5"/>
    <w:rsid w:val="388C36FB"/>
    <w:rsid w:val="388D3375"/>
    <w:rsid w:val="3894435E"/>
    <w:rsid w:val="38975BFC"/>
    <w:rsid w:val="38A722E3"/>
    <w:rsid w:val="38A81BB8"/>
    <w:rsid w:val="38AC5B4C"/>
    <w:rsid w:val="38B14F10"/>
    <w:rsid w:val="38B93DC5"/>
    <w:rsid w:val="38BB1A36"/>
    <w:rsid w:val="38C84008"/>
    <w:rsid w:val="38CD7650"/>
    <w:rsid w:val="38D34E86"/>
    <w:rsid w:val="38D97FC3"/>
    <w:rsid w:val="38E31684"/>
    <w:rsid w:val="38E83CD0"/>
    <w:rsid w:val="38ED7B8D"/>
    <w:rsid w:val="38EF5796"/>
    <w:rsid w:val="38F82310"/>
    <w:rsid w:val="38F86E2C"/>
    <w:rsid w:val="38FF3ECD"/>
    <w:rsid w:val="390414E4"/>
    <w:rsid w:val="39071686"/>
    <w:rsid w:val="390908A8"/>
    <w:rsid w:val="390A3C01"/>
    <w:rsid w:val="390D6F7F"/>
    <w:rsid w:val="390E6249"/>
    <w:rsid w:val="3914724D"/>
    <w:rsid w:val="39162FC5"/>
    <w:rsid w:val="39180AEB"/>
    <w:rsid w:val="391F631E"/>
    <w:rsid w:val="39203E44"/>
    <w:rsid w:val="39241B86"/>
    <w:rsid w:val="3926502D"/>
    <w:rsid w:val="392A081F"/>
    <w:rsid w:val="393022D9"/>
    <w:rsid w:val="3934169D"/>
    <w:rsid w:val="39385E8A"/>
    <w:rsid w:val="393C1634"/>
    <w:rsid w:val="393C265E"/>
    <w:rsid w:val="393D49F6"/>
    <w:rsid w:val="393D67A4"/>
    <w:rsid w:val="394F122B"/>
    <w:rsid w:val="39504729"/>
    <w:rsid w:val="3954623F"/>
    <w:rsid w:val="395A55A8"/>
    <w:rsid w:val="395B4E7C"/>
    <w:rsid w:val="395C1320"/>
    <w:rsid w:val="395C361A"/>
    <w:rsid w:val="395F496C"/>
    <w:rsid w:val="39616936"/>
    <w:rsid w:val="3962445C"/>
    <w:rsid w:val="3964010B"/>
    <w:rsid w:val="396E2E01"/>
    <w:rsid w:val="396F26D5"/>
    <w:rsid w:val="39777F08"/>
    <w:rsid w:val="397D4DF2"/>
    <w:rsid w:val="398268AC"/>
    <w:rsid w:val="398A630E"/>
    <w:rsid w:val="398E0DAD"/>
    <w:rsid w:val="39A5561C"/>
    <w:rsid w:val="39AD53FB"/>
    <w:rsid w:val="39B34CB8"/>
    <w:rsid w:val="39B52A0B"/>
    <w:rsid w:val="39BA1BA2"/>
    <w:rsid w:val="39C1661B"/>
    <w:rsid w:val="39CD3FCC"/>
    <w:rsid w:val="39CD5D7A"/>
    <w:rsid w:val="39D72754"/>
    <w:rsid w:val="39D80A90"/>
    <w:rsid w:val="39DF3CFF"/>
    <w:rsid w:val="39F50E2C"/>
    <w:rsid w:val="39F838A2"/>
    <w:rsid w:val="39F94DC1"/>
    <w:rsid w:val="39FE1DE4"/>
    <w:rsid w:val="39FF7EFD"/>
    <w:rsid w:val="3A00614F"/>
    <w:rsid w:val="3A023E13"/>
    <w:rsid w:val="3A033549"/>
    <w:rsid w:val="3A045513"/>
    <w:rsid w:val="3A190FBF"/>
    <w:rsid w:val="3A1E4827"/>
    <w:rsid w:val="3A1E65D5"/>
    <w:rsid w:val="3A200A3A"/>
    <w:rsid w:val="3A2E20C4"/>
    <w:rsid w:val="3A306308"/>
    <w:rsid w:val="3A361470"/>
    <w:rsid w:val="3A3A2CE3"/>
    <w:rsid w:val="3A3F6673"/>
    <w:rsid w:val="3A4311E6"/>
    <w:rsid w:val="3A461688"/>
    <w:rsid w:val="3A4B3142"/>
    <w:rsid w:val="3A4D6EBA"/>
    <w:rsid w:val="3A5340DD"/>
    <w:rsid w:val="3A577D39"/>
    <w:rsid w:val="3A59108B"/>
    <w:rsid w:val="3A60140C"/>
    <w:rsid w:val="3A612966"/>
    <w:rsid w:val="3A6366DE"/>
    <w:rsid w:val="3A687850"/>
    <w:rsid w:val="3A695377"/>
    <w:rsid w:val="3A6A2511"/>
    <w:rsid w:val="3A712BA9"/>
    <w:rsid w:val="3A8148F1"/>
    <w:rsid w:val="3A816B64"/>
    <w:rsid w:val="3A8A77C7"/>
    <w:rsid w:val="3A8C0A4A"/>
    <w:rsid w:val="3A920D71"/>
    <w:rsid w:val="3A93618F"/>
    <w:rsid w:val="3A955B1C"/>
    <w:rsid w:val="3A96260F"/>
    <w:rsid w:val="3A9656E4"/>
    <w:rsid w:val="3A9C399E"/>
    <w:rsid w:val="3A9E7264"/>
    <w:rsid w:val="3AA765CB"/>
    <w:rsid w:val="3AA82343"/>
    <w:rsid w:val="3AAA7E69"/>
    <w:rsid w:val="3AAD5BAB"/>
    <w:rsid w:val="3AB17449"/>
    <w:rsid w:val="3AB450EE"/>
    <w:rsid w:val="3ABC7B9C"/>
    <w:rsid w:val="3AC53FE9"/>
    <w:rsid w:val="3AC54CA3"/>
    <w:rsid w:val="3ACA050B"/>
    <w:rsid w:val="3ACF5B21"/>
    <w:rsid w:val="3ADC6C51"/>
    <w:rsid w:val="3ADF3C25"/>
    <w:rsid w:val="3ADF5717"/>
    <w:rsid w:val="3AE50EA1"/>
    <w:rsid w:val="3AEA295B"/>
    <w:rsid w:val="3AEA64B7"/>
    <w:rsid w:val="3AEC63AA"/>
    <w:rsid w:val="3AF17846"/>
    <w:rsid w:val="3AF410E4"/>
    <w:rsid w:val="3AF85078"/>
    <w:rsid w:val="3B0276ED"/>
    <w:rsid w:val="3B0641BF"/>
    <w:rsid w:val="3B07350D"/>
    <w:rsid w:val="3B077069"/>
    <w:rsid w:val="3B0E664A"/>
    <w:rsid w:val="3B124C99"/>
    <w:rsid w:val="3B15244D"/>
    <w:rsid w:val="3B183024"/>
    <w:rsid w:val="3B1A10A7"/>
    <w:rsid w:val="3B225C51"/>
    <w:rsid w:val="3B255741"/>
    <w:rsid w:val="3B331C0C"/>
    <w:rsid w:val="3B343BD6"/>
    <w:rsid w:val="3B345984"/>
    <w:rsid w:val="3B3616FD"/>
    <w:rsid w:val="3B365BA1"/>
    <w:rsid w:val="3B3911ED"/>
    <w:rsid w:val="3B3A1B15"/>
    <w:rsid w:val="3B3B4F65"/>
    <w:rsid w:val="3B440C05"/>
    <w:rsid w:val="3B445EBA"/>
    <w:rsid w:val="3B471B5C"/>
    <w:rsid w:val="3B4F2582"/>
    <w:rsid w:val="3B5322AF"/>
    <w:rsid w:val="3B554279"/>
    <w:rsid w:val="3B590718"/>
    <w:rsid w:val="3B602C1D"/>
    <w:rsid w:val="3B620744"/>
    <w:rsid w:val="3B64626A"/>
    <w:rsid w:val="3B6801AB"/>
    <w:rsid w:val="3B6A53DF"/>
    <w:rsid w:val="3B732951"/>
    <w:rsid w:val="3B7641EF"/>
    <w:rsid w:val="3B765F9D"/>
    <w:rsid w:val="3B8033E1"/>
    <w:rsid w:val="3B81506E"/>
    <w:rsid w:val="3B8775E7"/>
    <w:rsid w:val="3B8A37F6"/>
    <w:rsid w:val="3B9052B1"/>
    <w:rsid w:val="3B9231F7"/>
    <w:rsid w:val="3B9528C7"/>
    <w:rsid w:val="3B9C3FD8"/>
    <w:rsid w:val="3BAF539E"/>
    <w:rsid w:val="3BB17E26"/>
    <w:rsid w:val="3BB70A8F"/>
    <w:rsid w:val="3BB963C4"/>
    <w:rsid w:val="3BBA232E"/>
    <w:rsid w:val="3BBB7E54"/>
    <w:rsid w:val="3BBF16F2"/>
    <w:rsid w:val="3BC073E4"/>
    <w:rsid w:val="3BC1546A"/>
    <w:rsid w:val="3BC47F82"/>
    <w:rsid w:val="3BC96A15"/>
    <w:rsid w:val="3BCB62E9"/>
    <w:rsid w:val="3BCE5DD9"/>
    <w:rsid w:val="3BD333EF"/>
    <w:rsid w:val="3BDB4669"/>
    <w:rsid w:val="3BE70C49"/>
    <w:rsid w:val="3BF423D8"/>
    <w:rsid w:val="3BF45FB4"/>
    <w:rsid w:val="3BF66DD4"/>
    <w:rsid w:val="3BF910A8"/>
    <w:rsid w:val="3C055B26"/>
    <w:rsid w:val="3C0637C5"/>
    <w:rsid w:val="3C074E47"/>
    <w:rsid w:val="3C090BBF"/>
    <w:rsid w:val="3C0F5501"/>
    <w:rsid w:val="3C1063F2"/>
    <w:rsid w:val="3C1D466B"/>
    <w:rsid w:val="3C1E3FFF"/>
    <w:rsid w:val="3C233F85"/>
    <w:rsid w:val="3C270B87"/>
    <w:rsid w:val="3C294385"/>
    <w:rsid w:val="3C3025F0"/>
    <w:rsid w:val="3C3178A8"/>
    <w:rsid w:val="3C3C2D43"/>
    <w:rsid w:val="3C406CD7"/>
    <w:rsid w:val="3C430575"/>
    <w:rsid w:val="3C4A1903"/>
    <w:rsid w:val="3C4B11D8"/>
    <w:rsid w:val="3C4B567C"/>
    <w:rsid w:val="3C522566"/>
    <w:rsid w:val="3C577B7C"/>
    <w:rsid w:val="3C6D73A0"/>
    <w:rsid w:val="3C6E4EC6"/>
    <w:rsid w:val="3C6F136A"/>
    <w:rsid w:val="3C700C3E"/>
    <w:rsid w:val="3C7249B6"/>
    <w:rsid w:val="3C74072E"/>
    <w:rsid w:val="3C8C573F"/>
    <w:rsid w:val="3C8D17F0"/>
    <w:rsid w:val="3C925059"/>
    <w:rsid w:val="3C926E07"/>
    <w:rsid w:val="3C940DD1"/>
    <w:rsid w:val="3C942B7F"/>
    <w:rsid w:val="3C9B2D3F"/>
    <w:rsid w:val="3C9E57AB"/>
    <w:rsid w:val="3CA1704A"/>
    <w:rsid w:val="3CAA05F4"/>
    <w:rsid w:val="3CAB1C76"/>
    <w:rsid w:val="3CAD3C40"/>
    <w:rsid w:val="3CB3794A"/>
    <w:rsid w:val="3CB43221"/>
    <w:rsid w:val="3CB44FCF"/>
    <w:rsid w:val="3CB7686D"/>
    <w:rsid w:val="3CBA07BD"/>
    <w:rsid w:val="3CBC1920"/>
    <w:rsid w:val="3CBF00C1"/>
    <w:rsid w:val="3CC05722"/>
    <w:rsid w:val="3CC25EAD"/>
    <w:rsid w:val="3CD14346"/>
    <w:rsid w:val="3CD37937"/>
    <w:rsid w:val="3CDE28E0"/>
    <w:rsid w:val="3CE82ECA"/>
    <w:rsid w:val="3CF41773"/>
    <w:rsid w:val="3CF61143"/>
    <w:rsid w:val="3CFE449C"/>
    <w:rsid w:val="3D0218AD"/>
    <w:rsid w:val="3D0A2E41"/>
    <w:rsid w:val="3D0A4BEF"/>
    <w:rsid w:val="3D0F66A9"/>
    <w:rsid w:val="3D121CF5"/>
    <w:rsid w:val="3D145A6E"/>
    <w:rsid w:val="3D150BFD"/>
    <w:rsid w:val="3D1B504E"/>
    <w:rsid w:val="3D1F1F85"/>
    <w:rsid w:val="3D235CB1"/>
    <w:rsid w:val="3D251A29"/>
    <w:rsid w:val="3D2757A1"/>
    <w:rsid w:val="3D2A5291"/>
    <w:rsid w:val="3D2E4D81"/>
    <w:rsid w:val="3D2F4655"/>
    <w:rsid w:val="3D31661F"/>
    <w:rsid w:val="3D317896"/>
    <w:rsid w:val="3D324146"/>
    <w:rsid w:val="3D385DCB"/>
    <w:rsid w:val="3D3879AE"/>
    <w:rsid w:val="3D4661FC"/>
    <w:rsid w:val="3D477BF1"/>
    <w:rsid w:val="3D4A76E1"/>
    <w:rsid w:val="3D4F6AA6"/>
    <w:rsid w:val="3D516CC2"/>
    <w:rsid w:val="3D566086"/>
    <w:rsid w:val="3D572A5B"/>
    <w:rsid w:val="3D595B76"/>
    <w:rsid w:val="3D5A3DC8"/>
    <w:rsid w:val="3D610E5E"/>
    <w:rsid w:val="3D676AF8"/>
    <w:rsid w:val="3D695DB9"/>
    <w:rsid w:val="3D6E1446"/>
    <w:rsid w:val="3D6E1622"/>
    <w:rsid w:val="3D7F55DD"/>
    <w:rsid w:val="3D842BF3"/>
    <w:rsid w:val="3D871138"/>
    <w:rsid w:val="3D8B21D4"/>
    <w:rsid w:val="3D8E16F8"/>
    <w:rsid w:val="3D8F1598"/>
    <w:rsid w:val="3D913562"/>
    <w:rsid w:val="3D921364"/>
    <w:rsid w:val="3D934BE4"/>
    <w:rsid w:val="3D940218"/>
    <w:rsid w:val="3D94095C"/>
    <w:rsid w:val="3D954E00"/>
    <w:rsid w:val="3D9D5A63"/>
    <w:rsid w:val="3DA908AC"/>
    <w:rsid w:val="3DA93929"/>
    <w:rsid w:val="3DAC5CA6"/>
    <w:rsid w:val="3DAE7C70"/>
    <w:rsid w:val="3DB17760"/>
    <w:rsid w:val="3DB43B5D"/>
    <w:rsid w:val="3DB62D0F"/>
    <w:rsid w:val="3DB66B25"/>
    <w:rsid w:val="3DB72FC9"/>
    <w:rsid w:val="3DB833E8"/>
    <w:rsid w:val="3DBD6105"/>
    <w:rsid w:val="3DC513DA"/>
    <w:rsid w:val="3DC54FBA"/>
    <w:rsid w:val="3DC76F84"/>
    <w:rsid w:val="3DCB002B"/>
    <w:rsid w:val="3DCE0312"/>
    <w:rsid w:val="3DD27E02"/>
    <w:rsid w:val="3DDD3277"/>
    <w:rsid w:val="3DDF42CD"/>
    <w:rsid w:val="3DE03BA2"/>
    <w:rsid w:val="3DEA1923"/>
    <w:rsid w:val="3DEF482D"/>
    <w:rsid w:val="3DF134AE"/>
    <w:rsid w:val="3DF23649"/>
    <w:rsid w:val="3DF338D5"/>
    <w:rsid w:val="3DF53AF1"/>
    <w:rsid w:val="3DF5589F"/>
    <w:rsid w:val="3DFC435A"/>
    <w:rsid w:val="3E067AAC"/>
    <w:rsid w:val="3E077380"/>
    <w:rsid w:val="3E0B50C2"/>
    <w:rsid w:val="3E0B6E71"/>
    <w:rsid w:val="3E10681A"/>
    <w:rsid w:val="3E147414"/>
    <w:rsid w:val="3E1513CE"/>
    <w:rsid w:val="3E172DC5"/>
    <w:rsid w:val="3E1A5226"/>
    <w:rsid w:val="3E1C2E2C"/>
    <w:rsid w:val="3E1D4DF6"/>
    <w:rsid w:val="3E21403E"/>
    <w:rsid w:val="3E2E7003"/>
    <w:rsid w:val="3E3363C7"/>
    <w:rsid w:val="3E353902"/>
    <w:rsid w:val="3E391C30"/>
    <w:rsid w:val="3E3E1A84"/>
    <w:rsid w:val="3E42660A"/>
    <w:rsid w:val="3E432AAE"/>
    <w:rsid w:val="3E491747"/>
    <w:rsid w:val="3E5527E2"/>
    <w:rsid w:val="3E554590"/>
    <w:rsid w:val="3E5C591E"/>
    <w:rsid w:val="3E5C76CC"/>
    <w:rsid w:val="3E5E04B0"/>
    <w:rsid w:val="3E5E3444"/>
    <w:rsid w:val="3E6141C5"/>
    <w:rsid w:val="3E66679D"/>
    <w:rsid w:val="3E6E11AD"/>
    <w:rsid w:val="3E742C68"/>
    <w:rsid w:val="3E7569E0"/>
    <w:rsid w:val="3E817133"/>
    <w:rsid w:val="3E8804C1"/>
    <w:rsid w:val="3E886713"/>
    <w:rsid w:val="3E8E35FE"/>
    <w:rsid w:val="3E8F1850"/>
    <w:rsid w:val="3E8F7AA2"/>
    <w:rsid w:val="3E90381A"/>
    <w:rsid w:val="3E94330A"/>
    <w:rsid w:val="3E952BDE"/>
    <w:rsid w:val="3E9A1FA2"/>
    <w:rsid w:val="3E9B4698"/>
    <w:rsid w:val="3E9C3F6D"/>
    <w:rsid w:val="3E9C6B71"/>
    <w:rsid w:val="3EA90437"/>
    <w:rsid w:val="3EAB41B0"/>
    <w:rsid w:val="3EAD7F28"/>
    <w:rsid w:val="3EAF565D"/>
    <w:rsid w:val="3EB23790"/>
    <w:rsid w:val="3EB43064"/>
    <w:rsid w:val="3EBE2135"/>
    <w:rsid w:val="3EC15757"/>
    <w:rsid w:val="3EC3599D"/>
    <w:rsid w:val="3EC51715"/>
    <w:rsid w:val="3EC55271"/>
    <w:rsid w:val="3EC60FE9"/>
    <w:rsid w:val="3ECF4342"/>
    <w:rsid w:val="3ED1739E"/>
    <w:rsid w:val="3ED656D0"/>
    <w:rsid w:val="3ED731F7"/>
    <w:rsid w:val="3ED75B3E"/>
    <w:rsid w:val="3EE002FD"/>
    <w:rsid w:val="3EE020AB"/>
    <w:rsid w:val="3EE5578E"/>
    <w:rsid w:val="3EE83856"/>
    <w:rsid w:val="3EF21DDE"/>
    <w:rsid w:val="3EFE69D5"/>
    <w:rsid w:val="3F0062A9"/>
    <w:rsid w:val="3F057D64"/>
    <w:rsid w:val="3F1A33BE"/>
    <w:rsid w:val="3F1C176C"/>
    <w:rsid w:val="3F283A52"/>
    <w:rsid w:val="3F312C16"/>
    <w:rsid w:val="3F3953BF"/>
    <w:rsid w:val="3F3C12AC"/>
    <w:rsid w:val="3F3E3276"/>
    <w:rsid w:val="3F3E6DD2"/>
    <w:rsid w:val="3F400D9C"/>
    <w:rsid w:val="3F424B14"/>
    <w:rsid w:val="3F486480"/>
    <w:rsid w:val="3F4A39D4"/>
    <w:rsid w:val="3F4E170B"/>
    <w:rsid w:val="3F542A99"/>
    <w:rsid w:val="3F556BF6"/>
    <w:rsid w:val="3F5605BF"/>
    <w:rsid w:val="3F591E5E"/>
    <w:rsid w:val="3F60143E"/>
    <w:rsid w:val="3F604F9A"/>
    <w:rsid w:val="3F663C97"/>
    <w:rsid w:val="3F6A7BC7"/>
    <w:rsid w:val="3F6E5909"/>
    <w:rsid w:val="3F710F55"/>
    <w:rsid w:val="3F7556C8"/>
    <w:rsid w:val="3F7E3672"/>
    <w:rsid w:val="3F80388E"/>
    <w:rsid w:val="3F84512C"/>
    <w:rsid w:val="3F9133A5"/>
    <w:rsid w:val="3F9409DE"/>
    <w:rsid w:val="3F964E60"/>
    <w:rsid w:val="3F982986"/>
    <w:rsid w:val="3FA27361"/>
    <w:rsid w:val="3FA330D9"/>
    <w:rsid w:val="3FA550A3"/>
    <w:rsid w:val="3FA56E51"/>
    <w:rsid w:val="3FA806EF"/>
    <w:rsid w:val="3FA927D6"/>
    <w:rsid w:val="3FB6105E"/>
    <w:rsid w:val="3FB928FC"/>
    <w:rsid w:val="3FBC288A"/>
    <w:rsid w:val="3FC01EDD"/>
    <w:rsid w:val="3FC217B1"/>
    <w:rsid w:val="3FC419CD"/>
    <w:rsid w:val="3FC512A1"/>
    <w:rsid w:val="3FD6525C"/>
    <w:rsid w:val="3FD67DF1"/>
    <w:rsid w:val="3FDA2830"/>
    <w:rsid w:val="3FDB2873"/>
    <w:rsid w:val="3FDD2A8F"/>
    <w:rsid w:val="3FF213FE"/>
    <w:rsid w:val="3FF2594D"/>
    <w:rsid w:val="3FF628DC"/>
    <w:rsid w:val="3FF658FE"/>
    <w:rsid w:val="3FF83425"/>
    <w:rsid w:val="3FFD6D5A"/>
    <w:rsid w:val="3FFF2A05"/>
    <w:rsid w:val="40093884"/>
    <w:rsid w:val="40094AB4"/>
    <w:rsid w:val="400B13AA"/>
    <w:rsid w:val="400C5122"/>
    <w:rsid w:val="4010076E"/>
    <w:rsid w:val="40112738"/>
    <w:rsid w:val="4012098A"/>
    <w:rsid w:val="40120BBF"/>
    <w:rsid w:val="401A15ED"/>
    <w:rsid w:val="402522D0"/>
    <w:rsid w:val="402661E4"/>
    <w:rsid w:val="40275AB8"/>
    <w:rsid w:val="40316936"/>
    <w:rsid w:val="40381A73"/>
    <w:rsid w:val="40387CC5"/>
    <w:rsid w:val="403A38E1"/>
    <w:rsid w:val="403A57EB"/>
    <w:rsid w:val="403C469F"/>
    <w:rsid w:val="403F1053"/>
    <w:rsid w:val="403F6921"/>
    <w:rsid w:val="40403CEE"/>
    <w:rsid w:val="4047615A"/>
    <w:rsid w:val="40534AFF"/>
    <w:rsid w:val="40580367"/>
    <w:rsid w:val="40656A62"/>
    <w:rsid w:val="406B009A"/>
    <w:rsid w:val="406B6672"/>
    <w:rsid w:val="406E7B8B"/>
    <w:rsid w:val="407451A1"/>
    <w:rsid w:val="407526A4"/>
    <w:rsid w:val="40753D8A"/>
    <w:rsid w:val="40786454"/>
    <w:rsid w:val="407927B7"/>
    <w:rsid w:val="407D392A"/>
    <w:rsid w:val="4093314D"/>
    <w:rsid w:val="40933F35"/>
    <w:rsid w:val="409436EA"/>
    <w:rsid w:val="409842FD"/>
    <w:rsid w:val="40A8309D"/>
    <w:rsid w:val="40A9471F"/>
    <w:rsid w:val="40AB0497"/>
    <w:rsid w:val="40AF1C68"/>
    <w:rsid w:val="40AF61D9"/>
    <w:rsid w:val="40B05AAD"/>
    <w:rsid w:val="40B5544A"/>
    <w:rsid w:val="40BC26A4"/>
    <w:rsid w:val="40C1308E"/>
    <w:rsid w:val="40C52A5E"/>
    <w:rsid w:val="40C95D80"/>
    <w:rsid w:val="40CD48B1"/>
    <w:rsid w:val="40D668AA"/>
    <w:rsid w:val="40D72D76"/>
    <w:rsid w:val="40D82ED1"/>
    <w:rsid w:val="40DA6FCE"/>
    <w:rsid w:val="40DF1EEB"/>
    <w:rsid w:val="40E51BFB"/>
    <w:rsid w:val="40E65973"/>
    <w:rsid w:val="40E67721"/>
    <w:rsid w:val="40E85E90"/>
    <w:rsid w:val="40E95699"/>
    <w:rsid w:val="40EC5ED8"/>
    <w:rsid w:val="40EF4827"/>
    <w:rsid w:val="40F260C6"/>
    <w:rsid w:val="40F7192E"/>
    <w:rsid w:val="40F94117"/>
    <w:rsid w:val="40FE0CCC"/>
    <w:rsid w:val="41032081"/>
    <w:rsid w:val="41047ED9"/>
    <w:rsid w:val="4105229D"/>
    <w:rsid w:val="4105404B"/>
    <w:rsid w:val="41061B71"/>
    <w:rsid w:val="410A1661"/>
    <w:rsid w:val="410C0680"/>
    <w:rsid w:val="410C28BC"/>
    <w:rsid w:val="410D1152"/>
    <w:rsid w:val="410E3FFA"/>
    <w:rsid w:val="4110479E"/>
    <w:rsid w:val="41151DB4"/>
    <w:rsid w:val="41202F4F"/>
    <w:rsid w:val="41232723"/>
    <w:rsid w:val="41263FC1"/>
    <w:rsid w:val="41281AE7"/>
    <w:rsid w:val="41333305"/>
    <w:rsid w:val="413D1A37"/>
    <w:rsid w:val="41410DFB"/>
    <w:rsid w:val="41464D70"/>
    <w:rsid w:val="41483F38"/>
    <w:rsid w:val="414C2C82"/>
    <w:rsid w:val="414D59F2"/>
    <w:rsid w:val="414F52C6"/>
    <w:rsid w:val="41517290"/>
    <w:rsid w:val="41566655"/>
    <w:rsid w:val="415C79E3"/>
    <w:rsid w:val="415D2778"/>
    <w:rsid w:val="415D3E87"/>
    <w:rsid w:val="415E19AD"/>
    <w:rsid w:val="41626732"/>
    <w:rsid w:val="41633FB5"/>
    <w:rsid w:val="41656898"/>
    <w:rsid w:val="416845DA"/>
    <w:rsid w:val="41696777"/>
    <w:rsid w:val="416F0EAD"/>
    <w:rsid w:val="41700A00"/>
    <w:rsid w:val="4171348E"/>
    <w:rsid w:val="41744D2D"/>
    <w:rsid w:val="41754614"/>
    <w:rsid w:val="417B60BB"/>
    <w:rsid w:val="41807B75"/>
    <w:rsid w:val="418A5AB5"/>
    <w:rsid w:val="418B091F"/>
    <w:rsid w:val="418D4040"/>
    <w:rsid w:val="418D5DEE"/>
    <w:rsid w:val="4194717D"/>
    <w:rsid w:val="41986C6D"/>
    <w:rsid w:val="41994793"/>
    <w:rsid w:val="419B49AF"/>
    <w:rsid w:val="41A5138A"/>
    <w:rsid w:val="41A73354"/>
    <w:rsid w:val="41B15F81"/>
    <w:rsid w:val="41B4781F"/>
    <w:rsid w:val="41B919A4"/>
    <w:rsid w:val="41BB6E00"/>
    <w:rsid w:val="41BD2B78"/>
    <w:rsid w:val="41C04416"/>
    <w:rsid w:val="41CA7043"/>
    <w:rsid w:val="41CA785D"/>
    <w:rsid w:val="41D614EA"/>
    <w:rsid w:val="41D61543"/>
    <w:rsid w:val="41D8350E"/>
    <w:rsid w:val="41E43F89"/>
    <w:rsid w:val="41EB174A"/>
    <w:rsid w:val="41EE4ADF"/>
    <w:rsid w:val="41EF0857"/>
    <w:rsid w:val="41F145CF"/>
    <w:rsid w:val="41F66F56"/>
    <w:rsid w:val="41F97455"/>
    <w:rsid w:val="41FE0FCB"/>
    <w:rsid w:val="420C765B"/>
    <w:rsid w:val="420C7CEA"/>
    <w:rsid w:val="42132798"/>
    <w:rsid w:val="42154762"/>
    <w:rsid w:val="42164036"/>
    <w:rsid w:val="42177E0D"/>
    <w:rsid w:val="42187DAE"/>
    <w:rsid w:val="421A1D78"/>
    <w:rsid w:val="421D3616"/>
    <w:rsid w:val="42213A90"/>
    <w:rsid w:val="42233A5A"/>
    <w:rsid w:val="422624CB"/>
    <w:rsid w:val="42276243"/>
    <w:rsid w:val="42291FBB"/>
    <w:rsid w:val="422A188F"/>
    <w:rsid w:val="422B0891"/>
    <w:rsid w:val="42336996"/>
    <w:rsid w:val="423B189D"/>
    <w:rsid w:val="424010B3"/>
    <w:rsid w:val="42443F14"/>
    <w:rsid w:val="42450E81"/>
    <w:rsid w:val="42470693"/>
    <w:rsid w:val="42477E9E"/>
    <w:rsid w:val="424E1A22"/>
    <w:rsid w:val="42507548"/>
    <w:rsid w:val="425A03C6"/>
    <w:rsid w:val="425F778B"/>
    <w:rsid w:val="42672AE3"/>
    <w:rsid w:val="426D74C6"/>
    <w:rsid w:val="42756FAE"/>
    <w:rsid w:val="42813BA5"/>
    <w:rsid w:val="42814504"/>
    <w:rsid w:val="428611BC"/>
    <w:rsid w:val="4286740D"/>
    <w:rsid w:val="428B6FB3"/>
    <w:rsid w:val="428E1E1E"/>
    <w:rsid w:val="428E62C2"/>
    <w:rsid w:val="42927B60"/>
    <w:rsid w:val="429A4C67"/>
    <w:rsid w:val="429C278D"/>
    <w:rsid w:val="42BA0E65"/>
    <w:rsid w:val="42BA2C13"/>
    <w:rsid w:val="42BE04AF"/>
    <w:rsid w:val="42C52AB7"/>
    <w:rsid w:val="42C87EB5"/>
    <w:rsid w:val="42CD0B98"/>
    <w:rsid w:val="42D24401"/>
    <w:rsid w:val="42D33CD5"/>
    <w:rsid w:val="42D44F28"/>
    <w:rsid w:val="42DE2DA6"/>
    <w:rsid w:val="42E12896"/>
    <w:rsid w:val="42E3216A"/>
    <w:rsid w:val="42E36B0E"/>
    <w:rsid w:val="42E859D2"/>
    <w:rsid w:val="42EC309B"/>
    <w:rsid w:val="42EE2A85"/>
    <w:rsid w:val="42EE5221"/>
    <w:rsid w:val="42F15FC1"/>
    <w:rsid w:val="42F425C9"/>
    <w:rsid w:val="42F44377"/>
    <w:rsid w:val="42F66EFB"/>
    <w:rsid w:val="42F779C3"/>
    <w:rsid w:val="42FE51F6"/>
    <w:rsid w:val="43056584"/>
    <w:rsid w:val="431515CC"/>
    <w:rsid w:val="43193DDE"/>
    <w:rsid w:val="43273100"/>
    <w:rsid w:val="433230F1"/>
    <w:rsid w:val="43326C4D"/>
    <w:rsid w:val="4335501B"/>
    <w:rsid w:val="4335673E"/>
    <w:rsid w:val="433A3D54"/>
    <w:rsid w:val="433E55F2"/>
    <w:rsid w:val="43421586"/>
    <w:rsid w:val="43454EAD"/>
    <w:rsid w:val="434D1CD9"/>
    <w:rsid w:val="43537184"/>
    <w:rsid w:val="435532E0"/>
    <w:rsid w:val="4359348E"/>
    <w:rsid w:val="435E7A42"/>
    <w:rsid w:val="436A4639"/>
    <w:rsid w:val="436D260D"/>
    <w:rsid w:val="43713007"/>
    <w:rsid w:val="437159C8"/>
    <w:rsid w:val="43721740"/>
    <w:rsid w:val="437466E4"/>
    <w:rsid w:val="43776B4B"/>
    <w:rsid w:val="43793E2A"/>
    <w:rsid w:val="4384354A"/>
    <w:rsid w:val="4386786A"/>
    <w:rsid w:val="43882D11"/>
    <w:rsid w:val="438E5395"/>
    <w:rsid w:val="43923B90"/>
    <w:rsid w:val="43943464"/>
    <w:rsid w:val="43943488"/>
    <w:rsid w:val="43986193"/>
    <w:rsid w:val="4399036C"/>
    <w:rsid w:val="439A679E"/>
    <w:rsid w:val="439E0787"/>
    <w:rsid w:val="43A07D60"/>
    <w:rsid w:val="43A51B15"/>
    <w:rsid w:val="43AC6A00"/>
    <w:rsid w:val="43B6787E"/>
    <w:rsid w:val="43B9111D"/>
    <w:rsid w:val="43B92ECB"/>
    <w:rsid w:val="43C31F9B"/>
    <w:rsid w:val="43D30430"/>
    <w:rsid w:val="43D9356D"/>
    <w:rsid w:val="43DD305D"/>
    <w:rsid w:val="43DD6773"/>
    <w:rsid w:val="43DE6DD5"/>
    <w:rsid w:val="43E07DA4"/>
    <w:rsid w:val="43E443EC"/>
    <w:rsid w:val="43E72417"/>
    <w:rsid w:val="43EE7018"/>
    <w:rsid w:val="43F5039A"/>
    <w:rsid w:val="43F839F3"/>
    <w:rsid w:val="43FA3C0F"/>
    <w:rsid w:val="43FC2ACB"/>
    <w:rsid w:val="43FE4D82"/>
    <w:rsid w:val="440415BB"/>
    <w:rsid w:val="44055A2D"/>
    <w:rsid w:val="44071E88"/>
    <w:rsid w:val="440E76BA"/>
    <w:rsid w:val="4416031D"/>
    <w:rsid w:val="44170B63"/>
    <w:rsid w:val="44186102"/>
    <w:rsid w:val="44266B52"/>
    <w:rsid w:val="442B1C63"/>
    <w:rsid w:val="443332EB"/>
    <w:rsid w:val="44337121"/>
    <w:rsid w:val="443469F5"/>
    <w:rsid w:val="443609BF"/>
    <w:rsid w:val="443A225E"/>
    <w:rsid w:val="443F72CB"/>
    <w:rsid w:val="44472BCC"/>
    <w:rsid w:val="44496945"/>
    <w:rsid w:val="444A10A1"/>
    <w:rsid w:val="444A2031"/>
    <w:rsid w:val="444A7FC7"/>
    <w:rsid w:val="4451216B"/>
    <w:rsid w:val="44565FEF"/>
    <w:rsid w:val="44586B88"/>
    <w:rsid w:val="44592B81"/>
    <w:rsid w:val="445D419E"/>
    <w:rsid w:val="445D5F4C"/>
    <w:rsid w:val="446134BD"/>
    <w:rsid w:val="44646CB7"/>
    <w:rsid w:val="44666B20"/>
    <w:rsid w:val="44670B79"/>
    <w:rsid w:val="446A7138"/>
    <w:rsid w:val="446B0669"/>
    <w:rsid w:val="44703ED1"/>
    <w:rsid w:val="447D039C"/>
    <w:rsid w:val="448259B3"/>
    <w:rsid w:val="4487121B"/>
    <w:rsid w:val="4491620A"/>
    <w:rsid w:val="44983428"/>
    <w:rsid w:val="449A0F4E"/>
    <w:rsid w:val="449D0A3E"/>
    <w:rsid w:val="449D459A"/>
    <w:rsid w:val="449E0454"/>
    <w:rsid w:val="44A21BB1"/>
    <w:rsid w:val="44A818BD"/>
    <w:rsid w:val="44AD6CF5"/>
    <w:rsid w:val="44AF5449"/>
    <w:rsid w:val="44B6565C"/>
    <w:rsid w:val="44BC2C73"/>
    <w:rsid w:val="44C46BB0"/>
    <w:rsid w:val="44C85ABB"/>
    <w:rsid w:val="44CD30D2"/>
    <w:rsid w:val="44CE4B11"/>
    <w:rsid w:val="44D34460"/>
    <w:rsid w:val="44D3620E"/>
    <w:rsid w:val="44D53472"/>
    <w:rsid w:val="44DE708D"/>
    <w:rsid w:val="44DF2AD6"/>
    <w:rsid w:val="44E73A68"/>
    <w:rsid w:val="44F3065E"/>
    <w:rsid w:val="44F543D6"/>
    <w:rsid w:val="44F56185"/>
    <w:rsid w:val="44F763A1"/>
    <w:rsid w:val="44FE355A"/>
    <w:rsid w:val="44FF7003"/>
    <w:rsid w:val="450665E4"/>
    <w:rsid w:val="4508410A"/>
    <w:rsid w:val="450A60D4"/>
    <w:rsid w:val="450B4230"/>
    <w:rsid w:val="450C3C4E"/>
    <w:rsid w:val="450F36EA"/>
    <w:rsid w:val="45166D46"/>
    <w:rsid w:val="4517434D"/>
    <w:rsid w:val="452B1BA6"/>
    <w:rsid w:val="452D1DC2"/>
    <w:rsid w:val="45314E85"/>
    <w:rsid w:val="45350C77"/>
    <w:rsid w:val="4537679D"/>
    <w:rsid w:val="453C0257"/>
    <w:rsid w:val="453C51A9"/>
    <w:rsid w:val="4545710C"/>
    <w:rsid w:val="45486BFC"/>
    <w:rsid w:val="45506C72"/>
    <w:rsid w:val="45561319"/>
    <w:rsid w:val="455C4456"/>
    <w:rsid w:val="45633BC2"/>
    <w:rsid w:val="4565155C"/>
    <w:rsid w:val="45660E30"/>
    <w:rsid w:val="45667082"/>
    <w:rsid w:val="4568708C"/>
    <w:rsid w:val="456A0921"/>
    <w:rsid w:val="456A6B72"/>
    <w:rsid w:val="457277D5"/>
    <w:rsid w:val="458E2F8D"/>
    <w:rsid w:val="458F65D9"/>
    <w:rsid w:val="45915A95"/>
    <w:rsid w:val="45921C25"/>
    <w:rsid w:val="45943BEF"/>
    <w:rsid w:val="45967968"/>
    <w:rsid w:val="45991206"/>
    <w:rsid w:val="45997458"/>
    <w:rsid w:val="459B4F7E"/>
    <w:rsid w:val="459B6D2C"/>
    <w:rsid w:val="459D0017"/>
    <w:rsid w:val="459E05CA"/>
    <w:rsid w:val="459E681C"/>
    <w:rsid w:val="45A2525D"/>
    <w:rsid w:val="45A51959"/>
    <w:rsid w:val="45A831F7"/>
    <w:rsid w:val="45AF2F03"/>
    <w:rsid w:val="45BB5620"/>
    <w:rsid w:val="45C945BA"/>
    <w:rsid w:val="45D91C54"/>
    <w:rsid w:val="45DD5596"/>
    <w:rsid w:val="45E06E35"/>
    <w:rsid w:val="45E306D3"/>
    <w:rsid w:val="45E34BAB"/>
    <w:rsid w:val="45E6269F"/>
    <w:rsid w:val="45E701C3"/>
    <w:rsid w:val="45EE1552"/>
    <w:rsid w:val="45F355D7"/>
    <w:rsid w:val="45F3589E"/>
    <w:rsid w:val="45F4468E"/>
    <w:rsid w:val="45F47CCC"/>
    <w:rsid w:val="45F60B58"/>
    <w:rsid w:val="45FE550D"/>
    <w:rsid w:val="46027484"/>
    <w:rsid w:val="460348D1"/>
    <w:rsid w:val="4605689B"/>
    <w:rsid w:val="4614088C"/>
    <w:rsid w:val="461940F5"/>
    <w:rsid w:val="461B2DDC"/>
    <w:rsid w:val="461B561D"/>
    <w:rsid w:val="461F7D3A"/>
    <w:rsid w:val="46205483"/>
    <w:rsid w:val="46284338"/>
    <w:rsid w:val="462C5BD6"/>
    <w:rsid w:val="462F56C6"/>
    <w:rsid w:val="46316596"/>
    <w:rsid w:val="46326F64"/>
    <w:rsid w:val="46354B39"/>
    <w:rsid w:val="46362EF9"/>
    <w:rsid w:val="463B22BD"/>
    <w:rsid w:val="463B752C"/>
    <w:rsid w:val="463C6585"/>
    <w:rsid w:val="463D7DE3"/>
    <w:rsid w:val="463F7FFF"/>
    <w:rsid w:val="46401681"/>
    <w:rsid w:val="46407175"/>
    <w:rsid w:val="465313B5"/>
    <w:rsid w:val="4654527A"/>
    <w:rsid w:val="46572CEA"/>
    <w:rsid w:val="465E4B3A"/>
    <w:rsid w:val="465F5FAB"/>
    <w:rsid w:val="46603AD2"/>
    <w:rsid w:val="46623CEE"/>
    <w:rsid w:val="46671304"/>
    <w:rsid w:val="467303C8"/>
    <w:rsid w:val="4674757D"/>
    <w:rsid w:val="467F445C"/>
    <w:rsid w:val="4686391A"/>
    <w:rsid w:val="46893028"/>
    <w:rsid w:val="468C0D6B"/>
    <w:rsid w:val="4691012F"/>
    <w:rsid w:val="46911EDD"/>
    <w:rsid w:val="469A5235"/>
    <w:rsid w:val="469D6AD4"/>
    <w:rsid w:val="46A460B4"/>
    <w:rsid w:val="46A80C8F"/>
    <w:rsid w:val="46A82829"/>
    <w:rsid w:val="46B1432D"/>
    <w:rsid w:val="46BD249B"/>
    <w:rsid w:val="46BD7176"/>
    <w:rsid w:val="46BF6A4A"/>
    <w:rsid w:val="46C01DCF"/>
    <w:rsid w:val="46C40504"/>
    <w:rsid w:val="46C73B51"/>
    <w:rsid w:val="46CA5A4D"/>
    <w:rsid w:val="46CD42F1"/>
    <w:rsid w:val="46D22C21"/>
    <w:rsid w:val="46D36999"/>
    <w:rsid w:val="46E841F3"/>
    <w:rsid w:val="46EA5779"/>
    <w:rsid w:val="46F32B98"/>
    <w:rsid w:val="46F54B62"/>
    <w:rsid w:val="46FF32EA"/>
    <w:rsid w:val="47022DDB"/>
    <w:rsid w:val="470628CB"/>
    <w:rsid w:val="470C1AE3"/>
    <w:rsid w:val="47136D96"/>
    <w:rsid w:val="47203553"/>
    <w:rsid w:val="47224D0F"/>
    <w:rsid w:val="47230AB1"/>
    <w:rsid w:val="472471F5"/>
    <w:rsid w:val="472610A4"/>
    <w:rsid w:val="47280A93"/>
    <w:rsid w:val="4735222F"/>
    <w:rsid w:val="47356D0C"/>
    <w:rsid w:val="47411B55"/>
    <w:rsid w:val="47456DDE"/>
    <w:rsid w:val="474B29D4"/>
    <w:rsid w:val="474D4056"/>
    <w:rsid w:val="474E2404"/>
    <w:rsid w:val="47525B10"/>
    <w:rsid w:val="475573AE"/>
    <w:rsid w:val="475831BF"/>
    <w:rsid w:val="47592085"/>
    <w:rsid w:val="47613FA5"/>
    <w:rsid w:val="47655843"/>
    <w:rsid w:val="476615BC"/>
    <w:rsid w:val="4770243A"/>
    <w:rsid w:val="477535AD"/>
    <w:rsid w:val="47767A51"/>
    <w:rsid w:val="477737C9"/>
    <w:rsid w:val="477D598D"/>
    <w:rsid w:val="477F442B"/>
    <w:rsid w:val="477F61D9"/>
    <w:rsid w:val="4780267D"/>
    <w:rsid w:val="478163F5"/>
    <w:rsid w:val="47855EE6"/>
    <w:rsid w:val="47900CBB"/>
    <w:rsid w:val="4791660D"/>
    <w:rsid w:val="479559FD"/>
    <w:rsid w:val="47972E7A"/>
    <w:rsid w:val="479A3013"/>
    <w:rsid w:val="479C6D8B"/>
    <w:rsid w:val="47B6609F"/>
    <w:rsid w:val="47B70069"/>
    <w:rsid w:val="47BC567F"/>
    <w:rsid w:val="47C42C4B"/>
    <w:rsid w:val="47C6205A"/>
    <w:rsid w:val="47C71588"/>
    <w:rsid w:val="47C77D95"/>
    <w:rsid w:val="47C87B80"/>
    <w:rsid w:val="47CA1B4A"/>
    <w:rsid w:val="47CD5197"/>
    <w:rsid w:val="47CD7BFF"/>
    <w:rsid w:val="47CF624E"/>
    <w:rsid w:val="47D31E1A"/>
    <w:rsid w:val="47D74267"/>
    <w:rsid w:val="47DA5134"/>
    <w:rsid w:val="47E114CB"/>
    <w:rsid w:val="47E26E94"/>
    <w:rsid w:val="47EA3F9B"/>
    <w:rsid w:val="47EF7803"/>
    <w:rsid w:val="47F70466"/>
    <w:rsid w:val="47F72214"/>
    <w:rsid w:val="47F92430"/>
    <w:rsid w:val="47FD3CCE"/>
    <w:rsid w:val="48013092"/>
    <w:rsid w:val="480706A9"/>
    <w:rsid w:val="48082673"/>
    <w:rsid w:val="48085719"/>
    <w:rsid w:val="480A63EB"/>
    <w:rsid w:val="4812704D"/>
    <w:rsid w:val="481334F1"/>
    <w:rsid w:val="481903DC"/>
    <w:rsid w:val="48246391"/>
    <w:rsid w:val="482C1B9B"/>
    <w:rsid w:val="48313978"/>
    <w:rsid w:val="48376AB4"/>
    <w:rsid w:val="48377221"/>
    <w:rsid w:val="483B06FE"/>
    <w:rsid w:val="483D40CA"/>
    <w:rsid w:val="483E7E42"/>
    <w:rsid w:val="484216E1"/>
    <w:rsid w:val="48484C47"/>
    <w:rsid w:val="484C07B1"/>
    <w:rsid w:val="484C4A70"/>
    <w:rsid w:val="485338EE"/>
    <w:rsid w:val="48537D92"/>
    <w:rsid w:val="485B09F4"/>
    <w:rsid w:val="48651873"/>
    <w:rsid w:val="48657AC5"/>
    <w:rsid w:val="48667975"/>
    <w:rsid w:val="48674249"/>
    <w:rsid w:val="486E0837"/>
    <w:rsid w:val="486E2920"/>
    <w:rsid w:val="486F26F2"/>
    <w:rsid w:val="487D7DE5"/>
    <w:rsid w:val="488241D3"/>
    <w:rsid w:val="488F3E82"/>
    <w:rsid w:val="48A16554"/>
    <w:rsid w:val="48AE0F20"/>
    <w:rsid w:val="48AE294E"/>
    <w:rsid w:val="48AE3759"/>
    <w:rsid w:val="48C42A3E"/>
    <w:rsid w:val="48C642B7"/>
    <w:rsid w:val="48C72F1C"/>
    <w:rsid w:val="48CC544E"/>
    <w:rsid w:val="48CE566A"/>
    <w:rsid w:val="48D36555"/>
    <w:rsid w:val="48DB0E88"/>
    <w:rsid w:val="48E24C72"/>
    <w:rsid w:val="48E42798"/>
    <w:rsid w:val="48E622E2"/>
    <w:rsid w:val="48E924A4"/>
    <w:rsid w:val="48EE3617"/>
    <w:rsid w:val="48EE7ABB"/>
    <w:rsid w:val="48F31397"/>
    <w:rsid w:val="48F350D1"/>
    <w:rsid w:val="48F6071D"/>
    <w:rsid w:val="48F77029"/>
    <w:rsid w:val="48FD385A"/>
    <w:rsid w:val="49083CBD"/>
    <w:rsid w:val="491C63D6"/>
    <w:rsid w:val="491D3EFC"/>
    <w:rsid w:val="491D5CAA"/>
    <w:rsid w:val="491F1A22"/>
    <w:rsid w:val="491F6AB4"/>
    <w:rsid w:val="49267254"/>
    <w:rsid w:val="49284D7B"/>
    <w:rsid w:val="49325BF9"/>
    <w:rsid w:val="493D00FA"/>
    <w:rsid w:val="493D634C"/>
    <w:rsid w:val="493E459E"/>
    <w:rsid w:val="4948541D"/>
    <w:rsid w:val="49497D73"/>
    <w:rsid w:val="495D254A"/>
    <w:rsid w:val="49667651"/>
    <w:rsid w:val="49686252"/>
    <w:rsid w:val="496F29A9"/>
    <w:rsid w:val="49746212"/>
    <w:rsid w:val="49757894"/>
    <w:rsid w:val="4977360C"/>
    <w:rsid w:val="497955D6"/>
    <w:rsid w:val="497A30FC"/>
    <w:rsid w:val="497E2BEC"/>
    <w:rsid w:val="498018FC"/>
    <w:rsid w:val="49804BB7"/>
    <w:rsid w:val="49836455"/>
    <w:rsid w:val="49855FD9"/>
    <w:rsid w:val="498606C6"/>
    <w:rsid w:val="498F5898"/>
    <w:rsid w:val="4998010E"/>
    <w:rsid w:val="4999217F"/>
    <w:rsid w:val="499A379E"/>
    <w:rsid w:val="49A235A7"/>
    <w:rsid w:val="49A85EBB"/>
    <w:rsid w:val="49AB59AC"/>
    <w:rsid w:val="49AF08D0"/>
    <w:rsid w:val="49B93C25"/>
    <w:rsid w:val="49BF629A"/>
    <w:rsid w:val="49C167BA"/>
    <w:rsid w:val="49C23377"/>
    <w:rsid w:val="49C83E68"/>
    <w:rsid w:val="49CB3958"/>
    <w:rsid w:val="49D56585"/>
    <w:rsid w:val="49D62A28"/>
    <w:rsid w:val="49D97E23"/>
    <w:rsid w:val="49DC7913"/>
    <w:rsid w:val="49DE18DD"/>
    <w:rsid w:val="49E30CA1"/>
    <w:rsid w:val="49E52C6C"/>
    <w:rsid w:val="49EE71F2"/>
    <w:rsid w:val="49F20EE5"/>
    <w:rsid w:val="49F7299F"/>
    <w:rsid w:val="49FC5DE1"/>
    <w:rsid w:val="49FD6207"/>
    <w:rsid w:val="4A051057"/>
    <w:rsid w:val="4A0550BC"/>
    <w:rsid w:val="4A0C5AE0"/>
    <w:rsid w:val="4A160FCB"/>
    <w:rsid w:val="4A190B67"/>
    <w:rsid w:val="4A1932A7"/>
    <w:rsid w:val="4A2117CA"/>
    <w:rsid w:val="4A2C089A"/>
    <w:rsid w:val="4A413C1A"/>
    <w:rsid w:val="4A4A15DE"/>
    <w:rsid w:val="4A4C4A99"/>
    <w:rsid w:val="4A4E6A63"/>
    <w:rsid w:val="4A510301"/>
    <w:rsid w:val="4A5A33C8"/>
    <w:rsid w:val="4A5B1180"/>
    <w:rsid w:val="4A5C0EAC"/>
    <w:rsid w:val="4A5F5CE1"/>
    <w:rsid w:val="4A62606A"/>
    <w:rsid w:val="4A631DE2"/>
    <w:rsid w:val="4A653DAC"/>
    <w:rsid w:val="4A6D58E4"/>
    <w:rsid w:val="4A730123"/>
    <w:rsid w:val="4A767978"/>
    <w:rsid w:val="4A7933B4"/>
    <w:rsid w:val="4A807238"/>
    <w:rsid w:val="4A821A00"/>
    <w:rsid w:val="4A873D23"/>
    <w:rsid w:val="4A9B77CE"/>
    <w:rsid w:val="4A9D70A2"/>
    <w:rsid w:val="4AA06CA1"/>
    <w:rsid w:val="4AA5064D"/>
    <w:rsid w:val="4AAE3DCD"/>
    <w:rsid w:val="4AB42918"/>
    <w:rsid w:val="4AB64608"/>
    <w:rsid w:val="4ABC6B72"/>
    <w:rsid w:val="4ABD14F2"/>
    <w:rsid w:val="4ABD5996"/>
    <w:rsid w:val="4ABD7744"/>
    <w:rsid w:val="4AC044FA"/>
    <w:rsid w:val="4AC40AD3"/>
    <w:rsid w:val="4AC7737B"/>
    <w:rsid w:val="4ACA1E61"/>
    <w:rsid w:val="4AD30D16"/>
    <w:rsid w:val="4AE01685"/>
    <w:rsid w:val="4AE72885"/>
    <w:rsid w:val="4AF20941"/>
    <w:rsid w:val="4AF62C56"/>
    <w:rsid w:val="4AFD3FE5"/>
    <w:rsid w:val="4B0233A9"/>
    <w:rsid w:val="4B045373"/>
    <w:rsid w:val="4B0D7838"/>
    <w:rsid w:val="4B101F6A"/>
    <w:rsid w:val="4B125CE2"/>
    <w:rsid w:val="4B1D6435"/>
    <w:rsid w:val="4B1F03FF"/>
    <w:rsid w:val="4B257098"/>
    <w:rsid w:val="4B294DDA"/>
    <w:rsid w:val="4B2A5D18"/>
    <w:rsid w:val="4B306168"/>
    <w:rsid w:val="4B31008D"/>
    <w:rsid w:val="4B35377F"/>
    <w:rsid w:val="4B38501D"/>
    <w:rsid w:val="4B39190C"/>
    <w:rsid w:val="4B3F0159"/>
    <w:rsid w:val="4B466E62"/>
    <w:rsid w:val="4B46773A"/>
    <w:rsid w:val="4B471525"/>
    <w:rsid w:val="4B4B4017"/>
    <w:rsid w:val="4B524331"/>
    <w:rsid w:val="4B531E57"/>
    <w:rsid w:val="4B565FA9"/>
    <w:rsid w:val="4B58746D"/>
    <w:rsid w:val="4B5A280F"/>
    <w:rsid w:val="4B5A4F93"/>
    <w:rsid w:val="4B616322"/>
    <w:rsid w:val="4B663938"/>
    <w:rsid w:val="4B674969"/>
    <w:rsid w:val="4B69167A"/>
    <w:rsid w:val="4B693428"/>
    <w:rsid w:val="4B775B45"/>
    <w:rsid w:val="4B785B6A"/>
    <w:rsid w:val="4B8244EA"/>
    <w:rsid w:val="4B8262E8"/>
    <w:rsid w:val="4B920BD1"/>
    <w:rsid w:val="4B9C1A50"/>
    <w:rsid w:val="4B9D30D2"/>
    <w:rsid w:val="4BA10E14"/>
    <w:rsid w:val="4BAD5A0B"/>
    <w:rsid w:val="4BAD77B9"/>
    <w:rsid w:val="4BAF1783"/>
    <w:rsid w:val="4BAF3531"/>
    <w:rsid w:val="4BB01057"/>
    <w:rsid w:val="4BB57ADD"/>
    <w:rsid w:val="4BBA14EA"/>
    <w:rsid w:val="4BBA1ED6"/>
    <w:rsid w:val="4BBC79FC"/>
    <w:rsid w:val="4BC36FDC"/>
    <w:rsid w:val="4BC94047"/>
    <w:rsid w:val="4BC94C56"/>
    <w:rsid w:val="4BCB7C3F"/>
    <w:rsid w:val="4BD00E0E"/>
    <w:rsid w:val="4BD850D6"/>
    <w:rsid w:val="4BDC50A7"/>
    <w:rsid w:val="4BDF36EB"/>
    <w:rsid w:val="4BE551A5"/>
    <w:rsid w:val="4BED4059"/>
    <w:rsid w:val="4BF03B4A"/>
    <w:rsid w:val="4BF278C2"/>
    <w:rsid w:val="4BFA22D2"/>
    <w:rsid w:val="4C0513A3"/>
    <w:rsid w:val="4C0F4BC6"/>
    <w:rsid w:val="4C15535E"/>
    <w:rsid w:val="4C176DA8"/>
    <w:rsid w:val="4C177634"/>
    <w:rsid w:val="4C1930A0"/>
    <w:rsid w:val="4C201B69"/>
    <w:rsid w:val="4C207BF0"/>
    <w:rsid w:val="4C2832E3"/>
    <w:rsid w:val="4C2F01CE"/>
    <w:rsid w:val="4C352DFF"/>
    <w:rsid w:val="4C416153"/>
    <w:rsid w:val="4C4243A5"/>
    <w:rsid w:val="4C430E41"/>
    <w:rsid w:val="4C431ECB"/>
    <w:rsid w:val="4C433C79"/>
    <w:rsid w:val="4C4460A7"/>
    <w:rsid w:val="4C446A98"/>
    <w:rsid w:val="4C465518"/>
    <w:rsid w:val="4C55054E"/>
    <w:rsid w:val="4C5743A8"/>
    <w:rsid w:val="4C5A154C"/>
    <w:rsid w:val="4C5E6D05"/>
    <w:rsid w:val="4C602A7D"/>
    <w:rsid w:val="4C65600C"/>
    <w:rsid w:val="4C673E0C"/>
    <w:rsid w:val="4C681932"/>
    <w:rsid w:val="4C6856E3"/>
    <w:rsid w:val="4C6A38FC"/>
    <w:rsid w:val="4C7622A1"/>
    <w:rsid w:val="4C793B3F"/>
    <w:rsid w:val="4C7B1665"/>
    <w:rsid w:val="4C7F7227"/>
    <w:rsid w:val="4C806C7C"/>
    <w:rsid w:val="4C8845CA"/>
    <w:rsid w:val="4C886982"/>
    <w:rsid w:val="4C9B1D07"/>
    <w:rsid w:val="4CA0731E"/>
    <w:rsid w:val="4CA243F8"/>
    <w:rsid w:val="4CA87F80"/>
    <w:rsid w:val="4CAE3759"/>
    <w:rsid w:val="4CAF130F"/>
    <w:rsid w:val="4CB16E35"/>
    <w:rsid w:val="4CB30DFF"/>
    <w:rsid w:val="4CB71E91"/>
    <w:rsid w:val="4CBE1552"/>
    <w:rsid w:val="4CC052CA"/>
    <w:rsid w:val="4CC34DBA"/>
    <w:rsid w:val="4CD07C03"/>
    <w:rsid w:val="4CD27077"/>
    <w:rsid w:val="4CD53D41"/>
    <w:rsid w:val="4CD61836"/>
    <w:rsid w:val="4CD6689C"/>
    <w:rsid w:val="4CD73417"/>
    <w:rsid w:val="4CDD40CE"/>
    <w:rsid w:val="4CDD7C2A"/>
    <w:rsid w:val="4CE741F2"/>
    <w:rsid w:val="4CE92A73"/>
    <w:rsid w:val="4CEA0599"/>
    <w:rsid w:val="4CEA2347"/>
    <w:rsid w:val="4CEE1E37"/>
    <w:rsid w:val="4CF03E01"/>
    <w:rsid w:val="4D0A4797"/>
    <w:rsid w:val="4D137AF0"/>
    <w:rsid w:val="4D1E7DDB"/>
    <w:rsid w:val="4D225F85"/>
    <w:rsid w:val="4D241CFD"/>
    <w:rsid w:val="4D245691"/>
    <w:rsid w:val="4D2A6BE7"/>
    <w:rsid w:val="4D302450"/>
    <w:rsid w:val="4D371A30"/>
    <w:rsid w:val="4D381304"/>
    <w:rsid w:val="4D3B375E"/>
    <w:rsid w:val="4D477799"/>
    <w:rsid w:val="4D4A4BA4"/>
    <w:rsid w:val="4D4A6F97"/>
    <w:rsid w:val="4D4F4B59"/>
    <w:rsid w:val="4D5808E6"/>
    <w:rsid w:val="4D583754"/>
    <w:rsid w:val="4D585BCC"/>
    <w:rsid w:val="4D5C424F"/>
    <w:rsid w:val="4D6245D3"/>
    <w:rsid w:val="4D640EB9"/>
    <w:rsid w:val="4D695962"/>
    <w:rsid w:val="4D6A3FBD"/>
    <w:rsid w:val="4D6C7200"/>
    <w:rsid w:val="4D6D58B3"/>
    <w:rsid w:val="4D714816"/>
    <w:rsid w:val="4D73233C"/>
    <w:rsid w:val="4D7367E0"/>
    <w:rsid w:val="4D754306"/>
    <w:rsid w:val="4D7C38E7"/>
    <w:rsid w:val="4D7C5695"/>
    <w:rsid w:val="4D7D31BB"/>
    <w:rsid w:val="4D8B3B2A"/>
    <w:rsid w:val="4D8C11B6"/>
    <w:rsid w:val="4D956757"/>
    <w:rsid w:val="4D986247"/>
    <w:rsid w:val="4D990A98"/>
    <w:rsid w:val="4D9A17D3"/>
    <w:rsid w:val="4D9A77FE"/>
    <w:rsid w:val="4D9E1AAF"/>
    <w:rsid w:val="4D9E60F4"/>
    <w:rsid w:val="4D9F75D5"/>
    <w:rsid w:val="4DA150FB"/>
    <w:rsid w:val="4DA22C22"/>
    <w:rsid w:val="4DA8648A"/>
    <w:rsid w:val="4DA951FF"/>
    <w:rsid w:val="4DAB1AD6"/>
    <w:rsid w:val="4DAD005E"/>
    <w:rsid w:val="4DB90697"/>
    <w:rsid w:val="4DBC3CE3"/>
    <w:rsid w:val="4DC112FA"/>
    <w:rsid w:val="4DC1691E"/>
    <w:rsid w:val="4DC4528E"/>
    <w:rsid w:val="4DCB03CA"/>
    <w:rsid w:val="4DCB3F26"/>
    <w:rsid w:val="4DCD321F"/>
    <w:rsid w:val="4DD3102D"/>
    <w:rsid w:val="4DD4222A"/>
    <w:rsid w:val="4DD76D6F"/>
    <w:rsid w:val="4DD86643"/>
    <w:rsid w:val="4DDD3E89"/>
    <w:rsid w:val="4DDD4ABE"/>
    <w:rsid w:val="4DE374C2"/>
    <w:rsid w:val="4DEA4CF4"/>
    <w:rsid w:val="4DEB281B"/>
    <w:rsid w:val="4DF07E31"/>
    <w:rsid w:val="4DF23A15"/>
    <w:rsid w:val="4DFF70B4"/>
    <w:rsid w:val="4E01203E"/>
    <w:rsid w:val="4E08517B"/>
    <w:rsid w:val="4E0B5AB9"/>
    <w:rsid w:val="4E0D257D"/>
    <w:rsid w:val="4E102281"/>
    <w:rsid w:val="4E110C7C"/>
    <w:rsid w:val="4E165AE9"/>
    <w:rsid w:val="4E1A4EAE"/>
    <w:rsid w:val="4E1C4782"/>
    <w:rsid w:val="4E1E5BE1"/>
    <w:rsid w:val="4E1E674C"/>
    <w:rsid w:val="4E353A96"/>
    <w:rsid w:val="4E355844"/>
    <w:rsid w:val="4E3E2C7B"/>
    <w:rsid w:val="4E3F1694"/>
    <w:rsid w:val="4E402B66"/>
    <w:rsid w:val="4E42314D"/>
    <w:rsid w:val="4E434405"/>
    <w:rsid w:val="4E485577"/>
    <w:rsid w:val="4E4D2A0C"/>
    <w:rsid w:val="4E50518F"/>
    <w:rsid w:val="4E510B82"/>
    <w:rsid w:val="4E54216E"/>
    <w:rsid w:val="4E564138"/>
    <w:rsid w:val="4E5959D6"/>
    <w:rsid w:val="4E5C3732"/>
    <w:rsid w:val="4E5C54C6"/>
    <w:rsid w:val="4E5F1D9B"/>
    <w:rsid w:val="4E683E6B"/>
    <w:rsid w:val="4E6D76D3"/>
    <w:rsid w:val="4E796078"/>
    <w:rsid w:val="4E814A20"/>
    <w:rsid w:val="4E86609F"/>
    <w:rsid w:val="4E880069"/>
    <w:rsid w:val="4E8F13F8"/>
    <w:rsid w:val="4E9502E8"/>
    <w:rsid w:val="4E9904C8"/>
    <w:rsid w:val="4E992277"/>
    <w:rsid w:val="4E9D1D67"/>
    <w:rsid w:val="4EA604F0"/>
    <w:rsid w:val="4EAD5D22"/>
    <w:rsid w:val="4EB23158"/>
    <w:rsid w:val="4EB250E6"/>
    <w:rsid w:val="4EB86BA1"/>
    <w:rsid w:val="4EBD5F65"/>
    <w:rsid w:val="4EC362C3"/>
    <w:rsid w:val="4EC866B8"/>
    <w:rsid w:val="4EC95D9C"/>
    <w:rsid w:val="4ECE0172"/>
    <w:rsid w:val="4ED14FC0"/>
    <w:rsid w:val="4ED412BA"/>
    <w:rsid w:val="4EE2777A"/>
    <w:rsid w:val="4EEA4880"/>
    <w:rsid w:val="4EF56E5A"/>
    <w:rsid w:val="4EF63225"/>
    <w:rsid w:val="4EFB2A70"/>
    <w:rsid w:val="4EFB5AC8"/>
    <w:rsid w:val="4F073684"/>
    <w:rsid w:val="4F0973FC"/>
    <w:rsid w:val="4F0A4F22"/>
    <w:rsid w:val="4F0B3CA6"/>
    <w:rsid w:val="4F11005F"/>
    <w:rsid w:val="4F155DA1"/>
    <w:rsid w:val="4F1638C7"/>
    <w:rsid w:val="4F1B2C8C"/>
    <w:rsid w:val="4F200EBB"/>
    <w:rsid w:val="4F253B0A"/>
    <w:rsid w:val="4F2729A6"/>
    <w:rsid w:val="4F272DEC"/>
    <w:rsid w:val="4F3705BB"/>
    <w:rsid w:val="4F375215"/>
    <w:rsid w:val="4F3B1580"/>
    <w:rsid w:val="4F3B332E"/>
    <w:rsid w:val="4F477F24"/>
    <w:rsid w:val="4F4F0BFE"/>
    <w:rsid w:val="4F525119"/>
    <w:rsid w:val="4F5368C9"/>
    <w:rsid w:val="4F563CC4"/>
    <w:rsid w:val="4F5A1A06"/>
    <w:rsid w:val="4F6F03A8"/>
    <w:rsid w:val="4F764366"/>
    <w:rsid w:val="4F7A72D5"/>
    <w:rsid w:val="4F7B197C"/>
    <w:rsid w:val="4F7E2D69"/>
    <w:rsid w:val="4F8503B4"/>
    <w:rsid w:val="4F876573"/>
    <w:rsid w:val="4F8F75CF"/>
    <w:rsid w:val="4F905428"/>
    <w:rsid w:val="4F980780"/>
    <w:rsid w:val="4FA445A2"/>
    <w:rsid w:val="4FAB1C62"/>
    <w:rsid w:val="4FAB2261"/>
    <w:rsid w:val="4FAE1D52"/>
    <w:rsid w:val="4FAE3601"/>
    <w:rsid w:val="4FB05ACA"/>
    <w:rsid w:val="4FB37368"/>
    <w:rsid w:val="4FB8497E"/>
    <w:rsid w:val="4FB9673C"/>
    <w:rsid w:val="4FBD0EDC"/>
    <w:rsid w:val="4FC0670E"/>
    <w:rsid w:val="4FC155E1"/>
    <w:rsid w:val="4FC275AB"/>
    <w:rsid w:val="4FC363DA"/>
    <w:rsid w:val="4FCA4B9F"/>
    <w:rsid w:val="4FCE5F50"/>
    <w:rsid w:val="4FCF1B50"/>
    <w:rsid w:val="4FDC6DA6"/>
    <w:rsid w:val="4FDF015D"/>
    <w:rsid w:val="4FE237A9"/>
    <w:rsid w:val="4FE63299"/>
    <w:rsid w:val="4FE90FDC"/>
    <w:rsid w:val="4FE945BA"/>
    <w:rsid w:val="4FED76F4"/>
    <w:rsid w:val="4FEF697B"/>
    <w:rsid w:val="4FF21C3E"/>
    <w:rsid w:val="4FFE4A87"/>
    <w:rsid w:val="50100316"/>
    <w:rsid w:val="50102C97"/>
    <w:rsid w:val="50106D9A"/>
    <w:rsid w:val="50120532"/>
    <w:rsid w:val="501442ED"/>
    <w:rsid w:val="50175B5A"/>
    <w:rsid w:val="5019541D"/>
    <w:rsid w:val="501A1195"/>
    <w:rsid w:val="5023004A"/>
    <w:rsid w:val="50245B70"/>
    <w:rsid w:val="502B2B6C"/>
    <w:rsid w:val="502B5150"/>
    <w:rsid w:val="502D0EC8"/>
    <w:rsid w:val="502D2C99"/>
    <w:rsid w:val="50302767"/>
    <w:rsid w:val="50375889"/>
    <w:rsid w:val="503E1327"/>
    <w:rsid w:val="503F6FB7"/>
    <w:rsid w:val="504464B2"/>
    <w:rsid w:val="50461F8A"/>
    <w:rsid w:val="50493828"/>
    <w:rsid w:val="504B2D47"/>
    <w:rsid w:val="504B4ACC"/>
    <w:rsid w:val="504B57F2"/>
    <w:rsid w:val="505428F9"/>
    <w:rsid w:val="50597E6E"/>
    <w:rsid w:val="50610B72"/>
    <w:rsid w:val="506643DA"/>
    <w:rsid w:val="50746FFA"/>
    <w:rsid w:val="507E1724"/>
    <w:rsid w:val="50884351"/>
    <w:rsid w:val="508C2093"/>
    <w:rsid w:val="509251CF"/>
    <w:rsid w:val="50945154"/>
    <w:rsid w:val="5095081C"/>
    <w:rsid w:val="509B0528"/>
    <w:rsid w:val="509F054C"/>
    <w:rsid w:val="50A56CB1"/>
    <w:rsid w:val="50AD025B"/>
    <w:rsid w:val="50AF18DD"/>
    <w:rsid w:val="50AF7B2F"/>
    <w:rsid w:val="50B415EA"/>
    <w:rsid w:val="50B43398"/>
    <w:rsid w:val="50B60EBE"/>
    <w:rsid w:val="50B909AE"/>
    <w:rsid w:val="50C11F5D"/>
    <w:rsid w:val="50C7131D"/>
    <w:rsid w:val="50CC6933"/>
    <w:rsid w:val="50CE7876"/>
    <w:rsid w:val="50D61560"/>
    <w:rsid w:val="50D91050"/>
    <w:rsid w:val="50DD197E"/>
    <w:rsid w:val="50DE0415"/>
    <w:rsid w:val="50E53036"/>
    <w:rsid w:val="50E83041"/>
    <w:rsid w:val="50ED2406"/>
    <w:rsid w:val="50F34FF7"/>
    <w:rsid w:val="50F934A0"/>
    <w:rsid w:val="51022355"/>
    <w:rsid w:val="510720B3"/>
    <w:rsid w:val="510A120A"/>
    <w:rsid w:val="5112712D"/>
    <w:rsid w:val="51165E00"/>
    <w:rsid w:val="511B4D29"/>
    <w:rsid w:val="511C3B0A"/>
    <w:rsid w:val="511D4511"/>
    <w:rsid w:val="511E4CB5"/>
    <w:rsid w:val="51200A2D"/>
    <w:rsid w:val="512C73D2"/>
    <w:rsid w:val="512F6EC2"/>
    <w:rsid w:val="513004B1"/>
    <w:rsid w:val="51330760"/>
    <w:rsid w:val="5133250E"/>
    <w:rsid w:val="51385D77"/>
    <w:rsid w:val="513F7105"/>
    <w:rsid w:val="51426BF5"/>
    <w:rsid w:val="51477D68"/>
    <w:rsid w:val="51493AE0"/>
    <w:rsid w:val="514B3CFC"/>
    <w:rsid w:val="514E7348"/>
    <w:rsid w:val="51536EE0"/>
    <w:rsid w:val="51542485"/>
    <w:rsid w:val="51546854"/>
    <w:rsid w:val="51551687"/>
    <w:rsid w:val="515801C7"/>
    <w:rsid w:val="51586419"/>
    <w:rsid w:val="515B3813"/>
    <w:rsid w:val="51612330"/>
    <w:rsid w:val="516632F1"/>
    <w:rsid w:val="517174DB"/>
    <w:rsid w:val="517B3CD2"/>
    <w:rsid w:val="51803134"/>
    <w:rsid w:val="5186233E"/>
    <w:rsid w:val="518B234A"/>
    <w:rsid w:val="518B70A2"/>
    <w:rsid w:val="51905BB3"/>
    <w:rsid w:val="51915487"/>
    <w:rsid w:val="5196525A"/>
    <w:rsid w:val="519D207E"/>
    <w:rsid w:val="519D3E2C"/>
    <w:rsid w:val="51A27694"/>
    <w:rsid w:val="51A927D1"/>
    <w:rsid w:val="51AE7DE7"/>
    <w:rsid w:val="51B34E7A"/>
    <w:rsid w:val="51BD2325"/>
    <w:rsid w:val="51C27D36"/>
    <w:rsid w:val="51CB0999"/>
    <w:rsid w:val="51D00ACA"/>
    <w:rsid w:val="51D30376"/>
    <w:rsid w:val="51D610EC"/>
    <w:rsid w:val="51DB6702"/>
    <w:rsid w:val="51DC0DF8"/>
    <w:rsid w:val="51E1579C"/>
    <w:rsid w:val="51E732F9"/>
    <w:rsid w:val="51EB103B"/>
    <w:rsid w:val="51F223CA"/>
    <w:rsid w:val="51F779E0"/>
    <w:rsid w:val="51FF6894"/>
    <w:rsid w:val="52020133"/>
    <w:rsid w:val="520D41CD"/>
    <w:rsid w:val="520D64F1"/>
    <w:rsid w:val="521265C8"/>
    <w:rsid w:val="52170A35"/>
    <w:rsid w:val="521A0616"/>
    <w:rsid w:val="521A36CE"/>
    <w:rsid w:val="521A547C"/>
    <w:rsid w:val="521D4F6D"/>
    <w:rsid w:val="521D6D1B"/>
    <w:rsid w:val="5221343F"/>
    <w:rsid w:val="5228116F"/>
    <w:rsid w:val="522B763A"/>
    <w:rsid w:val="523522B6"/>
    <w:rsid w:val="52354064"/>
    <w:rsid w:val="52383B54"/>
    <w:rsid w:val="52410C5B"/>
    <w:rsid w:val="52466271"/>
    <w:rsid w:val="5247502A"/>
    <w:rsid w:val="52481FEA"/>
    <w:rsid w:val="525070F0"/>
    <w:rsid w:val="52535C89"/>
    <w:rsid w:val="525F5585"/>
    <w:rsid w:val="52606646"/>
    <w:rsid w:val="52642B9B"/>
    <w:rsid w:val="526553D4"/>
    <w:rsid w:val="52662269"/>
    <w:rsid w:val="52707792"/>
    <w:rsid w:val="52721B97"/>
    <w:rsid w:val="52742DDF"/>
    <w:rsid w:val="52754DA9"/>
    <w:rsid w:val="5277467D"/>
    <w:rsid w:val="527A362B"/>
    <w:rsid w:val="527F36C2"/>
    <w:rsid w:val="528943B0"/>
    <w:rsid w:val="528B5B58"/>
    <w:rsid w:val="528E4E35"/>
    <w:rsid w:val="52954B38"/>
    <w:rsid w:val="52A35472"/>
    <w:rsid w:val="52A5743C"/>
    <w:rsid w:val="52AA6800"/>
    <w:rsid w:val="52AD52B2"/>
    <w:rsid w:val="52C13B4A"/>
    <w:rsid w:val="52C5188C"/>
    <w:rsid w:val="52CC1D29"/>
    <w:rsid w:val="52D25D57"/>
    <w:rsid w:val="52D33E80"/>
    <w:rsid w:val="52D64DC6"/>
    <w:rsid w:val="52D7336D"/>
    <w:rsid w:val="52D96CF8"/>
    <w:rsid w:val="52E55A8A"/>
    <w:rsid w:val="52F61A46"/>
    <w:rsid w:val="53050450"/>
    <w:rsid w:val="53065A01"/>
    <w:rsid w:val="530B03CD"/>
    <w:rsid w:val="530C3017"/>
    <w:rsid w:val="531427A3"/>
    <w:rsid w:val="531719BC"/>
    <w:rsid w:val="53210083"/>
    <w:rsid w:val="53234805"/>
    <w:rsid w:val="53285977"/>
    <w:rsid w:val="532E7431"/>
    <w:rsid w:val="532F6D06"/>
    <w:rsid w:val="53310CD0"/>
    <w:rsid w:val="533407C0"/>
    <w:rsid w:val="53346A12"/>
    <w:rsid w:val="533E33EC"/>
    <w:rsid w:val="533F44DF"/>
    <w:rsid w:val="533F6EA0"/>
    <w:rsid w:val="53400F13"/>
    <w:rsid w:val="53446C55"/>
    <w:rsid w:val="534F73A8"/>
    <w:rsid w:val="53513120"/>
    <w:rsid w:val="53563C96"/>
    <w:rsid w:val="53566988"/>
    <w:rsid w:val="535D6353"/>
    <w:rsid w:val="53644E8F"/>
    <w:rsid w:val="53672943"/>
    <w:rsid w:val="536C61AC"/>
    <w:rsid w:val="53740BBC"/>
    <w:rsid w:val="53764934"/>
    <w:rsid w:val="537E5666"/>
    <w:rsid w:val="53826598"/>
    <w:rsid w:val="53890B0C"/>
    <w:rsid w:val="538C5F06"/>
    <w:rsid w:val="538E6122"/>
    <w:rsid w:val="538F119C"/>
    <w:rsid w:val="538F59F6"/>
    <w:rsid w:val="5392337A"/>
    <w:rsid w:val="53942B34"/>
    <w:rsid w:val="53966D85"/>
    <w:rsid w:val="53A2229D"/>
    <w:rsid w:val="53A3337E"/>
    <w:rsid w:val="53A45945"/>
    <w:rsid w:val="53A56260"/>
    <w:rsid w:val="53A92F5C"/>
    <w:rsid w:val="53AB0A82"/>
    <w:rsid w:val="53B33E09"/>
    <w:rsid w:val="53BA6F17"/>
    <w:rsid w:val="53BB4A3D"/>
    <w:rsid w:val="53BC0116"/>
    <w:rsid w:val="53C25DCC"/>
    <w:rsid w:val="53C6708F"/>
    <w:rsid w:val="53C733E2"/>
    <w:rsid w:val="53CB5C3E"/>
    <w:rsid w:val="53D224B3"/>
    <w:rsid w:val="53D63625"/>
    <w:rsid w:val="53D77AC9"/>
    <w:rsid w:val="53DD49B3"/>
    <w:rsid w:val="53DE61DE"/>
    <w:rsid w:val="53E60D22"/>
    <w:rsid w:val="53E74ED5"/>
    <w:rsid w:val="53F04C61"/>
    <w:rsid w:val="53F51CFD"/>
    <w:rsid w:val="540262EE"/>
    <w:rsid w:val="54040192"/>
    <w:rsid w:val="54043FB8"/>
    <w:rsid w:val="540463E4"/>
    <w:rsid w:val="54047EF9"/>
    <w:rsid w:val="54071A30"/>
    <w:rsid w:val="54077C82"/>
    <w:rsid w:val="54181E8F"/>
    <w:rsid w:val="54256F44"/>
    <w:rsid w:val="5426635A"/>
    <w:rsid w:val="543C16DA"/>
    <w:rsid w:val="543D5452"/>
    <w:rsid w:val="543E18F6"/>
    <w:rsid w:val="543F11CA"/>
    <w:rsid w:val="54422A68"/>
    <w:rsid w:val="544B5DC1"/>
    <w:rsid w:val="545253A1"/>
    <w:rsid w:val="54596730"/>
    <w:rsid w:val="545A6004"/>
    <w:rsid w:val="545C624B"/>
    <w:rsid w:val="545C7FCE"/>
    <w:rsid w:val="545E3D46"/>
    <w:rsid w:val="54617393"/>
    <w:rsid w:val="54694499"/>
    <w:rsid w:val="546B0211"/>
    <w:rsid w:val="5472334E"/>
    <w:rsid w:val="54770964"/>
    <w:rsid w:val="547A0454"/>
    <w:rsid w:val="547C5F7A"/>
    <w:rsid w:val="547E6196"/>
    <w:rsid w:val="547F1643"/>
    <w:rsid w:val="54866DF9"/>
    <w:rsid w:val="548F2152"/>
    <w:rsid w:val="549239F0"/>
    <w:rsid w:val="549332C4"/>
    <w:rsid w:val="549F7EBB"/>
    <w:rsid w:val="54A02118"/>
    <w:rsid w:val="54AF5068"/>
    <w:rsid w:val="54B24092"/>
    <w:rsid w:val="54B46054"/>
    <w:rsid w:val="54B716A8"/>
    <w:rsid w:val="54BC281B"/>
    <w:rsid w:val="54C16083"/>
    <w:rsid w:val="54C3004D"/>
    <w:rsid w:val="54C600BA"/>
    <w:rsid w:val="54C811C0"/>
    <w:rsid w:val="54C94F38"/>
    <w:rsid w:val="54CC5154"/>
    <w:rsid w:val="54CF69F2"/>
    <w:rsid w:val="54D77655"/>
    <w:rsid w:val="54DD329B"/>
    <w:rsid w:val="54F153B4"/>
    <w:rsid w:val="54F223EE"/>
    <w:rsid w:val="54F2623D"/>
    <w:rsid w:val="55006BAB"/>
    <w:rsid w:val="550541C2"/>
    <w:rsid w:val="55061CA9"/>
    <w:rsid w:val="55061CE8"/>
    <w:rsid w:val="550A7A2A"/>
    <w:rsid w:val="550D4D66"/>
    <w:rsid w:val="550F5041"/>
    <w:rsid w:val="551268DF"/>
    <w:rsid w:val="551B39E5"/>
    <w:rsid w:val="551D779F"/>
    <w:rsid w:val="551E5284"/>
    <w:rsid w:val="55254864"/>
    <w:rsid w:val="5527238A"/>
    <w:rsid w:val="552F7491"/>
    <w:rsid w:val="55306D65"/>
    <w:rsid w:val="55326F81"/>
    <w:rsid w:val="553D3F2D"/>
    <w:rsid w:val="553E0490"/>
    <w:rsid w:val="554F368F"/>
    <w:rsid w:val="55550088"/>
    <w:rsid w:val="55557852"/>
    <w:rsid w:val="555667CB"/>
    <w:rsid w:val="5559450E"/>
    <w:rsid w:val="55607E28"/>
    <w:rsid w:val="556233C2"/>
    <w:rsid w:val="5563538C"/>
    <w:rsid w:val="55672B46"/>
    <w:rsid w:val="55705593"/>
    <w:rsid w:val="55713605"/>
    <w:rsid w:val="55734575"/>
    <w:rsid w:val="55782BE6"/>
    <w:rsid w:val="5579591C"/>
    <w:rsid w:val="557D4AFD"/>
    <w:rsid w:val="5583158B"/>
    <w:rsid w:val="55841BAC"/>
    <w:rsid w:val="558C48E3"/>
    <w:rsid w:val="558F6181"/>
    <w:rsid w:val="55A25EB5"/>
    <w:rsid w:val="55A32FF3"/>
    <w:rsid w:val="55AE4859"/>
    <w:rsid w:val="55B0795F"/>
    <w:rsid w:val="55C0458D"/>
    <w:rsid w:val="55C20305"/>
    <w:rsid w:val="55CD4B1F"/>
    <w:rsid w:val="55D6790C"/>
    <w:rsid w:val="55DB4154"/>
    <w:rsid w:val="55DD6EED"/>
    <w:rsid w:val="55E1504F"/>
    <w:rsid w:val="55E738C7"/>
    <w:rsid w:val="55E77D6B"/>
    <w:rsid w:val="55E87337"/>
    <w:rsid w:val="55F34962"/>
    <w:rsid w:val="55F45FE4"/>
    <w:rsid w:val="55F466D7"/>
    <w:rsid w:val="55F85AD5"/>
    <w:rsid w:val="56075848"/>
    <w:rsid w:val="561072C2"/>
    <w:rsid w:val="561623FF"/>
    <w:rsid w:val="561771E7"/>
    <w:rsid w:val="5627460C"/>
    <w:rsid w:val="562960BC"/>
    <w:rsid w:val="562C3A54"/>
    <w:rsid w:val="5633546E"/>
    <w:rsid w:val="563B3C13"/>
    <w:rsid w:val="563E36FF"/>
    <w:rsid w:val="563F3703"/>
    <w:rsid w:val="564151D8"/>
    <w:rsid w:val="564175F1"/>
    <w:rsid w:val="56417C4B"/>
    <w:rsid w:val="56440D1A"/>
    <w:rsid w:val="564451BE"/>
    <w:rsid w:val="56496330"/>
    <w:rsid w:val="564B20A8"/>
    <w:rsid w:val="564B6ED4"/>
    <w:rsid w:val="56502273"/>
    <w:rsid w:val="56503B63"/>
    <w:rsid w:val="56570A4D"/>
    <w:rsid w:val="566040EB"/>
    <w:rsid w:val="566118CC"/>
    <w:rsid w:val="5664316A"/>
    <w:rsid w:val="56647D97"/>
    <w:rsid w:val="56665134"/>
    <w:rsid w:val="56694C24"/>
    <w:rsid w:val="566B62A7"/>
    <w:rsid w:val="566C201F"/>
    <w:rsid w:val="566D64C3"/>
    <w:rsid w:val="566E3FE9"/>
    <w:rsid w:val="566F62EF"/>
    <w:rsid w:val="56792E82"/>
    <w:rsid w:val="56813D1C"/>
    <w:rsid w:val="56861332"/>
    <w:rsid w:val="56890E23"/>
    <w:rsid w:val="5689534B"/>
    <w:rsid w:val="56900AED"/>
    <w:rsid w:val="569577C7"/>
    <w:rsid w:val="569752EE"/>
    <w:rsid w:val="569A4DDE"/>
    <w:rsid w:val="56B55774"/>
    <w:rsid w:val="56BC6CDA"/>
    <w:rsid w:val="56C360E3"/>
    <w:rsid w:val="56D227CA"/>
    <w:rsid w:val="56D46542"/>
    <w:rsid w:val="56D7393C"/>
    <w:rsid w:val="56E524FD"/>
    <w:rsid w:val="56ED13B1"/>
    <w:rsid w:val="56F20776"/>
    <w:rsid w:val="56F444EE"/>
    <w:rsid w:val="56F47850"/>
    <w:rsid w:val="56F72230"/>
    <w:rsid w:val="56F7330C"/>
    <w:rsid w:val="56FD0000"/>
    <w:rsid w:val="56FE35BF"/>
    <w:rsid w:val="57081D47"/>
    <w:rsid w:val="57102608"/>
    <w:rsid w:val="57160908"/>
    <w:rsid w:val="571A005F"/>
    <w:rsid w:val="571C3A45"/>
    <w:rsid w:val="572172AD"/>
    <w:rsid w:val="572648C3"/>
    <w:rsid w:val="57272B15"/>
    <w:rsid w:val="57282ED4"/>
    <w:rsid w:val="572F3778"/>
    <w:rsid w:val="57405985"/>
    <w:rsid w:val="57432CFF"/>
    <w:rsid w:val="574472CC"/>
    <w:rsid w:val="575256B8"/>
    <w:rsid w:val="57546EDB"/>
    <w:rsid w:val="57566F57"/>
    <w:rsid w:val="575B631B"/>
    <w:rsid w:val="575D6537"/>
    <w:rsid w:val="575E5E0B"/>
    <w:rsid w:val="57636ED5"/>
    <w:rsid w:val="576B22D6"/>
    <w:rsid w:val="57713D91"/>
    <w:rsid w:val="57742FA3"/>
    <w:rsid w:val="5774562F"/>
    <w:rsid w:val="577E46FF"/>
    <w:rsid w:val="578566B5"/>
    <w:rsid w:val="5785783C"/>
    <w:rsid w:val="578D1B23"/>
    <w:rsid w:val="57A024A6"/>
    <w:rsid w:val="57A10134"/>
    <w:rsid w:val="57A27CE8"/>
    <w:rsid w:val="57A44166"/>
    <w:rsid w:val="57B27F05"/>
    <w:rsid w:val="57B328E2"/>
    <w:rsid w:val="57B91294"/>
    <w:rsid w:val="57B95737"/>
    <w:rsid w:val="57BA3A9B"/>
    <w:rsid w:val="57C33EC0"/>
    <w:rsid w:val="57C57C38"/>
    <w:rsid w:val="57C77E54"/>
    <w:rsid w:val="57CA34A1"/>
    <w:rsid w:val="57D12A81"/>
    <w:rsid w:val="57E00F16"/>
    <w:rsid w:val="57E24C8E"/>
    <w:rsid w:val="57EE718F"/>
    <w:rsid w:val="57F02763"/>
    <w:rsid w:val="57F10A2D"/>
    <w:rsid w:val="57F40CD0"/>
    <w:rsid w:val="58136BF6"/>
    <w:rsid w:val="58160494"/>
    <w:rsid w:val="581A7F84"/>
    <w:rsid w:val="581C7EDC"/>
    <w:rsid w:val="581D1822"/>
    <w:rsid w:val="581D7A74"/>
    <w:rsid w:val="581F559B"/>
    <w:rsid w:val="582073EB"/>
    <w:rsid w:val="58257B78"/>
    <w:rsid w:val="5829466B"/>
    <w:rsid w:val="582B03E3"/>
    <w:rsid w:val="58304C11"/>
    <w:rsid w:val="5834531F"/>
    <w:rsid w:val="58360B36"/>
    <w:rsid w:val="583B614D"/>
    <w:rsid w:val="5842572D"/>
    <w:rsid w:val="584274DB"/>
    <w:rsid w:val="58456997"/>
    <w:rsid w:val="5846521D"/>
    <w:rsid w:val="58490869"/>
    <w:rsid w:val="584A41F8"/>
    <w:rsid w:val="584C5771"/>
    <w:rsid w:val="584E40D2"/>
    <w:rsid w:val="584E5E80"/>
    <w:rsid w:val="5855720E"/>
    <w:rsid w:val="585A65D3"/>
    <w:rsid w:val="58607961"/>
    <w:rsid w:val="5862192B"/>
    <w:rsid w:val="586236D9"/>
    <w:rsid w:val="58647451"/>
    <w:rsid w:val="586B07E0"/>
    <w:rsid w:val="586C6306"/>
    <w:rsid w:val="586E2300"/>
    <w:rsid w:val="5870229A"/>
    <w:rsid w:val="5875165E"/>
    <w:rsid w:val="587A4EC7"/>
    <w:rsid w:val="587E2954"/>
    <w:rsid w:val="58833922"/>
    <w:rsid w:val="5883579D"/>
    <w:rsid w:val="58883BC4"/>
    <w:rsid w:val="588C1901"/>
    <w:rsid w:val="58937D37"/>
    <w:rsid w:val="589715D5"/>
    <w:rsid w:val="589C308F"/>
    <w:rsid w:val="58A41F44"/>
    <w:rsid w:val="58AC2AE0"/>
    <w:rsid w:val="58AD0DF8"/>
    <w:rsid w:val="58AE691E"/>
    <w:rsid w:val="58B24661"/>
    <w:rsid w:val="58B50975"/>
    <w:rsid w:val="58B73A25"/>
    <w:rsid w:val="58BC17DB"/>
    <w:rsid w:val="58BF0B2C"/>
    <w:rsid w:val="58CD149A"/>
    <w:rsid w:val="58D07FAA"/>
    <w:rsid w:val="58D26AB1"/>
    <w:rsid w:val="58D35C1E"/>
    <w:rsid w:val="58D476E0"/>
    <w:rsid w:val="58DA3BB7"/>
    <w:rsid w:val="58DA5965"/>
    <w:rsid w:val="58DC3DDA"/>
    <w:rsid w:val="58DE5456"/>
    <w:rsid w:val="58F85DEC"/>
    <w:rsid w:val="590429E2"/>
    <w:rsid w:val="59097FF9"/>
    <w:rsid w:val="592B4413"/>
    <w:rsid w:val="593212FE"/>
    <w:rsid w:val="593908DE"/>
    <w:rsid w:val="593E5EF4"/>
    <w:rsid w:val="593F3679"/>
    <w:rsid w:val="594243CD"/>
    <w:rsid w:val="59457283"/>
    <w:rsid w:val="59492A03"/>
    <w:rsid w:val="594B23BF"/>
    <w:rsid w:val="594D6137"/>
    <w:rsid w:val="594E7882"/>
    <w:rsid w:val="59584F92"/>
    <w:rsid w:val="595A2602"/>
    <w:rsid w:val="59671525"/>
    <w:rsid w:val="59690710"/>
    <w:rsid w:val="596A669D"/>
    <w:rsid w:val="596D4A2C"/>
    <w:rsid w:val="59727F77"/>
    <w:rsid w:val="59747B68"/>
    <w:rsid w:val="597731B4"/>
    <w:rsid w:val="597B0EF6"/>
    <w:rsid w:val="597E09E7"/>
    <w:rsid w:val="597E215D"/>
    <w:rsid w:val="59851D75"/>
    <w:rsid w:val="59861649"/>
    <w:rsid w:val="598F6750"/>
    <w:rsid w:val="59970E63"/>
    <w:rsid w:val="59A26483"/>
    <w:rsid w:val="59AF58EE"/>
    <w:rsid w:val="59B2243E"/>
    <w:rsid w:val="59B26362"/>
    <w:rsid w:val="59B46F19"/>
    <w:rsid w:val="59B52CDE"/>
    <w:rsid w:val="59BE0DE3"/>
    <w:rsid w:val="59C02DAD"/>
    <w:rsid w:val="59C040E4"/>
    <w:rsid w:val="59CF1242"/>
    <w:rsid w:val="59D17F1B"/>
    <w:rsid w:val="59DD395F"/>
    <w:rsid w:val="59DE1485"/>
    <w:rsid w:val="59E52814"/>
    <w:rsid w:val="59F36CDF"/>
    <w:rsid w:val="59F5604A"/>
    <w:rsid w:val="59F5704C"/>
    <w:rsid w:val="59F82547"/>
    <w:rsid w:val="59FE7432"/>
    <w:rsid w:val="5A0116A6"/>
    <w:rsid w:val="5A025FF8"/>
    <w:rsid w:val="5A083F27"/>
    <w:rsid w:val="5A0C699F"/>
    <w:rsid w:val="5A0C7EBC"/>
    <w:rsid w:val="5A113609"/>
    <w:rsid w:val="5A143253"/>
    <w:rsid w:val="5A174EA1"/>
    <w:rsid w:val="5A191F5F"/>
    <w:rsid w:val="5A1A1AF5"/>
    <w:rsid w:val="5A272E2C"/>
    <w:rsid w:val="5A292701"/>
    <w:rsid w:val="5A2A3236"/>
    <w:rsid w:val="5A2A6479"/>
    <w:rsid w:val="5A2C3F9F"/>
    <w:rsid w:val="5A2F3A8F"/>
    <w:rsid w:val="5A3612C1"/>
    <w:rsid w:val="5A4532B2"/>
    <w:rsid w:val="5A4C2893"/>
    <w:rsid w:val="5A4D79BC"/>
    <w:rsid w:val="5A53777D"/>
    <w:rsid w:val="5A544D62"/>
    <w:rsid w:val="5A5534F6"/>
    <w:rsid w:val="5A584D94"/>
    <w:rsid w:val="5A5A6D5E"/>
    <w:rsid w:val="5A5F6122"/>
    <w:rsid w:val="5A6032E5"/>
    <w:rsid w:val="5A663955"/>
    <w:rsid w:val="5A673229"/>
    <w:rsid w:val="5A690D4F"/>
    <w:rsid w:val="5A6B0F6B"/>
    <w:rsid w:val="5A6C083F"/>
    <w:rsid w:val="5A722EBF"/>
    <w:rsid w:val="5A731BCE"/>
    <w:rsid w:val="5A736072"/>
    <w:rsid w:val="5A7616BE"/>
    <w:rsid w:val="5A792AB2"/>
    <w:rsid w:val="5A8E07B6"/>
    <w:rsid w:val="5A932270"/>
    <w:rsid w:val="5A9658BC"/>
    <w:rsid w:val="5AA2037E"/>
    <w:rsid w:val="5AA224B3"/>
    <w:rsid w:val="5AA45E40"/>
    <w:rsid w:val="5AA61FA3"/>
    <w:rsid w:val="5AA65F0D"/>
    <w:rsid w:val="5AA9356E"/>
    <w:rsid w:val="5AAB1367"/>
    <w:rsid w:val="5AAB6002"/>
    <w:rsid w:val="5AB04BD0"/>
    <w:rsid w:val="5AB20948"/>
    <w:rsid w:val="5ABD72ED"/>
    <w:rsid w:val="5AC42429"/>
    <w:rsid w:val="5AC62645"/>
    <w:rsid w:val="5AC93EE4"/>
    <w:rsid w:val="5AD22D98"/>
    <w:rsid w:val="5AD308BE"/>
    <w:rsid w:val="5AD44AB6"/>
    <w:rsid w:val="5AD85ED5"/>
    <w:rsid w:val="5ADA39FB"/>
    <w:rsid w:val="5AE40D1D"/>
    <w:rsid w:val="5AE5729C"/>
    <w:rsid w:val="5AE64A95"/>
    <w:rsid w:val="5AE8437A"/>
    <w:rsid w:val="5AEE394A"/>
    <w:rsid w:val="5AEF428F"/>
    <w:rsid w:val="5AFC6067"/>
    <w:rsid w:val="5B062A42"/>
    <w:rsid w:val="5B117268"/>
    <w:rsid w:val="5B13515F"/>
    <w:rsid w:val="5B174C4F"/>
    <w:rsid w:val="5B1F14E9"/>
    <w:rsid w:val="5B215ACE"/>
    <w:rsid w:val="5B24111A"/>
    <w:rsid w:val="5B2A6DFE"/>
    <w:rsid w:val="5B2F5BD6"/>
    <w:rsid w:val="5B313B2D"/>
    <w:rsid w:val="5B331092"/>
    <w:rsid w:val="5B3752F1"/>
    <w:rsid w:val="5B395EEC"/>
    <w:rsid w:val="5B3A26EB"/>
    <w:rsid w:val="5B3E042E"/>
    <w:rsid w:val="5B430FD1"/>
    <w:rsid w:val="5B4377F2"/>
    <w:rsid w:val="5B4517BC"/>
    <w:rsid w:val="5B4A5024"/>
    <w:rsid w:val="5B4B66A7"/>
    <w:rsid w:val="5B4C1282"/>
    <w:rsid w:val="5B4D0671"/>
    <w:rsid w:val="5B4D20E9"/>
    <w:rsid w:val="5B5E287E"/>
    <w:rsid w:val="5B5F2152"/>
    <w:rsid w:val="5B61236E"/>
    <w:rsid w:val="5B661732"/>
    <w:rsid w:val="5B6A7E5A"/>
    <w:rsid w:val="5B7A551A"/>
    <w:rsid w:val="5B800A46"/>
    <w:rsid w:val="5B863B83"/>
    <w:rsid w:val="5B8A3673"/>
    <w:rsid w:val="5B8A5A75"/>
    <w:rsid w:val="5B8A7E0B"/>
    <w:rsid w:val="5B8F47E5"/>
    <w:rsid w:val="5B90055D"/>
    <w:rsid w:val="5B953DC6"/>
    <w:rsid w:val="5B955B74"/>
    <w:rsid w:val="5B97061F"/>
    <w:rsid w:val="5BA34735"/>
    <w:rsid w:val="5BA65FD3"/>
    <w:rsid w:val="5BA87F9D"/>
    <w:rsid w:val="5BA91948"/>
    <w:rsid w:val="5BAB0BC1"/>
    <w:rsid w:val="5BAF30D9"/>
    <w:rsid w:val="5BB71F8E"/>
    <w:rsid w:val="5BBE0F32"/>
    <w:rsid w:val="5BBE156E"/>
    <w:rsid w:val="5BC621D1"/>
    <w:rsid w:val="5BCD17B1"/>
    <w:rsid w:val="5BCE7A03"/>
    <w:rsid w:val="5BD112A2"/>
    <w:rsid w:val="5BD13050"/>
    <w:rsid w:val="5BD42B40"/>
    <w:rsid w:val="5BD668B8"/>
    <w:rsid w:val="5BD87357"/>
    <w:rsid w:val="5BE508A9"/>
    <w:rsid w:val="5BEF1728"/>
    <w:rsid w:val="5BF136F2"/>
    <w:rsid w:val="5BF154A0"/>
    <w:rsid w:val="5BF94355"/>
    <w:rsid w:val="5BFB00CD"/>
    <w:rsid w:val="5C043425"/>
    <w:rsid w:val="5C074CC3"/>
    <w:rsid w:val="5C0E2FD3"/>
    <w:rsid w:val="5C0F1AD7"/>
    <w:rsid w:val="5C110814"/>
    <w:rsid w:val="5C125416"/>
    <w:rsid w:val="5C1C1489"/>
    <w:rsid w:val="5C1E200D"/>
    <w:rsid w:val="5C207D29"/>
    <w:rsid w:val="5C274245"/>
    <w:rsid w:val="5C2A2760"/>
    <w:rsid w:val="5C2A6C04"/>
    <w:rsid w:val="5C2F1CE3"/>
    <w:rsid w:val="5C3655A9"/>
    <w:rsid w:val="5C3830CF"/>
    <w:rsid w:val="5C392FF7"/>
    <w:rsid w:val="5C3E620B"/>
    <w:rsid w:val="5C401F83"/>
    <w:rsid w:val="5C403D31"/>
    <w:rsid w:val="5C446120"/>
    <w:rsid w:val="5C4557EC"/>
    <w:rsid w:val="5C487FF6"/>
    <w:rsid w:val="5C49708A"/>
    <w:rsid w:val="5C4A2B15"/>
    <w:rsid w:val="5C4B1054"/>
    <w:rsid w:val="5C4C26D6"/>
    <w:rsid w:val="5C515F3F"/>
    <w:rsid w:val="5C5F68AD"/>
    <w:rsid w:val="5C702869"/>
    <w:rsid w:val="5C797243"/>
    <w:rsid w:val="5C7B08EC"/>
    <w:rsid w:val="5C7D31D8"/>
    <w:rsid w:val="5C8005D2"/>
    <w:rsid w:val="5C806824"/>
    <w:rsid w:val="5C814A76"/>
    <w:rsid w:val="5C841E70"/>
    <w:rsid w:val="5C846314"/>
    <w:rsid w:val="5C86208C"/>
    <w:rsid w:val="5C8C33F3"/>
    <w:rsid w:val="5C910A31"/>
    <w:rsid w:val="5C912AD3"/>
    <w:rsid w:val="5C930305"/>
    <w:rsid w:val="5C9B365E"/>
    <w:rsid w:val="5C9D2F32"/>
    <w:rsid w:val="5C9F4EFC"/>
    <w:rsid w:val="5CAD6132"/>
    <w:rsid w:val="5CB85FBE"/>
    <w:rsid w:val="5CBA37D5"/>
    <w:rsid w:val="5CBA3AE4"/>
    <w:rsid w:val="5CBC0CD0"/>
    <w:rsid w:val="5CBC5AAE"/>
    <w:rsid w:val="5CC74453"/>
    <w:rsid w:val="5CC901CB"/>
    <w:rsid w:val="5CCA2272"/>
    <w:rsid w:val="5CD728E8"/>
    <w:rsid w:val="5CEE7C31"/>
    <w:rsid w:val="5CF0225B"/>
    <w:rsid w:val="5CF36FF6"/>
    <w:rsid w:val="5CF772D0"/>
    <w:rsid w:val="5D02548B"/>
    <w:rsid w:val="5D056739"/>
    <w:rsid w:val="5D0D6309"/>
    <w:rsid w:val="5D0E5BDE"/>
    <w:rsid w:val="5D131446"/>
    <w:rsid w:val="5D1458EA"/>
    <w:rsid w:val="5D261179"/>
    <w:rsid w:val="5D290C69"/>
    <w:rsid w:val="5D2B49C1"/>
    <w:rsid w:val="5D2C2DE7"/>
    <w:rsid w:val="5D2C3FDA"/>
    <w:rsid w:val="5D301FF8"/>
    <w:rsid w:val="5D3078A7"/>
    <w:rsid w:val="5D347D3A"/>
    <w:rsid w:val="5D3A6B95"/>
    <w:rsid w:val="5D3F63CF"/>
    <w:rsid w:val="5D3F6DF8"/>
    <w:rsid w:val="5D490595"/>
    <w:rsid w:val="5D4B5084"/>
    <w:rsid w:val="5D4D517E"/>
    <w:rsid w:val="5D4E0349"/>
    <w:rsid w:val="5D4E247E"/>
    <w:rsid w:val="5D537A94"/>
    <w:rsid w:val="5D5615C2"/>
    <w:rsid w:val="5D5E0913"/>
    <w:rsid w:val="5D6323CD"/>
    <w:rsid w:val="5D663C6C"/>
    <w:rsid w:val="5D6D6DA8"/>
    <w:rsid w:val="5D6F6C11"/>
    <w:rsid w:val="5D704AEA"/>
    <w:rsid w:val="5D720862"/>
    <w:rsid w:val="5D722610"/>
    <w:rsid w:val="5D72765A"/>
    <w:rsid w:val="5D83037A"/>
    <w:rsid w:val="5D845EA0"/>
    <w:rsid w:val="5D8E72CD"/>
    <w:rsid w:val="5D914036"/>
    <w:rsid w:val="5D916C44"/>
    <w:rsid w:val="5D931564"/>
    <w:rsid w:val="5D99435E"/>
    <w:rsid w:val="5DA54794"/>
    <w:rsid w:val="5DAF5613"/>
    <w:rsid w:val="5DB16193"/>
    <w:rsid w:val="5DBC388C"/>
    <w:rsid w:val="5DC42740"/>
    <w:rsid w:val="5DC47A95"/>
    <w:rsid w:val="5DC82230"/>
    <w:rsid w:val="5DCA09A3"/>
    <w:rsid w:val="5DCA30CB"/>
    <w:rsid w:val="5DD80D6D"/>
    <w:rsid w:val="5DD92690"/>
    <w:rsid w:val="5DD9443E"/>
    <w:rsid w:val="5DE132F2"/>
    <w:rsid w:val="5DEA21A7"/>
    <w:rsid w:val="5DFB43B4"/>
    <w:rsid w:val="5DFC3365"/>
    <w:rsid w:val="5DFD06C9"/>
    <w:rsid w:val="5DFD224D"/>
    <w:rsid w:val="5E005E6E"/>
    <w:rsid w:val="5E012292"/>
    <w:rsid w:val="5E056FE1"/>
    <w:rsid w:val="5E08087F"/>
    <w:rsid w:val="5E13008D"/>
    <w:rsid w:val="5E134804"/>
    <w:rsid w:val="5E1C432A"/>
    <w:rsid w:val="5E1E4546"/>
    <w:rsid w:val="5E2376F0"/>
    <w:rsid w:val="5E24096A"/>
    <w:rsid w:val="5E2A4C99"/>
    <w:rsid w:val="5E2B3C63"/>
    <w:rsid w:val="5E2E29DB"/>
    <w:rsid w:val="5E2E7DDC"/>
    <w:rsid w:val="5E323267"/>
    <w:rsid w:val="5E391380"/>
    <w:rsid w:val="5E435D5B"/>
    <w:rsid w:val="5E437B09"/>
    <w:rsid w:val="5E4F4700"/>
    <w:rsid w:val="5E5341F0"/>
    <w:rsid w:val="5E543AC4"/>
    <w:rsid w:val="5E602469"/>
    <w:rsid w:val="5E624433"/>
    <w:rsid w:val="5E6C3504"/>
    <w:rsid w:val="5E70077B"/>
    <w:rsid w:val="5E710B1A"/>
    <w:rsid w:val="5E744166"/>
    <w:rsid w:val="5E7B138A"/>
    <w:rsid w:val="5E7E05A8"/>
    <w:rsid w:val="5E8343A9"/>
    <w:rsid w:val="5E8D407E"/>
    <w:rsid w:val="5E923538"/>
    <w:rsid w:val="5E9367AF"/>
    <w:rsid w:val="5E940365"/>
    <w:rsid w:val="5E945FB1"/>
    <w:rsid w:val="5E9842F9"/>
    <w:rsid w:val="5E9B16F3"/>
    <w:rsid w:val="5EA44A4C"/>
    <w:rsid w:val="5EA54320"/>
    <w:rsid w:val="5EB32EE1"/>
    <w:rsid w:val="5EB6477F"/>
    <w:rsid w:val="5EB654B8"/>
    <w:rsid w:val="5EB804F7"/>
    <w:rsid w:val="5EC41734"/>
    <w:rsid w:val="5EC647D8"/>
    <w:rsid w:val="5ECA3D86"/>
    <w:rsid w:val="5ECB022A"/>
    <w:rsid w:val="5ECE1AC8"/>
    <w:rsid w:val="5ED1434E"/>
    <w:rsid w:val="5ED46D7C"/>
    <w:rsid w:val="5EDB1AE4"/>
    <w:rsid w:val="5EE035AA"/>
    <w:rsid w:val="5EE237C6"/>
    <w:rsid w:val="5EE44E48"/>
    <w:rsid w:val="5EE578F7"/>
    <w:rsid w:val="5EEC01A1"/>
    <w:rsid w:val="5EF20CBE"/>
    <w:rsid w:val="5EF62DCD"/>
    <w:rsid w:val="5EF744FF"/>
    <w:rsid w:val="5EF91B98"/>
    <w:rsid w:val="5EFA0BD9"/>
    <w:rsid w:val="5F092B01"/>
    <w:rsid w:val="5F0A5107"/>
    <w:rsid w:val="5F0D0843"/>
    <w:rsid w:val="5F1119B5"/>
    <w:rsid w:val="5F1C0A86"/>
    <w:rsid w:val="5F1F168D"/>
    <w:rsid w:val="5F221E14"/>
    <w:rsid w:val="5F277E42"/>
    <w:rsid w:val="5F285AE4"/>
    <w:rsid w:val="5F2931A3"/>
    <w:rsid w:val="5F2E2567"/>
    <w:rsid w:val="5F322057"/>
    <w:rsid w:val="5F35040D"/>
    <w:rsid w:val="5F3E6C4E"/>
    <w:rsid w:val="5F44577A"/>
    <w:rsid w:val="5F4E6765"/>
    <w:rsid w:val="5F5244A8"/>
    <w:rsid w:val="5F546603"/>
    <w:rsid w:val="5F5521EA"/>
    <w:rsid w:val="5F557AF4"/>
    <w:rsid w:val="5F5F64D7"/>
    <w:rsid w:val="5F622211"/>
    <w:rsid w:val="5F683CCB"/>
    <w:rsid w:val="5F6B37BB"/>
    <w:rsid w:val="5F775CBC"/>
    <w:rsid w:val="5F7C7776"/>
    <w:rsid w:val="5F7F2DC3"/>
    <w:rsid w:val="5F811044"/>
    <w:rsid w:val="5F832A75"/>
    <w:rsid w:val="5F864151"/>
    <w:rsid w:val="5F88611B"/>
    <w:rsid w:val="5F8921D2"/>
    <w:rsid w:val="5F895777"/>
    <w:rsid w:val="5F8B3350"/>
    <w:rsid w:val="5F93061C"/>
    <w:rsid w:val="5F962316"/>
    <w:rsid w:val="5F981EAB"/>
    <w:rsid w:val="5F991742"/>
    <w:rsid w:val="5F9E149B"/>
    <w:rsid w:val="5FA016B7"/>
    <w:rsid w:val="5FA35EAE"/>
    <w:rsid w:val="5FA36AB1"/>
    <w:rsid w:val="5FA75A8E"/>
    <w:rsid w:val="5FA97E40"/>
    <w:rsid w:val="5FAB005C"/>
    <w:rsid w:val="5FAB3BB8"/>
    <w:rsid w:val="5FC52ECB"/>
    <w:rsid w:val="5FCC24AC"/>
    <w:rsid w:val="5FCC2839"/>
    <w:rsid w:val="5FD96977"/>
    <w:rsid w:val="5FDC1FC3"/>
    <w:rsid w:val="5FDE21DF"/>
    <w:rsid w:val="5FE86BBA"/>
    <w:rsid w:val="5FED2422"/>
    <w:rsid w:val="5FF20664"/>
    <w:rsid w:val="5FF7504F"/>
    <w:rsid w:val="5FFF7C33"/>
    <w:rsid w:val="60065292"/>
    <w:rsid w:val="600B1271"/>
    <w:rsid w:val="600D4872"/>
    <w:rsid w:val="60116111"/>
    <w:rsid w:val="60121E89"/>
    <w:rsid w:val="601654D5"/>
    <w:rsid w:val="6017124D"/>
    <w:rsid w:val="60183580"/>
    <w:rsid w:val="60261490"/>
    <w:rsid w:val="602816AC"/>
    <w:rsid w:val="602F2A3B"/>
    <w:rsid w:val="602F6597"/>
    <w:rsid w:val="60310B6E"/>
    <w:rsid w:val="60351B3D"/>
    <w:rsid w:val="604557D9"/>
    <w:rsid w:val="604740BC"/>
    <w:rsid w:val="60477D84"/>
    <w:rsid w:val="6051650D"/>
    <w:rsid w:val="60516DAD"/>
    <w:rsid w:val="605361DC"/>
    <w:rsid w:val="60593313"/>
    <w:rsid w:val="605B55DE"/>
    <w:rsid w:val="606502A8"/>
    <w:rsid w:val="606821DE"/>
    <w:rsid w:val="606C77EB"/>
    <w:rsid w:val="606D5311"/>
    <w:rsid w:val="6074044E"/>
    <w:rsid w:val="607E751E"/>
    <w:rsid w:val="607F098D"/>
    <w:rsid w:val="6085265B"/>
    <w:rsid w:val="608A5EC3"/>
    <w:rsid w:val="608D150F"/>
    <w:rsid w:val="60917251"/>
    <w:rsid w:val="60A03FB7"/>
    <w:rsid w:val="60A2320D"/>
    <w:rsid w:val="60A90EDA"/>
    <w:rsid w:val="60B151FE"/>
    <w:rsid w:val="60B16A2C"/>
    <w:rsid w:val="60B8658C"/>
    <w:rsid w:val="60BB42CE"/>
    <w:rsid w:val="60C03693"/>
    <w:rsid w:val="60C2740B"/>
    <w:rsid w:val="60C34F31"/>
    <w:rsid w:val="60C413D5"/>
    <w:rsid w:val="60C50CA9"/>
    <w:rsid w:val="60C70EC5"/>
    <w:rsid w:val="60CC785D"/>
    <w:rsid w:val="60DA29A7"/>
    <w:rsid w:val="60DB671F"/>
    <w:rsid w:val="60E20F9A"/>
    <w:rsid w:val="60E43825"/>
    <w:rsid w:val="60F577E0"/>
    <w:rsid w:val="60FF240D"/>
    <w:rsid w:val="61016185"/>
    <w:rsid w:val="610B0DB2"/>
    <w:rsid w:val="61120392"/>
    <w:rsid w:val="6118702B"/>
    <w:rsid w:val="611C2FBF"/>
    <w:rsid w:val="61202EDB"/>
    <w:rsid w:val="61227EAA"/>
    <w:rsid w:val="6124191F"/>
    <w:rsid w:val="612511DF"/>
    <w:rsid w:val="61302209"/>
    <w:rsid w:val="613025C6"/>
    <w:rsid w:val="613227E3"/>
    <w:rsid w:val="613320B7"/>
    <w:rsid w:val="613A3445"/>
    <w:rsid w:val="613E2E8D"/>
    <w:rsid w:val="614147D4"/>
    <w:rsid w:val="61475B62"/>
    <w:rsid w:val="614844DF"/>
    <w:rsid w:val="614B11AE"/>
    <w:rsid w:val="6151078F"/>
    <w:rsid w:val="61573869"/>
    <w:rsid w:val="615A7643"/>
    <w:rsid w:val="61632C2C"/>
    <w:rsid w:val="61677FB2"/>
    <w:rsid w:val="6171096B"/>
    <w:rsid w:val="61750921"/>
    <w:rsid w:val="617C1CB0"/>
    <w:rsid w:val="617C3AF6"/>
    <w:rsid w:val="617F52FC"/>
    <w:rsid w:val="61930DA7"/>
    <w:rsid w:val="619D5782"/>
    <w:rsid w:val="61A30FEA"/>
    <w:rsid w:val="61A66D2D"/>
    <w:rsid w:val="61AD3F9D"/>
    <w:rsid w:val="61B054B5"/>
    <w:rsid w:val="61B158E9"/>
    <w:rsid w:val="61BD7BD2"/>
    <w:rsid w:val="61C827FF"/>
    <w:rsid w:val="61D405F2"/>
    <w:rsid w:val="61D70C94"/>
    <w:rsid w:val="61D94A0C"/>
    <w:rsid w:val="61DC6C34"/>
    <w:rsid w:val="61DE64C6"/>
    <w:rsid w:val="61DF7FF8"/>
    <w:rsid w:val="61E457C0"/>
    <w:rsid w:val="61F71336"/>
    <w:rsid w:val="61FA0D2D"/>
    <w:rsid w:val="61FA38FE"/>
    <w:rsid w:val="620121B5"/>
    <w:rsid w:val="62033520"/>
    <w:rsid w:val="620677CB"/>
    <w:rsid w:val="620A1069"/>
    <w:rsid w:val="620F042E"/>
    <w:rsid w:val="6211064A"/>
    <w:rsid w:val="62126170"/>
    <w:rsid w:val="62170D32"/>
    <w:rsid w:val="621C2B4B"/>
    <w:rsid w:val="621C40C6"/>
    <w:rsid w:val="622342CB"/>
    <w:rsid w:val="62261C1B"/>
    <w:rsid w:val="622B7232"/>
    <w:rsid w:val="622C2116"/>
    <w:rsid w:val="622D4D58"/>
    <w:rsid w:val="6231670D"/>
    <w:rsid w:val="62350B41"/>
    <w:rsid w:val="62383234"/>
    <w:rsid w:val="623936FD"/>
    <w:rsid w:val="623E51B7"/>
    <w:rsid w:val="624520A2"/>
    <w:rsid w:val="6247406C"/>
    <w:rsid w:val="624A76B8"/>
    <w:rsid w:val="624B60B8"/>
    <w:rsid w:val="624D53FA"/>
    <w:rsid w:val="625247BE"/>
    <w:rsid w:val="62540537"/>
    <w:rsid w:val="625C73EB"/>
    <w:rsid w:val="62600B75"/>
    <w:rsid w:val="62614A02"/>
    <w:rsid w:val="626562A0"/>
    <w:rsid w:val="626F35C2"/>
    <w:rsid w:val="627110E9"/>
    <w:rsid w:val="62715EB0"/>
    <w:rsid w:val="62740BD9"/>
    <w:rsid w:val="627961EF"/>
    <w:rsid w:val="627E55B4"/>
    <w:rsid w:val="62864468"/>
    <w:rsid w:val="628801E0"/>
    <w:rsid w:val="628E2720"/>
    <w:rsid w:val="62922E0D"/>
    <w:rsid w:val="629372B1"/>
    <w:rsid w:val="62943029"/>
    <w:rsid w:val="629628FD"/>
    <w:rsid w:val="629D1EDE"/>
    <w:rsid w:val="62A0537C"/>
    <w:rsid w:val="62A56FE4"/>
    <w:rsid w:val="62A74B0A"/>
    <w:rsid w:val="62AD7C47"/>
    <w:rsid w:val="62B114E5"/>
    <w:rsid w:val="62C40A68"/>
    <w:rsid w:val="62CE2FA5"/>
    <w:rsid w:val="62D64833"/>
    <w:rsid w:val="62DB5454"/>
    <w:rsid w:val="62DF7500"/>
    <w:rsid w:val="62E55633"/>
    <w:rsid w:val="62E56F5D"/>
    <w:rsid w:val="62E719AA"/>
    <w:rsid w:val="62F04EC6"/>
    <w:rsid w:val="62F31AFE"/>
    <w:rsid w:val="62F45876"/>
    <w:rsid w:val="62F85366"/>
    <w:rsid w:val="62FD297C"/>
    <w:rsid w:val="630930CF"/>
    <w:rsid w:val="63097573"/>
    <w:rsid w:val="63146431"/>
    <w:rsid w:val="63155F18"/>
    <w:rsid w:val="631657EC"/>
    <w:rsid w:val="63212B0F"/>
    <w:rsid w:val="63247F09"/>
    <w:rsid w:val="63280FF6"/>
    <w:rsid w:val="632E0D88"/>
    <w:rsid w:val="63304B00"/>
    <w:rsid w:val="63350368"/>
    <w:rsid w:val="633640E0"/>
    <w:rsid w:val="63387E58"/>
    <w:rsid w:val="6339083A"/>
    <w:rsid w:val="633B16F7"/>
    <w:rsid w:val="633F4D43"/>
    <w:rsid w:val="63422A85"/>
    <w:rsid w:val="63442359"/>
    <w:rsid w:val="634C56B2"/>
    <w:rsid w:val="634F1D9E"/>
    <w:rsid w:val="635263D8"/>
    <w:rsid w:val="63531A7D"/>
    <w:rsid w:val="63583D36"/>
    <w:rsid w:val="635A1B7D"/>
    <w:rsid w:val="635D166D"/>
    <w:rsid w:val="635D341B"/>
    <w:rsid w:val="6361115D"/>
    <w:rsid w:val="63663566"/>
    <w:rsid w:val="63666773"/>
    <w:rsid w:val="63682DCB"/>
    <w:rsid w:val="63685ED2"/>
    <w:rsid w:val="636B1FDC"/>
    <w:rsid w:val="636B3D8A"/>
    <w:rsid w:val="63730E90"/>
    <w:rsid w:val="63750765"/>
    <w:rsid w:val="637F327F"/>
    <w:rsid w:val="637F5EFE"/>
    <w:rsid w:val="63860BC4"/>
    <w:rsid w:val="638C5AAE"/>
    <w:rsid w:val="638F2616"/>
    <w:rsid w:val="63984453"/>
    <w:rsid w:val="63987CAB"/>
    <w:rsid w:val="63A23524"/>
    <w:rsid w:val="63A92B04"/>
    <w:rsid w:val="63B15692"/>
    <w:rsid w:val="63B26818"/>
    <w:rsid w:val="63B514A9"/>
    <w:rsid w:val="63B53257"/>
    <w:rsid w:val="63B76FCF"/>
    <w:rsid w:val="63BA086D"/>
    <w:rsid w:val="63BB6421"/>
    <w:rsid w:val="63C65464"/>
    <w:rsid w:val="63C82F8A"/>
    <w:rsid w:val="63D17247"/>
    <w:rsid w:val="63D556A7"/>
    <w:rsid w:val="63DA184F"/>
    <w:rsid w:val="63DD630A"/>
    <w:rsid w:val="63E1404C"/>
    <w:rsid w:val="63E61662"/>
    <w:rsid w:val="63E73E74"/>
    <w:rsid w:val="63E91153"/>
    <w:rsid w:val="63E94CAF"/>
    <w:rsid w:val="63EB6C79"/>
    <w:rsid w:val="63F277E9"/>
    <w:rsid w:val="63F95441"/>
    <w:rsid w:val="63FF1670"/>
    <w:rsid w:val="63FF23D3"/>
    <w:rsid w:val="64047D3A"/>
    <w:rsid w:val="64055F8C"/>
    <w:rsid w:val="64061D04"/>
    <w:rsid w:val="640A35A3"/>
    <w:rsid w:val="640B2A07"/>
    <w:rsid w:val="640D22D6"/>
    <w:rsid w:val="64104931"/>
    <w:rsid w:val="641425A0"/>
    <w:rsid w:val="6416019A"/>
    <w:rsid w:val="641712CE"/>
    <w:rsid w:val="64177A6E"/>
    <w:rsid w:val="641A130C"/>
    <w:rsid w:val="641F230D"/>
    <w:rsid w:val="64200E4F"/>
    <w:rsid w:val="6421798E"/>
    <w:rsid w:val="64283A29"/>
    <w:rsid w:val="642E49EA"/>
    <w:rsid w:val="642F3009"/>
    <w:rsid w:val="64354398"/>
    <w:rsid w:val="643C74D4"/>
    <w:rsid w:val="643E4FFA"/>
    <w:rsid w:val="643F390D"/>
    <w:rsid w:val="64437AD9"/>
    <w:rsid w:val="64462101"/>
    <w:rsid w:val="64494212"/>
    <w:rsid w:val="644A7E43"/>
    <w:rsid w:val="644E1643"/>
    <w:rsid w:val="64515E31"/>
    <w:rsid w:val="645A5BAC"/>
    <w:rsid w:val="645A795A"/>
    <w:rsid w:val="645E569D"/>
    <w:rsid w:val="6470717E"/>
    <w:rsid w:val="647153D0"/>
    <w:rsid w:val="64721148"/>
    <w:rsid w:val="64760C38"/>
    <w:rsid w:val="64763953"/>
    <w:rsid w:val="64803865"/>
    <w:rsid w:val="64835103"/>
    <w:rsid w:val="64857FA9"/>
    <w:rsid w:val="648669A1"/>
    <w:rsid w:val="648A46E4"/>
    <w:rsid w:val="64947310"/>
    <w:rsid w:val="649D65BE"/>
    <w:rsid w:val="649E018F"/>
    <w:rsid w:val="64A32CD0"/>
    <w:rsid w:val="64A357A5"/>
    <w:rsid w:val="64A71A33"/>
    <w:rsid w:val="64AC28AC"/>
    <w:rsid w:val="64AD2180"/>
    <w:rsid w:val="64C00105"/>
    <w:rsid w:val="64C002CD"/>
    <w:rsid w:val="64C01EB3"/>
    <w:rsid w:val="64C37BF6"/>
    <w:rsid w:val="64D63485"/>
    <w:rsid w:val="64DB0A9B"/>
    <w:rsid w:val="64DB6CED"/>
    <w:rsid w:val="64E536C8"/>
    <w:rsid w:val="64E8140A"/>
    <w:rsid w:val="64EA5182"/>
    <w:rsid w:val="64EB5977"/>
    <w:rsid w:val="64EC081F"/>
    <w:rsid w:val="64F102BF"/>
    <w:rsid w:val="64F36A43"/>
    <w:rsid w:val="64F74395"/>
    <w:rsid w:val="64FC03CA"/>
    <w:rsid w:val="65053D6A"/>
    <w:rsid w:val="651F7CFD"/>
    <w:rsid w:val="652C0CB8"/>
    <w:rsid w:val="65340DFB"/>
    <w:rsid w:val="65362175"/>
    <w:rsid w:val="653A1C66"/>
    <w:rsid w:val="653A1E7A"/>
    <w:rsid w:val="653B59DE"/>
    <w:rsid w:val="653D52B2"/>
    <w:rsid w:val="653F19D0"/>
    <w:rsid w:val="653F4261"/>
    <w:rsid w:val="6545060B"/>
    <w:rsid w:val="6545683A"/>
    <w:rsid w:val="65491EA9"/>
    <w:rsid w:val="654E5711"/>
    <w:rsid w:val="65524346"/>
    <w:rsid w:val="655B7E2E"/>
    <w:rsid w:val="655D5954"/>
    <w:rsid w:val="655E6EE4"/>
    <w:rsid w:val="65600494"/>
    <w:rsid w:val="65652A5B"/>
    <w:rsid w:val="65675C6E"/>
    <w:rsid w:val="6569582C"/>
    <w:rsid w:val="65750EF0"/>
    <w:rsid w:val="65766A16"/>
    <w:rsid w:val="657F0565"/>
    <w:rsid w:val="65847385"/>
    <w:rsid w:val="6589499B"/>
    <w:rsid w:val="658A426F"/>
    <w:rsid w:val="658E6328"/>
    <w:rsid w:val="65913850"/>
    <w:rsid w:val="6592787A"/>
    <w:rsid w:val="659642BC"/>
    <w:rsid w:val="65A96DEB"/>
    <w:rsid w:val="65AA7F0D"/>
    <w:rsid w:val="65AC2ADC"/>
    <w:rsid w:val="65B01F28"/>
    <w:rsid w:val="65B2547C"/>
    <w:rsid w:val="65B266FE"/>
    <w:rsid w:val="65B574C0"/>
    <w:rsid w:val="65B80DDC"/>
    <w:rsid w:val="65BC08CD"/>
    <w:rsid w:val="65BC6B1F"/>
    <w:rsid w:val="65BD2836"/>
    <w:rsid w:val="65C14BBC"/>
    <w:rsid w:val="65C459D3"/>
    <w:rsid w:val="65C77271"/>
    <w:rsid w:val="65CC211B"/>
    <w:rsid w:val="65CC6636"/>
    <w:rsid w:val="65CD2ADA"/>
    <w:rsid w:val="65D5198E"/>
    <w:rsid w:val="65D774B5"/>
    <w:rsid w:val="65DC0F6F"/>
    <w:rsid w:val="65DC2D1D"/>
    <w:rsid w:val="65DE684E"/>
    <w:rsid w:val="65DF5450"/>
    <w:rsid w:val="65E47FE5"/>
    <w:rsid w:val="65F00576"/>
    <w:rsid w:val="65FA13F5"/>
    <w:rsid w:val="660109D5"/>
    <w:rsid w:val="6603588E"/>
    <w:rsid w:val="6604531C"/>
    <w:rsid w:val="660B3602"/>
    <w:rsid w:val="66172DB0"/>
    <w:rsid w:val="661B3B4A"/>
    <w:rsid w:val="662723A4"/>
    <w:rsid w:val="66280ED6"/>
    <w:rsid w:val="6628789A"/>
    <w:rsid w:val="662B0582"/>
    <w:rsid w:val="662C6BF1"/>
    <w:rsid w:val="663366B5"/>
    <w:rsid w:val="6635067F"/>
    <w:rsid w:val="66456B14"/>
    <w:rsid w:val="664851D1"/>
    <w:rsid w:val="66507267"/>
    <w:rsid w:val="6655523D"/>
    <w:rsid w:val="666B22F3"/>
    <w:rsid w:val="666F593F"/>
    <w:rsid w:val="66700141"/>
    <w:rsid w:val="6672364C"/>
    <w:rsid w:val="667473F9"/>
    <w:rsid w:val="66761C7D"/>
    <w:rsid w:val="66794A10"/>
    <w:rsid w:val="668718AC"/>
    <w:rsid w:val="668D04BB"/>
    <w:rsid w:val="669058B5"/>
    <w:rsid w:val="669453A6"/>
    <w:rsid w:val="669929BC"/>
    <w:rsid w:val="66A03D4A"/>
    <w:rsid w:val="66AA2E1B"/>
    <w:rsid w:val="66AC783F"/>
    <w:rsid w:val="66AD290B"/>
    <w:rsid w:val="66B43C9A"/>
    <w:rsid w:val="66BB5028"/>
    <w:rsid w:val="66BD1969"/>
    <w:rsid w:val="66BE5B84"/>
    <w:rsid w:val="66C90863"/>
    <w:rsid w:val="66C947F9"/>
    <w:rsid w:val="66CE47A0"/>
    <w:rsid w:val="66D35BE1"/>
    <w:rsid w:val="66DC1BAE"/>
    <w:rsid w:val="66E300DB"/>
    <w:rsid w:val="66E3351B"/>
    <w:rsid w:val="66E75E1D"/>
    <w:rsid w:val="66F75934"/>
    <w:rsid w:val="670342D9"/>
    <w:rsid w:val="670646DE"/>
    <w:rsid w:val="67095D94"/>
    <w:rsid w:val="67112E9A"/>
    <w:rsid w:val="671309C0"/>
    <w:rsid w:val="671B5AC7"/>
    <w:rsid w:val="671B7875"/>
    <w:rsid w:val="671C049D"/>
    <w:rsid w:val="671F55B7"/>
    <w:rsid w:val="67336D2D"/>
    <w:rsid w:val="67351F2C"/>
    <w:rsid w:val="67380715"/>
    <w:rsid w:val="673A09E8"/>
    <w:rsid w:val="673D2CB7"/>
    <w:rsid w:val="673D3C8F"/>
    <w:rsid w:val="67403A84"/>
    <w:rsid w:val="67430B73"/>
    <w:rsid w:val="67434155"/>
    <w:rsid w:val="67486190"/>
    <w:rsid w:val="674A015A"/>
    <w:rsid w:val="674C5C80"/>
    <w:rsid w:val="67513297"/>
    <w:rsid w:val="6753700F"/>
    <w:rsid w:val="675B27E4"/>
    <w:rsid w:val="675E59B4"/>
    <w:rsid w:val="675F76DF"/>
    <w:rsid w:val="67674868"/>
    <w:rsid w:val="6769250E"/>
    <w:rsid w:val="676F196F"/>
    <w:rsid w:val="67705236"/>
    <w:rsid w:val="6773145F"/>
    <w:rsid w:val="67784CC7"/>
    <w:rsid w:val="677B47B7"/>
    <w:rsid w:val="677D408C"/>
    <w:rsid w:val="677F6056"/>
    <w:rsid w:val="6787315C"/>
    <w:rsid w:val="67892A30"/>
    <w:rsid w:val="678A67A9"/>
    <w:rsid w:val="679118E5"/>
    <w:rsid w:val="67945332"/>
    <w:rsid w:val="67966EFB"/>
    <w:rsid w:val="679B09B6"/>
    <w:rsid w:val="679B334F"/>
    <w:rsid w:val="67AB6E4B"/>
    <w:rsid w:val="67AC2BC3"/>
    <w:rsid w:val="67AC4971"/>
    <w:rsid w:val="67B37AAD"/>
    <w:rsid w:val="67B51A77"/>
    <w:rsid w:val="67B6759E"/>
    <w:rsid w:val="67C27CF0"/>
    <w:rsid w:val="67C47F0C"/>
    <w:rsid w:val="67C73559"/>
    <w:rsid w:val="67CA5017"/>
    <w:rsid w:val="67DF42D7"/>
    <w:rsid w:val="67E17915"/>
    <w:rsid w:val="67E97973"/>
    <w:rsid w:val="67EB36EB"/>
    <w:rsid w:val="67F32B5E"/>
    <w:rsid w:val="67F87BB6"/>
    <w:rsid w:val="67FC2E96"/>
    <w:rsid w:val="67FD51CC"/>
    <w:rsid w:val="67FF0F45"/>
    <w:rsid w:val="68071723"/>
    <w:rsid w:val="680B5B3B"/>
    <w:rsid w:val="68112A26"/>
    <w:rsid w:val="68142C42"/>
    <w:rsid w:val="6817628E"/>
    <w:rsid w:val="681D761D"/>
    <w:rsid w:val="68264723"/>
    <w:rsid w:val="682816DB"/>
    <w:rsid w:val="68297D70"/>
    <w:rsid w:val="682D2446"/>
    <w:rsid w:val="68307BE6"/>
    <w:rsid w:val="68330BEE"/>
    <w:rsid w:val="68420E31"/>
    <w:rsid w:val="68466B73"/>
    <w:rsid w:val="6855451E"/>
    <w:rsid w:val="68570D81"/>
    <w:rsid w:val="686B482C"/>
    <w:rsid w:val="687339C1"/>
    <w:rsid w:val="6874548F"/>
    <w:rsid w:val="68761A0D"/>
    <w:rsid w:val="687731D1"/>
    <w:rsid w:val="688356D2"/>
    <w:rsid w:val="6884144A"/>
    <w:rsid w:val="688431F8"/>
    <w:rsid w:val="688A2E98"/>
    <w:rsid w:val="6897117D"/>
    <w:rsid w:val="689C49E5"/>
    <w:rsid w:val="68A324B8"/>
    <w:rsid w:val="68A35D74"/>
    <w:rsid w:val="68A37B22"/>
    <w:rsid w:val="68A76C8B"/>
    <w:rsid w:val="68AB31C8"/>
    <w:rsid w:val="68B57855"/>
    <w:rsid w:val="68BB30BE"/>
    <w:rsid w:val="68BC67E4"/>
    <w:rsid w:val="68BE0BFC"/>
    <w:rsid w:val="68BE7D5D"/>
    <w:rsid w:val="68C77CB4"/>
    <w:rsid w:val="68D67EF7"/>
    <w:rsid w:val="68DB3760"/>
    <w:rsid w:val="68E1064A"/>
    <w:rsid w:val="68E5013A"/>
    <w:rsid w:val="68EC771B"/>
    <w:rsid w:val="68ED3493"/>
    <w:rsid w:val="68F4037D"/>
    <w:rsid w:val="68FF4E51"/>
    <w:rsid w:val="69081541"/>
    <w:rsid w:val="6908207B"/>
    <w:rsid w:val="690F3409"/>
    <w:rsid w:val="691300EE"/>
    <w:rsid w:val="69180510"/>
    <w:rsid w:val="691E53FA"/>
    <w:rsid w:val="692A3D9F"/>
    <w:rsid w:val="692E7D33"/>
    <w:rsid w:val="692F25A0"/>
    <w:rsid w:val="692F585A"/>
    <w:rsid w:val="693B7D5A"/>
    <w:rsid w:val="69401815"/>
    <w:rsid w:val="69407A67"/>
    <w:rsid w:val="69470DF5"/>
    <w:rsid w:val="694A61EF"/>
    <w:rsid w:val="694C640B"/>
    <w:rsid w:val="694F6515"/>
    <w:rsid w:val="695452C0"/>
    <w:rsid w:val="69561038"/>
    <w:rsid w:val="695C3D4C"/>
    <w:rsid w:val="696278F8"/>
    <w:rsid w:val="69674FF3"/>
    <w:rsid w:val="696B5066"/>
    <w:rsid w:val="6974195C"/>
    <w:rsid w:val="69747710"/>
    <w:rsid w:val="69750D65"/>
    <w:rsid w:val="69780FAF"/>
    <w:rsid w:val="69781B4C"/>
    <w:rsid w:val="698536CB"/>
    <w:rsid w:val="698711F2"/>
    <w:rsid w:val="698A6F34"/>
    <w:rsid w:val="698E432E"/>
    <w:rsid w:val="699102C2"/>
    <w:rsid w:val="699658D9"/>
    <w:rsid w:val="699723BA"/>
    <w:rsid w:val="699B4C9D"/>
    <w:rsid w:val="699B6A4B"/>
    <w:rsid w:val="699D116B"/>
    <w:rsid w:val="699F5212"/>
    <w:rsid w:val="69AA3132"/>
    <w:rsid w:val="69AA4EE0"/>
    <w:rsid w:val="69AE063C"/>
    <w:rsid w:val="69B01856"/>
    <w:rsid w:val="69B33D95"/>
    <w:rsid w:val="69B74954"/>
    <w:rsid w:val="69C04704"/>
    <w:rsid w:val="69C77840"/>
    <w:rsid w:val="69C9180A"/>
    <w:rsid w:val="69CC30A8"/>
    <w:rsid w:val="69D02B99"/>
    <w:rsid w:val="69D72179"/>
    <w:rsid w:val="69DD2C01"/>
    <w:rsid w:val="69E1611D"/>
    <w:rsid w:val="69E219E8"/>
    <w:rsid w:val="69E403F2"/>
    <w:rsid w:val="69E464FF"/>
    <w:rsid w:val="69EA352F"/>
    <w:rsid w:val="69EC374B"/>
    <w:rsid w:val="69F10D61"/>
    <w:rsid w:val="69F34AD9"/>
    <w:rsid w:val="69F543AD"/>
    <w:rsid w:val="69F66377"/>
    <w:rsid w:val="69FC398E"/>
    <w:rsid w:val="69FE0CAC"/>
    <w:rsid w:val="6A003904"/>
    <w:rsid w:val="6A0C16F7"/>
    <w:rsid w:val="6A154A4F"/>
    <w:rsid w:val="6A1707C7"/>
    <w:rsid w:val="6A1F58CE"/>
    <w:rsid w:val="6A2336AA"/>
    <w:rsid w:val="6A274783"/>
    <w:rsid w:val="6A290BB0"/>
    <w:rsid w:val="6A2E78BF"/>
    <w:rsid w:val="6A310DC4"/>
    <w:rsid w:val="6A36338D"/>
    <w:rsid w:val="6A3C022E"/>
    <w:rsid w:val="6A4175F2"/>
    <w:rsid w:val="6A425119"/>
    <w:rsid w:val="6A4415E9"/>
    <w:rsid w:val="6A45564A"/>
    <w:rsid w:val="6A470981"/>
    <w:rsid w:val="6A4B221F"/>
    <w:rsid w:val="6A4E3ABD"/>
    <w:rsid w:val="6A507835"/>
    <w:rsid w:val="6A5512F0"/>
    <w:rsid w:val="6A594CE9"/>
    <w:rsid w:val="6A5A4B58"/>
    <w:rsid w:val="6A5F5CCB"/>
    <w:rsid w:val="6A61001F"/>
    <w:rsid w:val="6A682DD1"/>
    <w:rsid w:val="6A6B3979"/>
    <w:rsid w:val="6A6B3E58"/>
    <w:rsid w:val="6A6E4160"/>
    <w:rsid w:val="6A830FEC"/>
    <w:rsid w:val="6A835E5D"/>
    <w:rsid w:val="6A8A71EB"/>
    <w:rsid w:val="6A8E65B0"/>
    <w:rsid w:val="6A957467"/>
    <w:rsid w:val="6A995680"/>
    <w:rsid w:val="6A9A0A7D"/>
    <w:rsid w:val="6A9B2E65"/>
    <w:rsid w:val="6A9F256B"/>
    <w:rsid w:val="6AA06A0F"/>
    <w:rsid w:val="6AA162E3"/>
    <w:rsid w:val="6AA3205B"/>
    <w:rsid w:val="6AA33E09"/>
    <w:rsid w:val="6AA70E28"/>
    <w:rsid w:val="6AB44268"/>
    <w:rsid w:val="6AB9362D"/>
    <w:rsid w:val="6ABA37A5"/>
    <w:rsid w:val="6ABF491E"/>
    <w:rsid w:val="6AC10733"/>
    <w:rsid w:val="6AC65D4A"/>
    <w:rsid w:val="6AD32F4D"/>
    <w:rsid w:val="6ADB7CDE"/>
    <w:rsid w:val="6ADE3093"/>
    <w:rsid w:val="6AE30540"/>
    <w:rsid w:val="6AE34B4E"/>
    <w:rsid w:val="6AE53247"/>
    <w:rsid w:val="6AE61F48"/>
    <w:rsid w:val="6AEB57B0"/>
    <w:rsid w:val="6AF64881"/>
    <w:rsid w:val="6AF72426"/>
    <w:rsid w:val="6AFC79BD"/>
    <w:rsid w:val="6B03425A"/>
    <w:rsid w:val="6B0367D0"/>
    <w:rsid w:val="6B122F68"/>
    <w:rsid w:val="6B144D07"/>
    <w:rsid w:val="6B146AB5"/>
    <w:rsid w:val="6B1F3509"/>
    <w:rsid w:val="6B2018FE"/>
    <w:rsid w:val="6B253391"/>
    <w:rsid w:val="6B272C8C"/>
    <w:rsid w:val="6B376C47"/>
    <w:rsid w:val="6B3B6738"/>
    <w:rsid w:val="6B431148"/>
    <w:rsid w:val="6B43383E"/>
    <w:rsid w:val="6B43739A"/>
    <w:rsid w:val="6B476E8A"/>
    <w:rsid w:val="6B482C03"/>
    <w:rsid w:val="6B54424D"/>
    <w:rsid w:val="6B5A17A3"/>
    <w:rsid w:val="6B5B0B88"/>
    <w:rsid w:val="6B5D72DD"/>
    <w:rsid w:val="6B610780"/>
    <w:rsid w:val="6B637A3C"/>
    <w:rsid w:val="6B6537B4"/>
    <w:rsid w:val="6B6A2B79"/>
    <w:rsid w:val="6B7800FD"/>
    <w:rsid w:val="6B7D28AC"/>
    <w:rsid w:val="6B7E03D2"/>
    <w:rsid w:val="6B824366"/>
    <w:rsid w:val="6B827EC3"/>
    <w:rsid w:val="6B8F25DF"/>
    <w:rsid w:val="6B8F5FFD"/>
    <w:rsid w:val="6B9428CC"/>
    <w:rsid w:val="6B945E48"/>
    <w:rsid w:val="6B96396E"/>
    <w:rsid w:val="6B967230"/>
    <w:rsid w:val="6B99345E"/>
    <w:rsid w:val="6B9A16B0"/>
    <w:rsid w:val="6B9A3FAC"/>
    <w:rsid w:val="6B9E0A74"/>
    <w:rsid w:val="6BA270DA"/>
    <w:rsid w:val="6BA44383"/>
    <w:rsid w:val="6BAF4A30"/>
    <w:rsid w:val="6BBA3B00"/>
    <w:rsid w:val="6BBD714D"/>
    <w:rsid w:val="6BC60322"/>
    <w:rsid w:val="6BC83EFB"/>
    <w:rsid w:val="6BCF210F"/>
    <w:rsid w:val="6BD02241"/>
    <w:rsid w:val="6BDB5825"/>
    <w:rsid w:val="6BEA5A68"/>
    <w:rsid w:val="6BEB43F3"/>
    <w:rsid w:val="6BFA214F"/>
    <w:rsid w:val="6BFF1513"/>
    <w:rsid w:val="6BFF59B7"/>
    <w:rsid w:val="6C0279BB"/>
    <w:rsid w:val="6C07486C"/>
    <w:rsid w:val="6C111246"/>
    <w:rsid w:val="6C154F17"/>
    <w:rsid w:val="6C16685D"/>
    <w:rsid w:val="6C1825D5"/>
    <w:rsid w:val="6C186A79"/>
    <w:rsid w:val="6C1D5E3D"/>
    <w:rsid w:val="6C335661"/>
    <w:rsid w:val="6C3513D9"/>
    <w:rsid w:val="6C382C77"/>
    <w:rsid w:val="6C3A079D"/>
    <w:rsid w:val="6C3A254B"/>
    <w:rsid w:val="6C3E2242"/>
    <w:rsid w:val="6C411B2C"/>
    <w:rsid w:val="6C47110C"/>
    <w:rsid w:val="6C4B29AA"/>
    <w:rsid w:val="6C4B4758"/>
    <w:rsid w:val="6C4D263F"/>
    <w:rsid w:val="6C506213"/>
    <w:rsid w:val="6C5347AA"/>
    <w:rsid w:val="6C543A21"/>
    <w:rsid w:val="6C586E75"/>
    <w:rsid w:val="6C5A499B"/>
    <w:rsid w:val="6C5B60E0"/>
    <w:rsid w:val="6C5D01ED"/>
    <w:rsid w:val="6C5D2C8A"/>
    <w:rsid w:val="6C733CAF"/>
    <w:rsid w:val="6C7A78C6"/>
    <w:rsid w:val="6C8163CC"/>
    <w:rsid w:val="6C841A18"/>
    <w:rsid w:val="6C895281"/>
    <w:rsid w:val="6C997B2F"/>
    <w:rsid w:val="6CA34594"/>
    <w:rsid w:val="6CB542C8"/>
    <w:rsid w:val="6CB57E24"/>
    <w:rsid w:val="6CB94F80"/>
    <w:rsid w:val="6CBB0C3F"/>
    <w:rsid w:val="6CBC7404"/>
    <w:rsid w:val="6CC116EF"/>
    <w:rsid w:val="6CC14A1B"/>
    <w:rsid w:val="6CC85DA9"/>
    <w:rsid w:val="6CCB5899"/>
    <w:rsid w:val="6CCF5389"/>
    <w:rsid w:val="6CD24E7A"/>
    <w:rsid w:val="6CD36713"/>
    <w:rsid w:val="6CE32BE3"/>
    <w:rsid w:val="6CE349E0"/>
    <w:rsid w:val="6CE55E74"/>
    <w:rsid w:val="6CEF77DA"/>
    <w:rsid w:val="6CF05300"/>
    <w:rsid w:val="6CF92413"/>
    <w:rsid w:val="6CFA1CDB"/>
    <w:rsid w:val="6CFA617E"/>
    <w:rsid w:val="6CFC5A53"/>
    <w:rsid w:val="6D0D4104"/>
    <w:rsid w:val="6D0D5EB2"/>
    <w:rsid w:val="6D0E5786"/>
    <w:rsid w:val="6D140FEE"/>
    <w:rsid w:val="6D177AD5"/>
    <w:rsid w:val="6D1D4308"/>
    <w:rsid w:val="6D1D4911"/>
    <w:rsid w:val="6D1F7993"/>
    <w:rsid w:val="6D205BE5"/>
    <w:rsid w:val="6D21195D"/>
    <w:rsid w:val="6D241539"/>
    <w:rsid w:val="6D282CEC"/>
    <w:rsid w:val="6D283D50"/>
    <w:rsid w:val="6D2854BA"/>
    <w:rsid w:val="6D2B6338"/>
    <w:rsid w:val="6D3451EC"/>
    <w:rsid w:val="6D366A87"/>
    <w:rsid w:val="6D374CDD"/>
    <w:rsid w:val="6D392803"/>
    <w:rsid w:val="6D3E42BD"/>
    <w:rsid w:val="6D452BB7"/>
    <w:rsid w:val="6D505D9E"/>
    <w:rsid w:val="6D53301E"/>
    <w:rsid w:val="6D561607"/>
    <w:rsid w:val="6D5E670D"/>
    <w:rsid w:val="6D66534A"/>
    <w:rsid w:val="6D6B4986"/>
    <w:rsid w:val="6D720EE9"/>
    <w:rsid w:val="6D747CDF"/>
    <w:rsid w:val="6D7952F5"/>
    <w:rsid w:val="6D7E58D8"/>
    <w:rsid w:val="6D855C11"/>
    <w:rsid w:val="6D9220F4"/>
    <w:rsid w:val="6D9B23AC"/>
    <w:rsid w:val="6D9D7236"/>
    <w:rsid w:val="6DB0234E"/>
    <w:rsid w:val="6DB1683D"/>
    <w:rsid w:val="6DB41F36"/>
    <w:rsid w:val="6DC36570"/>
    <w:rsid w:val="6DD35B5F"/>
    <w:rsid w:val="6DD4077E"/>
    <w:rsid w:val="6DD62E63"/>
    <w:rsid w:val="6DDA1E4B"/>
    <w:rsid w:val="6DDB1B0C"/>
    <w:rsid w:val="6DE94229"/>
    <w:rsid w:val="6DED0C6F"/>
    <w:rsid w:val="6DF7274A"/>
    <w:rsid w:val="6DFE2645"/>
    <w:rsid w:val="6E0476F6"/>
    <w:rsid w:val="6E071C62"/>
    <w:rsid w:val="6E076DA5"/>
    <w:rsid w:val="6E0A5F70"/>
    <w:rsid w:val="6E105C5A"/>
    <w:rsid w:val="6E1119D2"/>
    <w:rsid w:val="6E176BAC"/>
    <w:rsid w:val="6E1D3ED3"/>
    <w:rsid w:val="6E201C15"/>
    <w:rsid w:val="6E22773B"/>
    <w:rsid w:val="6E2434B3"/>
    <w:rsid w:val="6E2711F5"/>
    <w:rsid w:val="6E2C05BA"/>
    <w:rsid w:val="6E2C22B2"/>
    <w:rsid w:val="6E2E60E0"/>
    <w:rsid w:val="6E4476B1"/>
    <w:rsid w:val="6E493F8C"/>
    <w:rsid w:val="6E4D6A7E"/>
    <w:rsid w:val="6E4E5192"/>
    <w:rsid w:val="6E587601"/>
    <w:rsid w:val="6E5D4B6C"/>
    <w:rsid w:val="6E5D4C17"/>
    <w:rsid w:val="6E5F44EB"/>
    <w:rsid w:val="6E625D89"/>
    <w:rsid w:val="6E647D53"/>
    <w:rsid w:val="6E6C4E5A"/>
    <w:rsid w:val="6E6D76E9"/>
    <w:rsid w:val="6E6F4DDD"/>
    <w:rsid w:val="6E700B4D"/>
    <w:rsid w:val="6E740BD2"/>
    <w:rsid w:val="6E755ABD"/>
    <w:rsid w:val="6E832D19"/>
    <w:rsid w:val="6E8403F6"/>
    <w:rsid w:val="6E8E3022"/>
    <w:rsid w:val="6E8E6B7E"/>
    <w:rsid w:val="6E9323E7"/>
    <w:rsid w:val="6E9543B1"/>
    <w:rsid w:val="6E957F0D"/>
    <w:rsid w:val="6E963C85"/>
    <w:rsid w:val="6E9F6FDD"/>
    <w:rsid w:val="6EA039EE"/>
    <w:rsid w:val="6EA330EB"/>
    <w:rsid w:val="6EA840E4"/>
    <w:rsid w:val="6EAA3D90"/>
    <w:rsid w:val="6EAF31BB"/>
    <w:rsid w:val="6EC6456A"/>
    <w:rsid w:val="6EC802E2"/>
    <w:rsid w:val="6EC95E08"/>
    <w:rsid w:val="6ECA28F1"/>
    <w:rsid w:val="6ECA57CB"/>
    <w:rsid w:val="6ED50C51"/>
    <w:rsid w:val="6ED8604B"/>
    <w:rsid w:val="6EE40E94"/>
    <w:rsid w:val="6EE42C42"/>
    <w:rsid w:val="6EE53863"/>
    <w:rsid w:val="6EEE586F"/>
    <w:rsid w:val="6EEF1D88"/>
    <w:rsid w:val="6EF154D3"/>
    <w:rsid w:val="6EF415C9"/>
    <w:rsid w:val="6EF6287F"/>
    <w:rsid w:val="6EFD5AB2"/>
    <w:rsid w:val="6EFE75E5"/>
    <w:rsid w:val="6F0B4673"/>
    <w:rsid w:val="6F120CE7"/>
    <w:rsid w:val="6F173018"/>
    <w:rsid w:val="6F196D90"/>
    <w:rsid w:val="6F255735"/>
    <w:rsid w:val="6F26325B"/>
    <w:rsid w:val="6F2B0871"/>
    <w:rsid w:val="6F2B7282"/>
    <w:rsid w:val="6F301FF6"/>
    <w:rsid w:val="6F3F460F"/>
    <w:rsid w:val="6F411E43"/>
    <w:rsid w:val="6F423F06"/>
    <w:rsid w:val="6F4940A8"/>
    <w:rsid w:val="6F4B023D"/>
    <w:rsid w:val="6F505B38"/>
    <w:rsid w:val="6F547DC8"/>
    <w:rsid w:val="6F5B1156"/>
    <w:rsid w:val="6F5E47A3"/>
    <w:rsid w:val="6F5E47AE"/>
    <w:rsid w:val="6F6124E5"/>
    <w:rsid w:val="6F653D83"/>
    <w:rsid w:val="6F6A3147"/>
    <w:rsid w:val="6F6D21EC"/>
    <w:rsid w:val="6F7246F2"/>
    <w:rsid w:val="6F727FDC"/>
    <w:rsid w:val="6F7B5355"/>
    <w:rsid w:val="6F7C2F7F"/>
    <w:rsid w:val="6F8166E3"/>
    <w:rsid w:val="6F8545BB"/>
    <w:rsid w:val="6F9F024F"/>
    <w:rsid w:val="6FA978DF"/>
    <w:rsid w:val="6FAA3E8C"/>
    <w:rsid w:val="6FAF14A2"/>
    <w:rsid w:val="6FB42615"/>
    <w:rsid w:val="6FB767E8"/>
    <w:rsid w:val="6FBB39A3"/>
    <w:rsid w:val="6FC52A74"/>
    <w:rsid w:val="6FCA1E38"/>
    <w:rsid w:val="6FD607DD"/>
    <w:rsid w:val="6FE63CCB"/>
    <w:rsid w:val="6FE729EA"/>
    <w:rsid w:val="6FE74B3D"/>
    <w:rsid w:val="6FE80510"/>
    <w:rsid w:val="6FEC0000"/>
    <w:rsid w:val="6FEF7AF1"/>
    <w:rsid w:val="6FF45107"/>
    <w:rsid w:val="6FF46EB5"/>
    <w:rsid w:val="6FF62C2D"/>
    <w:rsid w:val="6FF72402"/>
    <w:rsid w:val="6FF9096F"/>
    <w:rsid w:val="70041D30"/>
    <w:rsid w:val="70057314"/>
    <w:rsid w:val="7009508A"/>
    <w:rsid w:val="700E441B"/>
    <w:rsid w:val="700E4B1F"/>
    <w:rsid w:val="700F7AA1"/>
    <w:rsid w:val="701025DA"/>
    <w:rsid w:val="701051AB"/>
    <w:rsid w:val="7018393D"/>
    <w:rsid w:val="7018538F"/>
    <w:rsid w:val="701D465E"/>
    <w:rsid w:val="701E512F"/>
    <w:rsid w:val="701F03D6"/>
    <w:rsid w:val="70213056"/>
    <w:rsid w:val="70227EC6"/>
    <w:rsid w:val="70313CD0"/>
    <w:rsid w:val="70384FF4"/>
    <w:rsid w:val="70390D6C"/>
    <w:rsid w:val="70393D95"/>
    <w:rsid w:val="70495453"/>
    <w:rsid w:val="70497892"/>
    <w:rsid w:val="704E0CBB"/>
    <w:rsid w:val="704F058F"/>
    <w:rsid w:val="704F233D"/>
    <w:rsid w:val="70523676"/>
    <w:rsid w:val="7053007F"/>
    <w:rsid w:val="706202C3"/>
    <w:rsid w:val="70654352"/>
    <w:rsid w:val="706C7393"/>
    <w:rsid w:val="70785D38"/>
    <w:rsid w:val="707A560C"/>
    <w:rsid w:val="707B2A29"/>
    <w:rsid w:val="707D6EAA"/>
    <w:rsid w:val="708434E9"/>
    <w:rsid w:val="70860455"/>
    <w:rsid w:val="70871AD7"/>
    <w:rsid w:val="708E10B8"/>
    <w:rsid w:val="708E2E66"/>
    <w:rsid w:val="70903082"/>
    <w:rsid w:val="70910BA8"/>
    <w:rsid w:val="709B05DA"/>
    <w:rsid w:val="70A00D30"/>
    <w:rsid w:val="70A1703D"/>
    <w:rsid w:val="70B12FF8"/>
    <w:rsid w:val="70B2124A"/>
    <w:rsid w:val="70B70453"/>
    <w:rsid w:val="70B825D8"/>
    <w:rsid w:val="70B94304"/>
    <w:rsid w:val="70BB79D3"/>
    <w:rsid w:val="70BD199D"/>
    <w:rsid w:val="70C268FE"/>
    <w:rsid w:val="70C525FF"/>
    <w:rsid w:val="70C90C21"/>
    <w:rsid w:val="70CC2581"/>
    <w:rsid w:val="70D017F7"/>
    <w:rsid w:val="70D171F6"/>
    <w:rsid w:val="70D20BDD"/>
    <w:rsid w:val="70D36317"/>
    <w:rsid w:val="70D50A94"/>
    <w:rsid w:val="70D72A5F"/>
    <w:rsid w:val="70DC62C7"/>
    <w:rsid w:val="70E707C8"/>
    <w:rsid w:val="70E930EE"/>
    <w:rsid w:val="70F15536"/>
    <w:rsid w:val="70F27898"/>
    <w:rsid w:val="71093230"/>
    <w:rsid w:val="710B0D39"/>
    <w:rsid w:val="710E21F8"/>
    <w:rsid w:val="71121CE9"/>
    <w:rsid w:val="71193077"/>
    <w:rsid w:val="711B08FA"/>
    <w:rsid w:val="7120264E"/>
    <w:rsid w:val="71233EF6"/>
    <w:rsid w:val="712940E5"/>
    <w:rsid w:val="712F47EA"/>
    <w:rsid w:val="712F4EC1"/>
    <w:rsid w:val="71305C7A"/>
    <w:rsid w:val="713954C7"/>
    <w:rsid w:val="713C0B14"/>
    <w:rsid w:val="713F0604"/>
    <w:rsid w:val="714125CE"/>
    <w:rsid w:val="714516D2"/>
    <w:rsid w:val="714874B8"/>
    <w:rsid w:val="715220E5"/>
    <w:rsid w:val="715B3C16"/>
    <w:rsid w:val="715E64B8"/>
    <w:rsid w:val="715E6876"/>
    <w:rsid w:val="716F0EE9"/>
    <w:rsid w:val="717209D9"/>
    <w:rsid w:val="71762326"/>
    <w:rsid w:val="71775FF0"/>
    <w:rsid w:val="717C3606"/>
    <w:rsid w:val="718B55F7"/>
    <w:rsid w:val="71910B94"/>
    <w:rsid w:val="71927521"/>
    <w:rsid w:val="71970440"/>
    <w:rsid w:val="719E17CE"/>
    <w:rsid w:val="71A1306D"/>
    <w:rsid w:val="71A55DCD"/>
    <w:rsid w:val="71AA0173"/>
    <w:rsid w:val="71AC3EEB"/>
    <w:rsid w:val="71AC5951"/>
    <w:rsid w:val="71B33DA4"/>
    <w:rsid w:val="71B66B18"/>
    <w:rsid w:val="71B72890"/>
    <w:rsid w:val="71BC1C54"/>
    <w:rsid w:val="71BC7EA6"/>
    <w:rsid w:val="71C232C4"/>
    <w:rsid w:val="71C254BD"/>
    <w:rsid w:val="71C32FE3"/>
    <w:rsid w:val="71C8684B"/>
    <w:rsid w:val="71D62179"/>
    <w:rsid w:val="71D76A8E"/>
    <w:rsid w:val="71D84CE0"/>
    <w:rsid w:val="71DA3080"/>
    <w:rsid w:val="71E73B20"/>
    <w:rsid w:val="71ED1E0E"/>
    <w:rsid w:val="71EF3DD8"/>
    <w:rsid w:val="71F05487"/>
    <w:rsid w:val="71F475E4"/>
    <w:rsid w:val="71F66F14"/>
    <w:rsid w:val="71F87130"/>
    <w:rsid w:val="71FD75EA"/>
    <w:rsid w:val="72005FE5"/>
    <w:rsid w:val="72035AD5"/>
    <w:rsid w:val="720553A9"/>
    <w:rsid w:val="72077373"/>
    <w:rsid w:val="72121874"/>
    <w:rsid w:val="72133F6A"/>
    <w:rsid w:val="72135D18"/>
    <w:rsid w:val="72161365"/>
    <w:rsid w:val="721970A7"/>
    <w:rsid w:val="721B16A0"/>
    <w:rsid w:val="721D4433"/>
    <w:rsid w:val="722213E2"/>
    <w:rsid w:val="722241AD"/>
    <w:rsid w:val="72225F5B"/>
    <w:rsid w:val="72233A82"/>
    <w:rsid w:val="72273572"/>
    <w:rsid w:val="722A6598"/>
    <w:rsid w:val="722F68B9"/>
    <w:rsid w:val="723143F0"/>
    <w:rsid w:val="72331F17"/>
    <w:rsid w:val="72353200"/>
    <w:rsid w:val="72386F23"/>
    <w:rsid w:val="723914F7"/>
    <w:rsid w:val="72395053"/>
    <w:rsid w:val="723B701D"/>
    <w:rsid w:val="723E2669"/>
    <w:rsid w:val="723E7568"/>
    <w:rsid w:val="723F12AE"/>
    <w:rsid w:val="724177ED"/>
    <w:rsid w:val="72472D75"/>
    <w:rsid w:val="7258197D"/>
    <w:rsid w:val="725A253A"/>
    <w:rsid w:val="725B1E56"/>
    <w:rsid w:val="725D6F93"/>
    <w:rsid w:val="72655E48"/>
    <w:rsid w:val="72671BC0"/>
    <w:rsid w:val="7269212E"/>
    <w:rsid w:val="727367B7"/>
    <w:rsid w:val="7275252F"/>
    <w:rsid w:val="727644F9"/>
    <w:rsid w:val="72766AE8"/>
    <w:rsid w:val="727D3192"/>
    <w:rsid w:val="727F5809"/>
    <w:rsid w:val="7285544E"/>
    <w:rsid w:val="72872262"/>
    <w:rsid w:val="728C6641"/>
    <w:rsid w:val="7294672D"/>
    <w:rsid w:val="7298446F"/>
    <w:rsid w:val="729B5D0E"/>
    <w:rsid w:val="729E0259"/>
    <w:rsid w:val="72A5093A"/>
    <w:rsid w:val="72A746B3"/>
    <w:rsid w:val="72A9042B"/>
    <w:rsid w:val="72AA7CFF"/>
    <w:rsid w:val="72AE2B61"/>
    <w:rsid w:val="72AF08D5"/>
    <w:rsid w:val="72B26FA0"/>
    <w:rsid w:val="72B8066E"/>
    <w:rsid w:val="72BF7C4E"/>
    <w:rsid w:val="72C76B03"/>
    <w:rsid w:val="72D62BD5"/>
    <w:rsid w:val="72D823D5"/>
    <w:rsid w:val="72DA6836"/>
    <w:rsid w:val="72E041B6"/>
    <w:rsid w:val="72E41463"/>
    <w:rsid w:val="72E70F53"/>
    <w:rsid w:val="72EE22E1"/>
    <w:rsid w:val="72F83160"/>
    <w:rsid w:val="72F84F0E"/>
    <w:rsid w:val="72FC2EFD"/>
    <w:rsid w:val="730833A3"/>
    <w:rsid w:val="730B69EF"/>
    <w:rsid w:val="730C2ECF"/>
    <w:rsid w:val="73155AC0"/>
    <w:rsid w:val="73261A7B"/>
    <w:rsid w:val="732949CF"/>
    <w:rsid w:val="732950C8"/>
    <w:rsid w:val="732B52E4"/>
    <w:rsid w:val="732C6966"/>
    <w:rsid w:val="733221CE"/>
    <w:rsid w:val="73357F10"/>
    <w:rsid w:val="733F0D8F"/>
    <w:rsid w:val="7342564E"/>
    <w:rsid w:val="73465C7A"/>
    <w:rsid w:val="734B14E2"/>
    <w:rsid w:val="7352461E"/>
    <w:rsid w:val="73556451"/>
    <w:rsid w:val="73585ACE"/>
    <w:rsid w:val="735A1887"/>
    <w:rsid w:val="73634DF7"/>
    <w:rsid w:val="73747D8F"/>
    <w:rsid w:val="73774085"/>
    <w:rsid w:val="73845435"/>
    <w:rsid w:val="73944C37"/>
    <w:rsid w:val="73974727"/>
    <w:rsid w:val="739B4217"/>
    <w:rsid w:val="73A62BBC"/>
    <w:rsid w:val="73AA26AC"/>
    <w:rsid w:val="73AE4DAC"/>
    <w:rsid w:val="73B13A3B"/>
    <w:rsid w:val="73B2074D"/>
    <w:rsid w:val="73B250BD"/>
    <w:rsid w:val="73B426A9"/>
    <w:rsid w:val="73BE7F06"/>
    <w:rsid w:val="73C11ECD"/>
    <w:rsid w:val="73C905E8"/>
    <w:rsid w:val="73CD1EF7"/>
    <w:rsid w:val="73CE2E42"/>
    <w:rsid w:val="73D47729"/>
    <w:rsid w:val="73D634A1"/>
    <w:rsid w:val="73DD4830"/>
    <w:rsid w:val="73E060CE"/>
    <w:rsid w:val="73E13BF4"/>
    <w:rsid w:val="73E3796C"/>
    <w:rsid w:val="73E84F83"/>
    <w:rsid w:val="73EA0CFB"/>
    <w:rsid w:val="73F2195D"/>
    <w:rsid w:val="73F27BAF"/>
    <w:rsid w:val="73FB4CB6"/>
    <w:rsid w:val="73FE6BD4"/>
    <w:rsid w:val="74051691"/>
    <w:rsid w:val="74072A13"/>
    <w:rsid w:val="74114085"/>
    <w:rsid w:val="74123DAE"/>
    <w:rsid w:val="74145D78"/>
    <w:rsid w:val="741C4C2C"/>
    <w:rsid w:val="741D7FA1"/>
    <w:rsid w:val="741E09A4"/>
    <w:rsid w:val="7423649A"/>
    <w:rsid w:val="74266358"/>
    <w:rsid w:val="742A559B"/>
    <w:rsid w:val="742C30C1"/>
    <w:rsid w:val="742C42E4"/>
    <w:rsid w:val="74393A30"/>
    <w:rsid w:val="743A5421"/>
    <w:rsid w:val="74424693"/>
    <w:rsid w:val="744B1485"/>
    <w:rsid w:val="744F5002"/>
    <w:rsid w:val="745A3D0B"/>
    <w:rsid w:val="745B5755"/>
    <w:rsid w:val="745E5245"/>
    <w:rsid w:val="74600FBD"/>
    <w:rsid w:val="74692D9A"/>
    <w:rsid w:val="746A3BEA"/>
    <w:rsid w:val="746D05CC"/>
    <w:rsid w:val="746E36DA"/>
    <w:rsid w:val="7472484C"/>
    <w:rsid w:val="747D23FB"/>
    <w:rsid w:val="748007EC"/>
    <w:rsid w:val="74827185"/>
    <w:rsid w:val="74830E88"/>
    <w:rsid w:val="74842B8B"/>
    <w:rsid w:val="748922C2"/>
    <w:rsid w:val="748C0004"/>
    <w:rsid w:val="748D1686"/>
    <w:rsid w:val="748F53FE"/>
    <w:rsid w:val="74902AC7"/>
    <w:rsid w:val="7491298B"/>
    <w:rsid w:val="749173C8"/>
    <w:rsid w:val="74934EEE"/>
    <w:rsid w:val="74940C67"/>
    <w:rsid w:val="74956EB9"/>
    <w:rsid w:val="7499002B"/>
    <w:rsid w:val="74A56FEC"/>
    <w:rsid w:val="74A67FA2"/>
    <w:rsid w:val="74B17A6A"/>
    <w:rsid w:val="74B67BB8"/>
    <w:rsid w:val="74BA691F"/>
    <w:rsid w:val="74BF0599"/>
    <w:rsid w:val="74CA3F6B"/>
    <w:rsid w:val="74CB453C"/>
    <w:rsid w:val="74CE0851"/>
    <w:rsid w:val="74CF1C9F"/>
    <w:rsid w:val="74D86DA5"/>
    <w:rsid w:val="74DC4AE7"/>
    <w:rsid w:val="74DC6CFD"/>
    <w:rsid w:val="74DF1EA2"/>
    <w:rsid w:val="74E120FE"/>
    <w:rsid w:val="74E90FB2"/>
    <w:rsid w:val="74EC45FF"/>
    <w:rsid w:val="74EC52E3"/>
    <w:rsid w:val="74EE7BBC"/>
    <w:rsid w:val="74F6547D"/>
    <w:rsid w:val="74FF2584"/>
    <w:rsid w:val="750000AA"/>
    <w:rsid w:val="750C7987"/>
    <w:rsid w:val="750E6239"/>
    <w:rsid w:val="751224A6"/>
    <w:rsid w:val="75183646"/>
    <w:rsid w:val="751C1388"/>
    <w:rsid w:val="751D0C5C"/>
    <w:rsid w:val="751F49D4"/>
    <w:rsid w:val="753164B5"/>
    <w:rsid w:val="75322959"/>
    <w:rsid w:val="75327179"/>
    <w:rsid w:val="753A35BC"/>
    <w:rsid w:val="753E02ED"/>
    <w:rsid w:val="7544268D"/>
    <w:rsid w:val="754B3A1B"/>
    <w:rsid w:val="754B57C9"/>
    <w:rsid w:val="754D1541"/>
    <w:rsid w:val="754D3A1B"/>
    <w:rsid w:val="754D7793"/>
    <w:rsid w:val="754E7067"/>
    <w:rsid w:val="75500A7A"/>
    <w:rsid w:val="75533AA2"/>
    <w:rsid w:val="75564CDF"/>
    <w:rsid w:val="755C4019"/>
    <w:rsid w:val="755C79D6"/>
    <w:rsid w:val="755F3023"/>
    <w:rsid w:val="75656DAA"/>
    <w:rsid w:val="75666069"/>
    <w:rsid w:val="75671ED7"/>
    <w:rsid w:val="75680129"/>
    <w:rsid w:val="75693EA1"/>
    <w:rsid w:val="756D1BE3"/>
    <w:rsid w:val="756E770A"/>
    <w:rsid w:val="757A4300"/>
    <w:rsid w:val="757F5473"/>
    <w:rsid w:val="75834F63"/>
    <w:rsid w:val="75884B36"/>
    <w:rsid w:val="758B3E18"/>
    <w:rsid w:val="759260CD"/>
    <w:rsid w:val="759654B8"/>
    <w:rsid w:val="759929D8"/>
    <w:rsid w:val="759A22AD"/>
    <w:rsid w:val="759E643F"/>
    <w:rsid w:val="75A60C51"/>
    <w:rsid w:val="75AA3119"/>
    <w:rsid w:val="75AB44BA"/>
    <w:rsid w:val="75AE7B06"/>
    <w:rsid w:val="75B07D22"/>
    <w:rsid w:val="75B275F6"/>
    <w:rsid w:val="75B55338"/>
    <w:rsid w:val="75BA64AB"/>
    <w:rsid w:val="75BE5F9B"/>
    <w:rsid w:val="75D27C98"/>
    <w:rsid w:val="75DC4056"/>
    <w:rsid w:val="75E73D34"/>
    <w:rsid w:val="75E74BF8"/>
    <w:rsid w:val="75ED4AD2"/>
    <w:rsid w:val="75EE4BD3"/>
    <w:rsid w:val="75F05AFA"/>
    <w:rsid w:val="75F06371"/>
    <w:rsid w:val="75F220E9"/>
    <w:rsid w:val="75F53987"/>
    <w:rsid w:val="75F75951"/>
    <w:rsid w:val="75F776FF"/>
    <w:rsid w:val="75FE198A"/>
    <w:rsid w:val="75FF3AD1"/>
    <w:rsid w:val="760342F6"/>
    <w:rsid w:val="760F744C"/>
    <w:rsid w:val="7611709E"/>
    <w:rsid w:val="7614205F"/>
    <w:rsid w:val="76157B85"/>
    <w:rsid w:val="761A519B"/>
    <w:rsid w:val="761E4ABF"/>
    <w:rsid w:val="76200A04"/>
    <w:rsid w:val="762027B2"/>
    <w:rsid w:val="7625426C"/>
    <w:rsid w:val="762C4F8D"/>
    <w:rsid w:val="763146EA"/>
    <w:rsid w:val="76414336"/>
    <w:rsid w:val="76432269"/>
    <w:rsid w:val="764A782F"/>
    <w:rsid w:val="764B158B"/>
    <w:rsid w:val="76500BBD"/>
    <w:rsid w:val="765B7C8E"/>
    <w:rsid w:val="76613250"/>
    <w:rsid w:val="766823AB"/>
    <w:rsid w:val="766905FD"/>
    <w:rsid w:val="766F54E7"/>
    <w:rsid w:val="76780840"/>
    <w:rsid w:val="767B1E55"/>
    <w:rsid w:val="767D7C04"/>
    <w:rsid w:val="768369FF"/>
    <w:rsid w:val="768B22C3"/>
    <w:rsid w:val="768C42EB"/>
    <w:rsid w:val="769211D6"/>
    <w:rsid w:val="76966F18"/>
    <w:rsid w:val="76967512"/>
    <w:rsid w:val="76A333E3"/>
    <w:rsid w:val="76AA651F"/>
    <w:rsid w:val="76AC2297"/>
    <w:rsid w:val="76AE2039"/>
    <w:rsid w:val="76B178AE"/>
    <w:rsid w:val="76B64EC4"/>
    <w:rsid w:val="76B850E0"/>
    <w:rsid w:val="76BB28DB"/>
    <w:rsid w:val="76BE0F8E"/>
    <w:rsid w:val="76C27D0D"/>
    <w:rsid w:val="76C56949"/>
    <w:rsid w:val="76DE441B"/>
    <w:rsid w:val="76E25CB9"/>
    <w:rsid w:val="76E47C83"/>
    <w:rsid w:val="76E97048"/>
    <w:rsid w:val="76F36118"/>
    <w:rsid w:val="76FD0D45"/>
    <w:rsid w:val="7706409E"/>
    <w:rsid w:val="770E2F52"/>
    <w:rsid w:val="771D3195"/>
    <w:rsid w:val="771D4F43"/>
    <w:rsid w:val="771F6F0D"/>
    <w:rsid w:val="772C162A"/>
    <w:rsid w:val="772C33D8"/>
    <w:rsid w:val="77311B44"/>
    <w:rsid w:val="7731279D"/>
    <w:rsid w:val="77332AA0"/>
    <w:rsid w:val="773C7ABF"/>
    <w:rsid w:val="77440722"/>
    <w:rsid w:val="7746449A"/>
    <w:rsid w:val="774921DC"/>
    <w:rsid w:val="774B6D57"/>
    <w:rsid w:val="774B7D02"/>
    <w:rsid w:val="774E334F"/>
    <w:rsid w:val="774E77F3"/>
    <w:rsid w:val="7750356B"/>
    <w:rsid w:val="77530965"/>
    <w:rsid w:val="77534E09"/>
    <w:rsid w:val="77585F7B"/>
    <w:rsid w:val="775A6197"/>
    <w:rsid w:val="77674410"/>
    <w:rsid w:val="776843DA"/>
    <w:rsid w:val="776C586E"/>
    <w:rsid w:val="776E39F1"/>
    <w:rsid w:val="776F42E7"/>
    <w:rsid w:val="7772528F"/>
    <w:rsid w:val="77737259"/>
    <w:rsid w:val="77770AF7"/>
    <w:rsid w:val="777728A5"/>
    <w:rsid w:val="77784870"/>
    <w:rsid w:val="777C7EBC"/>
    <w:rsid w:val="77822FF8"/>
    <w:rsid w:val="77862AE9"/>
    <w:rsid w:val="77903967"/>
    <w:rsid w:val="77935205"/>
    <w:rsid w:val="77962542"/>
    <w:rsid w:val="779A6594"/>
    <w:rsid w:val="779D6084"/>
    <w:rsid w:val="77A318EC"/>
    <w:rsid w:val="77A412B0"/>
    <w:rsid w:val="77B21B30"/>
    <w:rsid w:val="77B533CE"/>
    <w:rsid w:val="77B8776B"/>
    <w:rsid w:val="77BF249E"/>
    <w:rsid w:val="77C1298F"/>
    <w:rsid w:val="77CD1357"/>
    <w:rsid w:val="77CD6969"/>
    <w:rsid w:val="77CE7524"/>
    <w:rsid w:val="77CF26E1"/>
    <w:rsid w:val="77D17A87"/>
    <w:rsid w:val="77D31AA6"/>
    <w:rsid w:val="77D777E8"/>
    <w:rsid w:val="77D870BC"/>
    <w:rsid w:val="77ED0DBA"/>
    <w:rsid w:val="77F65375"/>
    <w:rsid w:val="7803238B"/>
    <w:rsid w:val="78047EB1"/>
    <w:rsid w:val="78061E7B"/>
    <w:rsid w:val="780659D7"/>
    <w:rsid w:val="78151CD1"/>
    <w:rsid w:val="781520BE"/>
    <w:rsid w:val="78177BE5"/>
    <w:rsid w:val="781C51FB"/>
    <w:rsid w:val="781E0018"/>
    <w:rsid w:val="781E2FBA"/>
    <w:rsid w:val="78283BA0"/>
    <w:rsid w:val="782D11B6"/>
    <w:rsid w:val="78340796"/>
    <w:rsid w:val="78395DAD"/>
    <w:rsid w:val="7839784B"/>
    <w:rsid w:val="7840538D"/>
    <w:rsid w:val="78414C61"/>
    <w:rsid w:val="78434E7D"/>
    <w:rsid w:val="78463590"/>
    <w:rsid w:val="784D3606"/>
    <w:rsid w:val="784F3822"/>
    <w:rsid w:val="785030F6"/>
    <w:rsid w:val="78540E39"/>
    <w:rsid w:val="78554225"/>
    <w:rsid w:val="785D684A"/>
    <w:rsid w:val="7863107C"/>
    <w:rsid w:val="786372CE"/>
    <w:rsid w:val="787349EF"/>
    <w:rsid w:val="78745037"/>
    <w:rsid w:val="78746DE5"/>
    <w:rsid w:val="787E151D"/>
    <w:rsid w:val="787E7E0D"/>
    <w:rsid w:val="78807E39"/>
    <w:rsid w:val="78827754"/>
    <w:rsid w:val="78873930"/>
    <w:rsid w:val="788A485A"/>
    <w:rsid w:val="788C05D2"/>
    <w:rsid w:val="788F1E71"/>
    <w:rsid w:val="789021A1"/>
    <w:rsid w:val="78994A9D"/>
    <w:rsid w:val="789B0816"/>
    <w:rsid w:val="78A07BDA"/>
    <w:rsid w:val="78A14715"/>
    <w:rsid w:val="78A477E3"/>
    <w:rsid w:val="78A734CC"/>
    <w:rsid w:val="78A7540C"/>
    <w:rsid w:val="78AA2807"/>
    <w:rsid w:val="78AB7B6D"/>
    <w:rsid w:val="78AD22F7"/>
    <w:rsid w:val="78B10039"/>
    <w:rsid w:val="78B47B29"/>
    <w:rsid w:val="78B673FD"/>
    <w:rsid w:val="78BC253A"/>
    <w:rsid w:val="78C7785D"/>
    <w:rsid w:val="78DD2BDC"/>
    <w:rsid w:val="78E92E12"/>
    <w:rsid w:val="78EF0B61"/>
    <w:rsid w:val="78FB3062"/>
    <w:rsid w:val="78FC1C7D"/>
    <w:rsid w:val="78FC6786"/>
    <w:rsid w:val="78FD502C"/>
    <w:rsid w:val="78FF0F43"/>
    <w:rsid w:val="79053EE1"/>
    <w:rsid w:val="7908577F"/>
    <w:rsid w:val="79091C23"/>
    <w:rsid w:val="790E0FE8"/>
    <w:rsid w:val="790F6B0E"/>
    <w:rsid w:val="79226841"/>
    <w:rsid w:val="792702FB"/>
    <w:rsid w:val="792A3948"/>
    <w:rsid w:val="792C76C0"/>
    <w:rsid w:val="792D18AB"/>
    <w:rsid w:val="793622EC"/>
    <w:rsid w:val="793B5B55"/>
    <w:rsid w:val="793D41C6"/>
    <w:rsid w:val="793F7A76"/>
    <w:rsid w:val="794013BD"/>
    <w:rsid w:val="79437415"/>
    <w:rsid w:val="7947274B"/>
    <w:rsid w:val="794964C4"/>
    <w:rsid w:val="794A3E22"/>
    <w:rsid w:val="794B3FEA"/>
    <w:rsid w:val="79621333"/>
    <w:rsid w:val="796926C2"/>
    <w:rsid w:val="796B468F"/>
    <w:rsid w:val="796E1A86"/>
    <w:rsid w:val="79817A0B"/>
    <w:rsid w:val="79825532"/>
    <w:rsid w:val="79863274"/>
    <w:rsid w:val="798B2638"/>
    <w:rsid w:val="798E037A"/>
    <w:rsid w:val="798E3ED6"/>
    <w:rsid w:val="79927E6B"/>
    <w:rsid w:val="79992BCF"/>
    <w:rsid w:val="799A09A9"/>
    <w:rsid w:val="799A0ACD"/>
    <w:rsid w:val="799E680F"/>
    <w:rsid w:val="79A11E5C"/>
    <w:rsid w:val="79A2473D"/>
    <w:rsid w:val="79AE6327"/>
    <w:rsid w:val="79B24069"/>
    <w:rsid w:val="79B37DE1"/>
    <w:rsid w:val="79B778D1"/>
    <w:rsid w:val="79B853F7"/>
    <w:rsid w:val="79C142AC"/>
    <w:rsid w:val="79C1605A"/>
    <w:rsid w:val="79CA518D"/>
    <w:rsid w:val="79D12015"/>
    <w:rsid w:val="79E85CDC"/>
    <w:rsid w:val="79E955B1"/>
    <w:rsid w:val="79ED4B6B"/>
    <w:rsid w:val="79EF201E"/>
    <w:rsid w:val="79F92431"/>
    <w:rsid w:val="79FA106A"/>
    <w:rsid w:val="7A046E78"/>
    <w:rsid w:val="7A060F1E"/>
    <w:rsid w:val="7A1C7734"/>
    <w:rsid w:val="7A1C7BE9"/>
    <w:rsid w:val="7A2860D9"/>
    <w:rsid w:val="7A3031E0"/>
    <w:rsid w:val="7A304F8E"/>
    <w:rsid w:val="7A3E76AA"/>
    <w:rsid w:val="7A3F3423"/>
    <w:rsid w:val="7A4D5B40"/>
    <w:rsid w:val="7A5377EA"/>
    <w:rsid w:val="7A552C46"/>
    <w:rsid w:val="7A5670C2"/>
    <w:rsid w:val="7A57076C"/>
    <w:rsid w:val="7A5926DA"/>
    <w:rsid w:val="7A5A025C"/>
    <w:rsid w:val="7A5C72A7"/>
    <w:rsid w:val="7A633CF1"/>
    <w:rsid w:val="7A690FFE"/>
    <w:rsid w:val="7A6A04A0"/>
    <w:rsid w:val="7A7031E0"/>
    <w:rsid w:val="7A7948AA"/>
    <w:rsid w:val="7A7C6425"/>
    <w:rsid w:val="7A813A3B"/>
    <w:rsid w:val="7A815FE3"/>
    <w:rsid w:val="7A8B6960"/>
    <w:rsid w:val="7A8D66EA"/>
    <w:rsid w:val="7A925C48"/>
    <w:rsid w:val="7A950625"/>
    <w:rsid w:val="7A990D85"/>
    <w:rsid w:val="7A9F7EE5"/>
    <w:rsid w:val="7AA37E55"/>
    <w:rsid w:val="7AA8721A"/>
    <w:rsid w:val="7AAA5FA3"/>
    <w:rsid w:val="7AAF1560"/>
    <w:rsid w:val="7AB32BE0"/>
    <w:rsid w:val="7AB83901"/>
    <w:rsid w:val="7AB94028"/>
    <w:rsid w:val="7ABE2599"/>
    <w:rsid w:val="7AC56C31"/>
    <w:rsid w:val="7ACA53E2"/>
    <w:rsid w:val="7ACC115A"/>
    <w:rsid w:val="7ACD1E40"/>
    <w:rsid w:val="7ACE4ED2"/>
    <w:rsid w:val="7AD27B3B"/>
    <w:rsid w:val="7AD307F4"/>
    <w:rsid w:val="7AD87AFF"/>
    <w:rsid w:val="7AD93877"/>
    <w:rsid w:val="7ADC7B9B"/>
    <w:rsid w:val="7ADE0E8D"/>
    <w:rsid w:val="7AE2097E"/>
    <w:rsid w:val="7AE5221C"/>
    <w:rsid w:val="7AE82F61"/>
    <w:rsid w:val="7AEC5358"/>
    <w:rsid w:val="7AF1626C"/>
    <w:rsid w:val="7AF81F4F"/>
    <w:rsid w:val="7B000E04"/>
    <w:rsid w:val="7B0326A2"/>
    <w:rsid w:val="7B05221A"/>
    <w:rsid w:val="7B0A1C83"/>
    <w:rsid w:val="7B0F7299"/>
    <w:rsid w:val="7B136D89"/>
    <w:rsid w:val="7B152B01"/>
    <w:rsid w:val="7B172452"/>
    <w:rsid w:val="7B1813CA"/>
    <w:rsid w:val="7B21235B"/>
    <w:rsid w:val="7B2F16E9"/>
    <w:rsid w:val="7B2F5245"/>
    <w:rsid w:val="7B323B25"/>
    <w:rsid w:val="7B3A2CDF"/>
    <w:rsid w:val="7B3D3E06"/>
    <w:rsid w:val="7B42141C"/>
    <w:rsid w:val="7B4464CB"/>
    <w:rsid w:val="7B454B2B"/>
    <w:rsid w:val="7B4554D0"/>
    <w:rsid w:val="7B455BC8"/>
    <w:rsid w:val="7B4A02D1"/>
    <w:rsid w:val="7B4F58E7"/>
    <w:rsid w:val="7B4F6A66"/>
    <w:rsid w:val="7B5250FA"/>
    <w:rsid w:val="7B5573A2"/>
    <w:rsid w:val="7B59284D"/>
    <w:rsid w:val="7B5A49B8"/>
    <w:rsid w:val="7B5B603A"/>
    <w:rsid w:val="7B5F1FCE"/>
    <w:rsid w:val="7B62561B"/>
    <w:rsid w:val="7B656EB9"/>
    <w:rsid w:val="7B66335D"/>
    <w:rsid w:val="7B67277C"/>
    <w:rsid w:val="7B6A2721"/>
    <w:rsid w:val="7B6E3FBF"/>
    <w:rsid w:val="7B752AC1"/>
    <w:rsid w:val="7B771C06"/>
    <w:rsid w:val="7B7833CA"/>
    <w:rsid w:val="7B7C6624"/>
    <w:rsid w:val="7B7D06A6"/>
    <w:rsid w:val="7B8B5655"/>
    <w:rsid w:val="7B9A6B62"/>
    <w:rsid w:val="7B9D6653"/>
    <w:rsid w:val="7BA113EE"/>
    <w:rsid w:val="7BA43B28"/>
    <w:rsid w:val="7BAC4AE8"/>
    <w:rsid w:val="7BB0282A"/>
    <w:rsid w:val="7BB73BB8"/>
    <w:rsid w:val="7BB826BA"/>
    <w:rsid w:val="7BBC11CF"/>
    <w:rsid w:val="7BC843E7"/>
    <w:rsid w:val="7BD04C7A"/>
    <w:rsid w:val="7BD52290"/>
    <w:rsid w:val="7BD83B2F"/>
    <w:rsid w:val="7BD87FD6"/>
    <w:rsid w:val="7BDA3403"/>
    <w:rsid w:val="7BDC53CD"/>
    <w:rsid w:val="7BE73D72"/>
    <w:rsid w:val="7BE81FC4"/>
    <w:rsid w:val="7BF541E2"/>
    <w:rsid w:val="7BFC3B8D"/>
    <w:rsid w:val="7BFF0AD5"/>
    <w:rsid w:val="7C013085"/>
    <w:rsid w:val="7C025578"/>
    <w:rsid w:val="7C0641F8"/>
    <w:rsid w:val="7C08668B"/>
    <w:rsid w:val="7C0879AA"/>
    <w:rsid w:val="7C0B6494"/>
    <w:rsid w:val="7C0E1761"/>
    <w:rsid w:val="7C120DEF"/>
    <w:rsid w:val="7C16681D"/>
    <w:rsid w:val="7C174418"/>
    <w:rsid w:val="7C174657"/>
    <w:rsid w:val="7C2730B8"/>
    <w:rsid w:val="7C2D79D7"/>
    <w:rsid w:val="7C2E19A1"/>
    <w:rsid w:val="7C345209"/>
    <w:rsid w:val="7C3E7E36"/>
    <w:rsid w:val="7C3F6DDE"/>
    <w:rsid w:val="7C43369E"/>
    <w:rsid w:val="7C442F72"/>
    <w:rsid w:val="7C482A62"/>
    <w:rsid w:val="7C4A1CE5"/>
    <w:rsid w:val="7C4E11E5"/>
    <w:rsid w:val="7C4F5F41"/>
    <w:rsid w:val="7C574A54"/>
    <w:rsid w:val="7C5A2796"/>
    <w:rsid w:val="7C5E2286"/>
    <w:rsid w:val="7C5F1B5A"/>
    <w:rsid w:val="7C6453C2"/>
    <w:rsid w:val="7C647378"/>
    <w:rsid w:val="7C684EB3"/>
    <w:rsid w:val="7C6B49A3"/>
    <w:rsid w:val="7C6D24C9"/>
    <w:rsid w:val="7C706666"/>
    <w:rsid w:val="7C7750F6"/>
    <w:rsid w:val="7C7F3FAA"/>
    <w:rsid w:val="7C8B294F"/>
    <w:rsid w:val="7C8F0BC0"/>
    <w:rsid w:val="7C9022C9"/>
    <w:rsid w:val="7C95557C"/>
    <w:rsid w:val="7C98391B"/>
    <w:rsid w:val="7C9C690A"/>
    <w:rsid w:val="7C9E08D4"/>
    <w:rsid w:val="7C9E2682"/>
    <w:rsid w:val="7CAF28C1"/>
    <w:rsid w:val="7CB00608"/>
    <w:rsid w:val="7CB77BE8"/>
    <w:rsid w:val="7CB93023"/>
    <w:rsid w:val="7CC3033B"/>
    <w:rsid w:val="7CCD11BA"/>
    <w:rsid w:val="7CCD4D16"/>
    <w:rsid w:val="7CCF4F32"/>
    <w:rsid w:val="7CD267D0"/>
    <w:rsid w:val="7CDB38D7"/>
    <w:rsid w:val="7CDC31AB"/>
    <w:rsid w:val="7CE21998"/>
    <w:rsid w:val="7CE331FC"/>
    <w:rsid w:val="7CE64029"/>
    <w:rsid w:val="7CEA1D6C"/>
    <w:rsid w:val="7CED360A"/>
    <w:rsid w:val="7CED61C1"/>
    <w:rsid w:val="7CED7166"/>
    <w:rsid w:val="7CEF2EDE"/>
    <w:rsid w:val="7CF84488"/>
    <w:rsid w:val="7CF93D5D"/>
    <w:rsid w:val="7CFB5D27"/>
    <w:rsid w:val="7CFC1270"/>
    <w:rsid w:val="7D0050EB"/>
    <w:rsid w:val="7D007775"/>
    <w:rsid w:val="7D0270B5"/>
    <w:rsid w:val="7D0D15B6"/>
    <w:rsid w:val="7D100FEF"/>
    <w:rsid w:val="7D10117E"/>
    <w:rsid w:val="7D197F5B"/>
    <w:rsid w:val="7D2E5A5B"/>
    <w:rsid w:val="7D32101D"/>
    <w:rsid w:val="7D364FB1"/>
    <w:rsid w:val="7D3A2409"/>
    <w:rsid w:val="7D3E3E65"/>
    <w:rsid w:val="7D441CBC"/>
    <w:rsid w:val="7D453FFD"/>
    <w:rsid w:val="7D4623A8"/>
    <w:rsid w:val="7D496A0D"/>
    <w:rsid w:val="7D4C550D"/>
    <w:rsid w:val="7D511DEB"/>
    <w:rsid w:val="7D5471E5"/>
    <w:rsid w:val="7D5477BD"/>
    <w:rsid w:val="7D5611AF"/>
    <w:rsid w:val="7D586CD5"/>
    <w:rsid w:val="7D6513F2"/>
    <w:rsid w:val="7D661446"/>
    <w:rsid w:val="7D6E10E2"/>
    <w:rsid w:val="7D755AD9"/>
    <w:rsid w:val="7D796C4C"/>
    <w:rsid w:val="7D7B0C16"/>
    <w:rsid w:val="7D7D673C"/>
    <w:rsid w:val="7D8201F6"/>
    <w:rsid w:val="7D821FA4"/>
    <w:rsid w:val="7D842AE0"/>
    <w:rsid w:val="7D876359"/>
    <w:rsid w:val="7D891584"/>
    <w:rsid w:val="7D8950E1"/>
    <w:rsid w:val="7D937D0D"/>
    <w:rsid w:val="7D9817C8"/>
    <w:rsid w:val="7D9A72EE"/>
    <w:rsid w:val="7DA0242A"/>
    <w:rsid w:val="7DA55C93"/>
    <w:rsid w:val="7DA64255"/>
    <w:rsid w:val="7DB06B11"/>
    <w:rsid w:val="7DB163E5"/>
    <w:rsid w:val="7DB3215D"/>
    <w:rsid w:val="7DB44FF6"/>
    <w:rsid w:val="7DB859C6"/>
    <w:rsid w:val="7DBC3708"/>
    <w:rsid w:val="7DBF4FA6"/>
    <w:rsid w:val="7DC12ACC"/>
    <w:rsid w:val="7DC223A1"/>
    <w:rsid w:val="7DC4436B"/>
    <w:rsid w:val="7DC97BD3"/>
    <w:rsid w:val="7DD02D0F"/>
    <w:rsid w:val="7DD722F0"/>
    <w:rsid w:val="7DE40569"/>
    <w:rsid w:val="7DE467BB"/>
    <w:rsid w:val="7DE95B7F"/>
    <w:rsid w:val="7DF34C50"/>
    <w:rsid w:val="7DF37B69"/>
    <w:rsid w:val="7DF52776"/>
    <w:rsid w:val="7DF764EE"/>
    <w:rsid w:val="7DF86912"/>
    <w:rsid w:val="7DFA7D8C"/>
    <w:rsid w:val="7DFC3B04"/>
    <w:rsid w:val="7DFD10C4"/>
    <w:rsid w:val="7E09024E"/>
    <w:rsid w:val="7E0E1A8A"/>
    <w:rsid w:val="7E0E6A8C"/>
    <w:rsid w:val="7E1A21DD"/>
    <w:rsid w:val="7E1E0B58"/>
    <w:rsid w:val="7E2B263C"/>
    <w:rsid w:val="7E310B05"/>
    <w:rsid w:val="7E357016"/>
    <w:rsid w:val="7E424159"/>
    <w:rsid w:val="7E434DF3"/>
    <w:rsid w:val="7E4436FD"/>
    <w:rsid w:val="7E447259"/>
    <w:rsid w:val="7E494870"/>
    <w:rsid w:val="7E4D25B2"/>
    <w:rsid w:val="7E5751DF"/>
    <w:rsid w:val="7E5F5E41"/>
    <w:rsid w:val="7E6D67B0"/>
    <w:rsid w:val="7E7044F2"/>
    <w:rsid w:val="7E725B75"/>
    <w:rsid w:val="7E8B3CD3"/>
    <w:rsid w:val="7E8D08E2"/>
    <w:rsid w:val="7E950CE7"/>
    <w:rsid w:val="7E9E4BBC"/>
    <w:rsid w:val="7EA40CFA"/>
    <w:rsid w:val="7EA90D5A"/>
    <w:rsid w:val="7EAB552B"/>
    <w:rsid w:val="7EAD3051"/>
    <w:rsid w:val="7EB048EF"/>
    <w:rsid w:val="7EB21FDA"/>
    <w:rsid w:val="7EB45671"/>
    <w:rsid w:val="7EB663A9"/>
    <w:rsid w:val="7EBE0DBA"/>
    <w:rsid w:val="7EC078D4"/>
    <w:rsid w:val="7EC62364"/>
    <w:rsid w:val="7EC87E8B"/>
    <w:rsid w:val="7ECA3C03"/>
    <w:rsid w:val="7ECD36F3"/>
    <w:rsid w:val="7ED14F91"/>
    <w:rsid w:val="7ED607F9"/>
    <w:rsid w:val="7ED76320"/>
    <w:rsid w:val="7EDC1B88"/>
    <w:rsid w:val="7EE06F82"/>
    <w:rsid w:val="7EE97F4C"/>
    <w:rsid w:val="7EF2057B"/>
    <w:rsid w:val="7EF42A2E"/>
    <w:rsid w:val="7EF64A04"/>
    <w:rsid w:val="7EFB0260"/>
    <w:rsid w:val="7F0030A6"/>
    <w:rsid w:val="7F005876"/>
    <w:rsid w:val="7F0215EE"/>
    <w:rsid w:val="7F054C3B"/>
    <w:rsid w:val="7F080AB1"/>
    <w:rsid w:val="7F0B7D77"/>
    <w:rsid w:val="7F0F06E7"/>
    <w:rsid w:val="7F1D01D6"/>
    <w:rsid w:val="7F211349"/>
    <w:rsid w:val="7F2E23E3"/>
    <w:rsid w:val="7F3177DE"/>
    <w:rsid w:val="7F392B36"/>
    <w:rsid w:val="7F3948E4"/>
    <w:rsid w:val="7F3B065C"/>
    <w:rsid w:val="7F4339B5"/>
    <w:rsid w:val="7F477001"/>
    <w:rsid w:val="7F4F4108"/>
    <w:rsid w:val="7F511C2E"/>
    <w:rsid w:val="7F533BF8"/>
    <w:rsid w:val="7F54182C"/>
    <w:rsid w:val="7F544E27"/>
    <w:rsid w:val="7F565496"/>
    <w:rsid w:val="7F596D35"/>
    <w:rsid w:val="7F5B485B"/>
    <w:rsid w:val="7F5D4923"/>
    <w:rsid w:val="7F625BE9"/>
    <w:rsid w:val="7F651B7D"/>
    <w:rsid w:val="7F68347E"/>
    <w:rsid w:val="7F6C4CBA"/>
    <w:rsid w:val="7F765B38"/>
    <w:rsid w:val="7F7968F7"/>
    <w:rsid w:val="7F7B4EFD"/>
    <w:rsid w:val="7F7E49ED"/>
    <w:rsid w:val="7F7F5E47"/>
    <w:rsid w:val="7F800765"/>
    <w:rsid w:val="7F8042C1"/>
    <w:rsid w:val="7F8518D8"/>
    <w:rsid w:val="7F855D7C"/>
    <w:rsid w:val="7F871AF4"/>
    <w:rsid w:val="7F8C710A"/>
    <w:rsid w:val="7F961D37"/>
    <w:rsid w:val="7F983D01"/>
    <w:rsid w:val="7F991773"/>
    <w:rsid w:val="7FAF4BA7"/>
    <w:rsid w:val="7FB1091F"/>
    <w:rsid w:val="7FBA042D"/>
    <w:rsid w:val="7FC56EAA"/>
    <w:rsid w:val="7FEA0D19"/>
    <w:rsid w:val="7FEB2083"/>
    <w:rsid w:val="7FEC7BA9"/>
    <w:rsid w:val="7FF52F01"/>
    <w:rsid w:val="7FF627D5"/>
    <w:rsid w:val="7FF76C79"/>
    <w:rsid w:val="7FF81E76"/>
    <w:rsid w:val="7FFB603E"/>
    <w:rsid w:val="7FFD3B64"/>
    <w:rsid w:val="7FFE2C2E"/>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6" w:lineRule="auto"/>
      <w:jc w:val="center"/>
      <w:outlineLvl w:val="1"/>
    </w:pPr>
    <w:rPr>
      <w:rFonts w:ascii="Arial" w:hAnsi="Arial" w:eastAsia="幼圆"/>
      <w:b/>
      <w:bCs/>
      <w:kern w:val="0"/>
      <w:sz w:val="44"/>
      <w:szCs w:val="44"/>
    </w:rPr>
  </w:style>
  <w:style w:type="paragraph" w:styleId="4">
    <w:name w:val="heading 3"/>
    <w:basedOn w:val="1"/>
    <w:next w:val="1"/>
    <w:qFormat/>
    <w:uiPriority w:val="9"/>
    <w:pPr>
      <w:keepNext/>
      <w:keepLines/>
      <w:spacing w:before="260" w:after="260" w:line="416" w:lineRule="auto"/>
      <w:outlineLvl w:val="2"/>
    </w:pPr>
    <w:rPr>
      <w:b/>
      <w:kern w:val="0"/>
      <w:sz w:val="32"/>
      <w:szCs w:val="20"/>
    </w:rPr>
  </w:style>
  <w:style w:type="paragraph" w:styleId="5">
    <w:name w:val="heading 4"/>
    <w:basedOn w:val="1"/>
    <w:next w:val="1"/>
    <w:qFormat/>
    <w:uiPriority w:val="9"/>
    <w:pPr>
      <w:spacing w:beforeLines="150" w:afterLines="150"/>
      <w:outlineLvl w:val="3"/>
    </w:pPr>
    <w:rPr>
      <w:rFonts w:ascii="宋体" w:hAnsi="宋体"/>
      <w:color w:val="000000"/>
      <w:sz w:val="24"/>
      <w:szCs w:val="28"/>
      <w:u w:val="single"/>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next w:val="1"/>
    <w:link w:val="50"/>
    <w:qFormat/>
    <w:uiPriority w:val="0"/>
    <w:pPr>
      <w:ind w:firstLine="420"/>
    </w:pPr>
    <w:rPr>
      <w:kern w:val="0"/>
      <w:sz w:val="20"/>
      <w:szCs w:val="21"/>
    </w:rPr>
  </w:style>
  <w:style w:type="paragraph" w:styleId="8">
    <w:name w:val="Document Map"/>
    <w:basedOn w:val="1"/>
    <w:link w:val="51"/>
    <w:unhideWhenUsed/>
    <w:qFormat/>
    <w:uiPriority w:val="99"/>
    <w:rPr>
      <w:rFonts w:ascii="宋体"/>
      <w:sz w:val="18"/>
      <w:szCs w:val="18"/>
    </w:rPr>
  </w:style>
  <w:style w:type="paragraph" w:styleId="9">
    <w:name w:val="annotation text"/>
    <w:basedOn w:val="1"/>
    <w:link w:val="52"/>
    <w:unhideWhenUsed/>
    <w:qFormat/>
    <w:uiPriority w:val="99"/>
    <w:pPr>
      <w:jc w:val="left"/>
    </w:pPr>
  </w:style>
  <w:style w:type="paragraph" w:styleId="10">
    <w:name w:val="Body Text"/>
    <w:basedOn w:val="1"/>
    <w:next w:val="11"/>
    <w:unhideWhenUsed/>
    <w:qFormat/>
    <w:uiPriority w:val="99"/>
    <w:rPr>
      <w:rFonts w:ascii="楷体_GB2312" w:hAnsi="Arial" w:eastAsia="楷体_GB2312"/>
      <w:kern w:val="0"/>
      <w:sz w:val="28"/>
      <w:szCs w:val="28"/>
    </w:rPr>
  </w:style>
  <w:style w:type="paragraph" w:styleId="11">
    <w:name w:val="Body Text 2"/>
    <w:basedOn w:val="1"/>
    <w:qFormat/>
    <w:uiPriority w:val="0"/>
    <w:pPr>
      <w:spacing w:after="120" w:line="480" w:lineRule="auto"/>
    </w:pPr>
  </w:style>
  <w:style w:type="paragraph" w:styleId="12">
    <w:name w:val="Body Text Indent"/>
    <w:basedOn w:val="1"/>
    <w:next w:val="1"/>
    <w:unhideWhenUsed/>
    <w:qFormat/>
    <w:uiPriority w:val="99"/>
    <w:pPr>
      <w:spacing w:line="400" w:lineRule="exact"/>
      <w:ind w:firstLine="540" w:firstLineChars="225"/>
    </w:pPr>
    <w:rPr>
      <w:sz w:val="24"/>
    </w:rPr>
  </w:style>
  <w:style w:type="paragraph" w:styleId="13">
    <w:name w:val="List Bullet 2"/>
    <w:basedOn w:val="1"/>
    <w:unhideWhenUsed/>
    <w:qFormat/>
    <w:uiPriority w:val="99"/>
    <w:pPr>
      <w:numPr>
        <w:ilvl w:val="0"/>
        <w:numId w:val="1"/>
      </w:numPr>
    </w:pPr>
  </w:style>
  <w:style w:type="paragraph" w:styleId="14">
    <w:name w:val="Plain Text"/>
    <w:basedOn w:val="1"/>
    <w:link w:val="53"/>
    <w:qFormat/>
    <w:uiPriority w:val="0"/>
    <w:rPr>
      <w:rFonts w:ascii="宋体" w:hAnsi="Courier New"/>
      <w:kern w:val="0"/>
      <w:sz w:val="20"/>
      <w:szCs w:val="21"/>
    </w:rPr>
  </w:style>
  <w:style w:type="paragraph" w:styleId="15">
    <w:name w:val="toc 8"/>
    <w:basedOn w:val="1"/>
    <w:next w:val="1"/>
    <w:qFormat/>
    <w:uiPriority w:val="39"/>
    <w:pPr>
      <w:widowControl/>
      <w:overflowPunct w:val="0"/>
      <w:autoSpaceDE w:val="0"/>
      <w:autoSpaceDN w:val="0"/>
      <w:adjustRightInd w:val="0"/>
      <w:spacing w:line="360" w:lineRule="auto"/>
      <w:ind w:left="1960"/>
      <w:jc w:val="left"/>
      <w:textAlignment w:val="baseline"/>
    </w:pPr>
    <w:rPr>
      <w:kern w:val="0"/>
      <w:sz w:val="18"/>
      <w:szCs w:val="18"/>
    </w:rPr>
  </w:style>
  <w:style w:type="paragraph" w:styleId="16">
    <w:name w:val="Date"/>
    <w:basedOn w:val="1"/>
    <w:next w:val="1"/>
    <w:link w:val="54"/>
    <w:qFormat/>
    <w:uiPriority w:val="0"/>
    <w:rPr>
      <w:kern w:val="0"/>
      <w:sz w:val="24"/>
      <w:szCs w:val="20"/>
    </w:rPr>
  </w:style>
  <w:style w:type="paragraph" w:styleId="17">
    <w:name w:val="Body Text Indent 2"/>
    <w:basedOn w:val="1"/>
    <w:unhideWhenUsed/>
    <w:qFormat/>
    <w:uiPriority w:val="99"/>
    <w:pPr>
      <w:spacing w:line="520" w:lineRule="exact"/>
      <w:ind w:firstLine="510"/>
    </w:pPr>
    <w:rPr>
      <w:rFonts w:ascii="华文仿宋" w:eastAsia="华文仿宋"/>
      <w:sz w:val="28"/>
    </w:rPr>
  </w:style>
  <w:style w:type="paragraph" w:styleId="18">
    <w:name w:val="Balloon Text"/>
    <w:basedOn w:val="1"/>
    <w:link w:val="55"/>
    <w:unhideWhenUsed/>
    <w:qFormat/>
    <w:uiPriority w:val="99"/>
    <w:rPr>
      <w:kern w:val="0"/>
      <w:sz w:val="18"/>
      <w:szCs w:val="18"/>
    </w:rPr>
  </w:style>
  <w:style w:type="paragraph" w:styleId="19">
    <w:name w:val="footer"/>
    <w:basedOn w:val="1"/>
    <w:link w:val="56"/>
    <w:unhideWhenUsed/>
    <w:qFormat/>
    <w:uiPriority w:val="99"/>
    <w:pPr>
      <w:tabs>
        <w:tab w:val="center" w:pos="4153"/>
        <w:tab w:val="right" w:pos="8306"/>
      </w:tabs>
      <w:snapToGrid w:val="0"/>
      <w:jc w:val="left"/>
    </w:pPr>
    <w:rPr>
      <w:kern w:val="0"/>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ind w:left="420" w:leftChars="200"/>
    </w:pPr>
  </w:style>
  <w:style w:type="paragraph" w:styleId="24">
    <w:name w:val="toc 9"/>
    <w:basedOn w:val="1"/>
    <w:next w:val="1"/>
    <w:qFormat/>
    <w:uiPriority w:val="0"/>
    <w:pPr>
      <w:ind w:left="3360" w:leftChars="1600"/>
    </w:pPr>
    <w:rPr>
      <w:rFonts w:ascii="Calibri" w:hAnsi="Calibri"/>
    </w:rPr>
  </w:style>
  <w:style w:type="paragraph" w:styleId="2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next w:val="1"/>
    <w:qFormat/>
    <w:uiPriority w:val="0"/>
    <w:pPr>
      <w:tabs>
        <w:tab w:val="left" w:pos="709"/>
        <w:tab w:val="left" w:pos="975"/>
        <w:tab w:val="left" w:pos="1418"/>
        <w:tab w:val="left" w:pos="2126"/>
        <w:tab w:val="left" w:pos="2835"/>
        <w:tab w:val="left" w:pos="3544"/>
        <w:tab w:val="left" w:pos="4253"/>
        <w:tab w:val="left" w:pos="4961"/>
        <w:tab w:val="left" w:pos="5670"/>
      </w:tabs>
      <w:adjustRightInd w:val="0"/>
      <w:snapToGrid w:val="0"/>
      <w:jc w:val="left"/>
      <w:outlineLvl w:val="0"/>
    </w:pPr>
    <w:rPr>
      <w:b/>
      <w:sz w:val="24"/>
      <w:szCs w:val="20"/>
    </w:rPr>
  </w:style>
  <w:style w:type="paragraph" w:styleId="27">
    <w:name w:val="annotation subject"/>
    <w:basedOn w:val="9"/>
    <w:next w:val="9"/>
    <w:link w:val="58"/>
    <w:unhideWhenUsed/>
    <w:qFormat/>
    <w:uiPriority w:val="99"/>
    <w:rPr>
      <w:b/>
      <w:bCs/>
    </w:rPr>
  </w:style>
  <w:style w:type="paragraph" w:styleId="28">
    <w:name w:val="Body Text First Indent"/>
    <w:basedOn w:val="10"/>
    <w:next w:val="1"/>
    <w:qFormat/>
    <w:uiPriority w:val="0"/>
    <w:pPr>
      <w:spacing w:before="100" w:after="100" w:line="360" w:lineRule="atLeast"/>
      <w:ind w:firstLine="425"/>
      <w:textAlignment w:val="baseline"/>
    </w:pPr>
    <w:rPr>
      <w:rFonts w:ascii="Times New Roman" w:hAnsi="Times New Roman" w:eastAsia="宋体"/>
    </w:rPr>
  </w:style>
  <w:style w:type="paragraph" w:styleId="29">
    <w:name w:val="Body Text First Indent 2"/>
    <w:basedOn w:val="12"/>
    <w:unhideWhenUsed/>
    <w:qFormat/>
    <w:uiPriority w:val="99"/>
    <w:pPr>
      <w:ind w:firstLine="420" w:firstLineChars="200"/>
    </w:pPr>
  </w:style>
  <w:style w:type="table" w:styleId="31">
    <w:name w:val="Table Grid"/>
    <w:basedOn w:val="3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22"/>
    <w:rPr>
      <w:b/>
    </w:rPr>
  </w:style>
  <w:style w:type="character" w:styleId="34">
    <w:name w:val="page number"/>
    <w:unhideWhenUsed/>
    <w:qFormat/>
    <w:uiPriority w:val="99"/>
  </w:style>
  <w:style w:type="character" w:styleId="35">
    <w:name w:val="FollowedHyperlink"/>
    <w:unhideWhenUsed/>
    <w:qFormat/>
    <w:uiPriority w:val="99"/>
    <w:rPr>
      <w:color w:val="338DE6"/>
      <w:u w:val="none"/>
    </w:rPr>
  </w:style>
  <w:style w:type="character" w:styleId="36">
    <w:name w:val="Emphasis"/>
    <w:qFormat/>
    <w:uiPriority w:val="20"/>
  </w:style>
  <w:style w:type="character" w:styleId="37">
    <w:name w:val="HTML Definition"/>
    <w:unhideWhenUsed/>
    <w:qFormat/>
    <w:uiPriority w:val="99"/>
  </w:style>
  <w:style w:type="character" w:styleId="38">
    <w:name w:val="HTML Variable"/>
    <w:unhideWhenUsed/>
    <w:qFormat/>
    <w:uiPriority w:val="99"/>
  </w:style>
  <w:style w:type="character" w:styleId="39">
    <w:name w:val="Hyperlink"/>
    <w:unhideWhenUsed/>
    <w:qFormat/>
    <w:uiPriority w:val="99"/>
    <w:rPr>
      <w:color w:val="338DE6"/>
      <w:u w:val="none"/>
    </w:rPr>
  </w:style>
  <w:style w:type="character" w:styleId="40">
    <w:name w:val="HTML Code"/>
    <w:unhideWhenUsed/>
    <w:qFormat/>
    <w:uiPriority w:val="99"/>
    <w:rPr>
      <w:rFonts w:hint="default" w:ascii="serif" w:hAnsi="serif" w:eastAsia="serif" w:cs="serif"/>
      <w:sz w:val="21"/>
      <w:szCs w:val="21"/>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serif" w:hAnsi="serif" w:eastAsia="serif" w:cs="serif"/>
      <w:sz w:val="21"/>
      <w:szCs w:val="21"/>
    </w:rPr>
  </w:style>
  <w:style w:type="character" w:styleId="44">
    <w:name w:val="HTML Sample"/>
    <w:unhideWhenUsed/>
    <w:qFormat/>
    <w:uiPriority w:val="99"/>
    <w:rPr>
      <w:rFonts w:hint="default" w:ascii="serif" w:hAnsi="serif" w:eastAsia="serif" w:cs="serif"/>
      <w:sz w:val="21"/>
      <w:szCs w:val="21"/>
    </w:rPr>
  </w:style>
  <w:style w:type="paragraph" w:customStyle="1" w:styleId="45">
    <w:name w:val="标题 312"/>
    <w:basedOn w:val="1"/>
    <w:next w:val="1"/>
    <w:qFormat/>
    <w:uiPriority w:val="0"/>
    <w:pPr>
      <w:keepNext/>
      <w:keepLines/>
      <w:spacing w:before="260" w:after="260" w:line="416" w:lineRule="auto"/>
      <w:outlineLvl w:val="2"/>
    </w:pPr>
    <w:rPr>
      <w:rFonts w:ascii="Calibri" w:hAnsi="Calibri"/>
      <w:b/>
      <w:bCs/>
      <w:sz w:val="32"/>
      <w:szCs w:val="32"/>
    </w:rPr>
  </w:style>
  <w:style w:type="paragraph" w:customStyle="1" w:styleId="46">
    <w:name w:val="正文（缩进）"/>
    <w:basedOn w:val="1"/>
    <w:qFormat/>
    <w:uiPriority w:val="0"/>
    <w:pPr>
      <w:ind w:firstLine="480" w:firstLineChars="200"/>
    </w:pPr>
  </w:style>
  <w:style w:type="paragraph" w:customStyle="1" w:styleId="47">
    <w:name w:val="Char Char Char Char Char"/>
    <w:basedOn w:val="1"/>
    <w:next w:val="1"/>
    <w:qFormat/>
    <w:uiPriority w:val="0"/>
    <w:pPr>
      <w:ind w:firstLine="5632"/>
    </w:pPr>
  </w:style>
  <w:style w:type="character" w:customStyle="1" w:styleId="48">
    <w:name w:val="标题 1 Char"/>
    <w:link w:val="2"/>
    <w:qFormat/>
    <w:uiPriority w:val="9"/>
    <w:rPr>
      <w:b/>
      <w:bCs/>
      <w:kern w:val="44"/>
      <w:sz w:val="44"/>
      <w:szCs w:val="44"/>
    </w:rPr>
  </w:style>
  <w:style w:type="character" w:customStyle="1" w:styleId="49">
    <w:name w:val="标题 2 Char"/>
    <w:link w:val="3"/>
    <w:qFormat/>
    <w:uiPriority w:val="0"/>
    <w:rPr>
      <w:rFonts w:ascii="Arial" w:hAnsi="Arial" w:eastAsia="幼圆" w:cs="Times New Roman"/>
      <w:b/>
      <w:bCs/>
      <w:sz w:val="44"/>
      <w:szCs w:val="44"/>
    </w:rPr>
  </w:style>
  <w:style w:type="character" w:customStyle="1" w:styleId="50">
    <w:name w:val="正文缩进 Char"/>
    <w:link w:val="7"/>
    <w:qFormat/>
    <w:uiPriority w:val="0"/>
    <w:rPr>
      <w:rFonts w:ascii="Times New Roman" w:hAnsi="Times New Roman" w:eastAsia="宋体" w:cs="Times New Roman"/>
      <w:szCs w:val="21"/>
    </w:rPr>
  </w:style>
  <w:style w:type="character" w:customStyle="1" w:styleId="51">
    <w:name w:val="文档结构图 Char"/>
    <w:link w:val="8"/>
    <w:semiHidden/>
    <w:qFormat/>
    <w:uiPriority w:val="99"/>
    <w:rPr>
      <w:rFonts w:ascii="宋体"/>
      <w:kern w:val="2"/>
      <w:sz w:val="18"/>
      <w:szCs w:val="18"/>
    </w:rPr>
  </w:style>
  <w:style w:type="character" w:customStyle="1" w:styleId="52">
    <w:name w:val="批注文字 Char"/>
    <w:link w:val="9"/>
    <w:qFormat/>
    <w:uiPriority w:val="99"/>
    <w:rPr>
      <w:kern w:val="2"/>
      <w:sz w:val="21"/>
      <w:szCs w:val="22"/>
    </w:rPr>
  </w:style>
  <w:style w:type="character" w:customStyle="1" w:styleId="53">
    <w:name w:val="纯文本 Char"/>
    <w:link w:val="14"/>
    <w:qFormat/>
    <w:uiPriority w:val="0"/>
    <w:rPr>
      <w:rFonts w:ascii="宋体" w:hAnsi="Courier New" w:eastAsia="宋体" w:cs="Times New Roman"/>
      <w:szCs w:val="21"/>
    </w:rPr>
  </w:style>
  <w:style w:type="character" w:customStyle="1" w:styleId="54">
    <w:name w:val="日期 Char"/>
    <w:link w:val="16"/>
    <w:qFormat/>
    <w:uiPriority w:val="0"/>
    <w:rPr>
      <w:rFonts w:ascii="Times New Roman" w:hAnsi="Times New Roman" w:eastAsia="宋体" w:cs="Times New Roman"/>
      <w:sz w:val="24"/>
      <w:szCs w:val="20"/>
    </w:rPr>
  </w:style>
  <w:style w:type="character" w:customStyle="1" w:styleId="55">
    <w:name w:val="批注框文本 Char"/>
    <w:link w:val="18"/>
    <w:semiHidden/>
    <w:qFormat/>
    <w:uiPriority w:val="99"/>
    <w:rPr>
      <w:sz w:val="18"/>
      <w:szCs w:val="18"/>
    </w:rPr>
  </w:style>
  <w:style w:type="character" w:customStyle="1" w:styleId="56">
    <w:name w:val="页脚 Char"/>
    <w:link w:val="19"/>
    <w:qFormat/>
    <w:uiPriority w:val="99"/>
    <w:rPr>
      <w:sz w:val="18"/>
      <w:szCs w:val="18"/>
    </w:rPr>
  </w:style>
  <w:style w:type="character" w:customStyle="1" w:styleId="57">
    <w:name w:val="页眉 Char"/>
    <w:link w:val="21"/>
    <w:qFormat/>
    <w:uiPriority w:val="99"/>
    <w:rPr>
      <w:sz w:val="18"/>
      <w:szCs w:val="18"/>
    </w:rPr>
  </w:style>
  <w:style w:type="character" w:customStyle="1" w:styleId="58">
    <w:name w:val="批注主题 Char"/>
    <w:link w:val="27"/>
    <w:qFormat/>
    <w:uiPriority w:val="0"/>
  </w:style>
  <w:style w:type="paragraph" w:customStyle="1" w:styleId="59">
    <w:name w:val="正文1"/>
    <w:basedOn w:val="1"/>
    <w:next w:val="60"/>
    <w:qFormat/>
    <w:uiPriority w:val="0"/>
    <w:pPr>
      <w:spacing w:before="156"/>
      <w:ind w:firstLine="510" w:firstLineChars="200"/>
    </w:pPr>
    <w:rPr>
      <w:szCs w:val="20"/>
    </w:rPr>
  </w:style>
  <w:style w:type="paragraph" w:customStyle="1" w:styleId="60">
    <w:name w:val="正文文本1"/>
    <w:basedOn w:val="59"/>
    <w:next w:val="1"/>
    <w:qFormat/>
    <w:uiPriority w:val="0"/>
    <w:pPr>
      <w:spacing w:after="120"/>
    </w:pPr>
    <w:rPr>
      <w:lang w:eastAsia="en-US"/>
    </w:rPr>
  </w:style>
  <w:style w:type="paragraph" w:customStyle="1" w:styleId="61">
    <w:name w:val="一级条标题"/>
    <w:basedOn w:val="62"/>
    <w:next w:val="63"/>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2">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63">
    <w:name w:val="段"/>
    <w:basedOn w:val="59"/>
    <w:next w:val="1"/>
    <w:qFormat/>
    <w:uiPriority w:val="0"/>
    <w:pPr>
      <w:widowControl/>
      <w:ind w:firstLine="200"/>
    </w:pPr>
    <w:rPr>
      <w:rFonts w:ascii="宋体"/>
      <w:sz w:val="20"/>
    </w:rPr>
  </w:style>
  <w:style w:type="character" w:customStyle="1" w:styleId="64">
    <w:name w:val="要点1"/>
    <w:qFormat/>
    <w:uiPriority w:val="22"/>
    <w:rPr>
      <w:kern w:val="2"/>
      <w:sz w:val="21"/>
      <w:szCs w:val="22"/>
      <w:lang w:val="en-US" w:eastAsia="zh-CN" w:bidi="ar-SA"/>
    </w:rPr>
  </w:style>
  <w:style w:type="paragraph" w:customStyle="1" w:styleId="65">
    <w:name w:val="Char Char Char Char Char Char Char Char Char"/>
    <w:basedOn w:val="1"/>
    <w:next w:val="66"/>
    <w:qFormat/>
    <w:uiPriority w:val="0"/>
    <w:pPr>
      <w:ind w:left="360" w:firstLine="5784"/>
    </w:pPr>
  </w:style>
  <w:style w:type="paragraph" w:customStyle="1" w:styleId="66">
    <w:name w:val="正文文本 21"/>
    <w:basedOn w:val="1"/>
    <w:next w:val="67"/>
    <w:qFormat/>
    <w:uiPriority w:val="0"/>
    <w:pPr>
      <w:widowControl/>
      <w:autoSpaceDE w:val="0"/>
      <w:autoSpaceDN w:val="0"/>
      <w:ind w:left="720" w:firstLine="5680"/>
    </w:pPr>
  </w:style>
  <w:style w:type="paragraph" w:customStyle="1" w:styleId="67">
    <w:name w:val="默认段落字体 Para Char Char Char Char Char Char Char"/>
    <w:basedOn w:val="1"/>
    <w:next w:val="68"/>
    <w:qFormat/>
    <w:uiPriority w:val="0"/>
    <w:pPr>
      <w:ind w:firstLine="200" w:firstLineChars="200"/>
    </w:pPr>
    <w:rPr>
      <w:rFonts w:cs="Arial"/>
    </w:rPr>
  </w:style>
  <w:style w:type="paragraph" w:customStyle="1" w:styleId="68">
    <w:name w:val="样式 首行缩进:  2 字符"/>
    <w:basedOn w:val="1"/>
    <w:next w:val="69"/>
    <w:qFormat/>
    <w:uiPriority w:val="0"/>
    <w:pPr>
      <w:spacing w:line="360" w:lineRule="auto"/>
      <w:ind w:left="480" w:firstLine="5856"/>
    </w:pPr>
  </w:style>
  <w:style w:type="paragraph" w:customStyle="1" w:styleId="69">
    <w:name w:val="样式 段后: 0.25 行"/>
    <w:basedOn w:val="1"/>
    <w:next w:val="70"/>
    <w:qFormat/>
    <w:uiPriority w:val="0"/>
    <w:pPr>
      <w:widowControl/>
      <w:spacing w:line="300" w:lineRule="auto"/>
      <w:ind w:left="420" w:firstLine="5796"/>
    </w:pPr>
  </w:style>
  <w:style w:type="paragraph" w:customStyle="1" w:styleId="70">
    <w:name w:val="正文 New New New New New New New New New New New New New New"/>
    <w:next w:val="24"/>
    <w:qFormat/>
    <w:uiPriority w:val="0"/>
    <w:pPr>
      <w:widowControl w:val="0"/>
      <w:ind w:firstLine="2048"/>
      <w:jc w:val="both"/>
    </w:pPr>
    <w:rPr>
      <w:rFonts w:ascii="Calibri" w:hAnsi="Calibri" w:eastAsia="宋体" w:cs="Times New Roman"/>
      <w:lang w:val="en-US" w:eastAsia="zh-CN" w:bidi="ar-SA"/>
    </w:rPr>
  </w:style>
  <w:style w:type="paragraph" w:customStyle="1" w:styleId="71">
    <w:name w:val="正文文本11"/>
    <w:basedOn w:val="1"/>
    <w:next w:val="1"/>
    <w:qFormat/>
    <w:uiPriority w:val="0"/>
    <w:rPr>
      <w:rFonts w:ascii="楷体_GB2312" w:hAnsi="Arial" w:eastAsia="楷体_GB2312"/>
      <w:sz w:val="28"/>
      <w:szCs w:val="28"/>
    </w:rPr>
  </w:style>
  <w:style w:type="character" w:customStyle="1" w:styleId="72">
    <w:name w:val="fontstrikethrough"/>
    <w:qFormat/>
    <w:uiPriority w:val="0"/>
    <w:rPr>
      <w:strike/>
    </w:rPr>
  </w:style>
  <w:style w:type="character" w:customStyle="1" w:styleId="73">
    <w:name w:val="列出段落 Char"/>
    <w:link w:val="74"/>
    <w:qFormat/>
    <w:locked/>
    <w:uiPriority w:val="0"/>
    <w:rPr>
      <w:rFonts w:ascii="Calibri" w:hAnsi="Calibri" w:eastAsia="宋体" w:cs="Times New Roman"/>
      <w:kern w:val="0"/>
      <w:sz w:val="24"/>
      <w:szCs w:val="24"/>
      <w:lang w:eastAsia="en-US" w:bidi="en-US"/>
    </w:rPr>
  </w:style>
  <w:style w:type="paragraph" w:customStyle="1" w:styleId="74">
    <w:name w:val="列出段落1"/>
    <w:basedOn w:val="1"/>
    <w:link w:val="73"/>
    <w:qFormat/>
    <w:uiPriority w:val="0"/>
    <w:pPr>
      <w:widowControl/>
      <w:ind w:left="720"/>
      <w:contextualSpacing/>
      <w:jc w:val="left"/>
    </w:pPr>
    <w:rPr>
      <w:kern w:val="0"/>
      <w:sz w:val="24"/>
      <w:szCs w:val="24"/>
      <w:lang w:eastAsia="en-US" w:bidi="en-US"/>
    </w:rPr>
  </w:style>
  <w:style w:type="character" w:customStyle="1" w:styleId="75">
    <w:name w:val="fontborder"/>
    <w:qFormat/>
    <w:uiPriority w:val="0"/>
    <w:rPr>
      <w:bdr w:val="single" w:color="000000" w:sz="6" w:space="0"/>
    </w:rPr>
  </w:style>
  <w:style w:type="character" w:customStyle="1" w:styleId="76">
    <w:name w:val="NormalCharacter"/>
    <w:qFormat/>
    <w:uiPriority w:val="0"/>
    <w:rPr>
      <w:kern w:val="2"/>
      <w:sz w:val="21"/>
      <w:szCs w:val="22"/>
      <w:lang w:val="en-US" w:eastAsia="zh-CN" w:bidi="ar-SA"/>
    </w:rPr>
  </w:style>
  <w:style w:type="paragraph" w:customStyle="1" w:styleId="77">
    <w:name w:val="样式2"/>
    <w:basedOn w:val="1"/>
    <w:qFormat/>
    <w:uiPriority w:val="99"/>
    <w:pPr>
      <w:adjustRightInd w:val="0"/>
      <w:spacing w:line="410" w:lineRule="atLeast"/>
      <w:jc w:val="left"/>
    </w:pPr>
    <w:rPr>
      <w:rFonts w:ascii="宋体"/>
      <w:kern w:val="0"/>
      <w:sz w:val="24"/>
      <w:szCs w:val="20"/>
    </w:rPr>
  </w:style>
  <w:style w:type="paragraph" w:customStyle="1" w:styleId="78">
    <w:name w:val="正文 A"/>
    <w:next w:val="63"/>
    <w:qFormat/>
    <w:uiPriority w:val="0"/>
    <w:pPr>
      <w:framePr w:wrap="around" w:vAnchor="margin" w:hAnchor="text" w:yAlign="top"/>
      <w:widowControl w:val="0"/>
      <w:jc w:val="both"/>
    </w:pPr>
    <w:rPr>
      <w:rFonts w:ascii="Times New Roman" w:hAnsi="Times New Roman" w:eastAsia="Times New Roman" w:cs="Times New Roman"/>
      <w:color w:val="000000"/>
      <w:sz w:val="21"/>
      <w:szCs w:val="21"/>
      <w:lang w:val="en-US" w:eastAsia="zh-CN" w:bidi="ar-SA"/>
    </w:rPr>
  </w:style>
  <w:style w:type="paragraph" w:customStyle="1" w:styleId="79">
    <w:name w:val="Blockquote"/>
    <w:basedOn w:val="1"/>
    <w:qFormat/>
    <w:uiPriority w:val="0"/>
    <w:pPr>
      <w:autoSpaceDE w:val="0"/>
      <w:autoSpaceDN w:val="0"/>
      <w:adjustRightInd w:val="0"/>
      <w:snapToGrid w:val="0"/>
      <w:spacing w:before="100" w:after="100"/>
      <w:ind w:left="360" w:right="360"/>
      <w:jc w:val="left"/>
    </w:pPr>
    <w:rPr>
      <w:kern w:val="0"/>
      <w:sz w:val="24"/>
      <w:szCs w:val="21"/>
    </w:rPr>
  </w:style>
  <w:style w:type="paragraph" w:customStyle="1" w:styleId="80">
    <w:name w:val="普通文字"/>
    <w:basedOn w:val="1"/>
    <w:next w:val="1"/>
    <w:qFormat/>
    <w:uiPriority w:val="0"/>
    <w:rPr>
      <w:rFonts w:ascii="宋体"/>
      <w:kern w:val="0"/>
      <w:sz w:val="24"/>
      <w:szCs w:val="20"/>
    </w:rPr>
  </w:style>
  <w:style w:type="paragraph" w:customStyle="1" w:styleId="81">
    <w:name w:val="张勋节格式居中"/>
    <w:qFormat/>
    <w:uiPriority w:val="99"/>
    <w:pPr>
      <w:adjustRightInd w:val="0"/>
      <w:snapToGrid w:val="0"/>
      <w:spacing w:before="100" w:beforeAutospacing="1" w:after="100" w:afterAutospacing="1" w:line="360" w:lineRule="exact"/>
      <w:ind w:firstLine="480"/>
      <w:jc w:val="center"/>
      <w:textAlignment w:val="center"/>
    </w:pPr>
    <w:rPr>
      <w:rFonts w:ascii="宋体" w:hAnsi="Times New Roman" w:eastAsia="宋体" w:cs="宋体"/>
      <w:b/>
      <w:kern w:val="2"/>
      <w:sz w:val="28"/>
      <w:szCs w:val="28"/>
      <w:lang w:val="zh-CN" w:eastAsia="zh-CN" w:bidi="ar-SA"/>
    </w:rPr>
  </w:style>
  <w:style w:type="paragraph" w:customStyle="1" w:styleId="82">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纯文本1"/>
    <w:basedOn w:val="1"/>
    <w:qFormat/>
    <w:uiPriority w:val="0"/>
    <w:pPr>
      <w:adjustRightInd w:val="0"/>
      <w:textAlignment w:val="baseline"/>
    </w:pPr>
    <w:rPr>
      <w:rFonts w:ascii="宋体" w:hAnsi="Courier New" w:eastAsia="楷体_GB2312"/>
      <w:sz w:val="28"/>
      <w:szCs w:val="20"/>
    </w:rPr>
  </w:style>
  <w:style w:type="paragraph" w:styleId="84">
    <w:name w:val="List Paragraph"/>
    <w:basedOn w:val="1"/>
    <w:qFormat/>
    <w:uiPriority w:val="0"/>
    <w:pPr>
      <w:ind w:firstLine="420" w:firstLineChars="200"/>
    </w:pPr>
    <w:rPr>
      <w:rFonts w:eastAsia="楷体_GB2312"/>
      <w:sz w:val="26"/>
      <w:szCs w:val="20"/>
    </w:rPr>
  </w:style>
  <w:style w:type="paragraph" w:customStyle="1" w:styleId="85">
    <w:name w:val="_Style 82"/>
    <w:unhideWhenUsed/>
    <w:qFormat/>
    <w:uiPriority w:val="99"/>
    <w:rPr>
      <w:rFonts w:ascii="Times New Roman" w:hAnsi="Times New Roman" w:eastAsia="宋体" w:cs="Times New Roman"/>
      <w:kern w:val="2"/>
      <w:sz w:val="21"/>
      <w:szCs w:val="22"/>
      <w:lang w:val="en-US" w:eastAsia="zh-CN" w:bidi="ar-SA"/>
    </w:rPr>
  </w:style>
  <w:style w:type="paragraph" w:customStyle="1" w:styleId="86">
    <w:name w:val="正文 1.1.1"/>
    <w:basedOn w:val="1"/>
    <w:next w:val="1"/>
    <w:qFormat/>
    <w:uiPriority w:val="0"/>
    <w:pPr>
      <w:numPr>
        <w:ilvl w:val="2"/>
        <w:numId w:val="2"/>
      </w:numPr>
      <w:outlineLvl w:val="2"/>
    </w:pPr>
    <w:rPr>
      <w:rFonts w:hAnsi="宋体"/>
      <w:color w:val="FF0000"/>
    </w:rPr>
  </w:style>
  <w:style w:type="paragraph" w:customStyle="1" w:styleId="87">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88">
    <w:name w:val="p0"/>
    <w:basedOn w:val="1"/>
    <w:qFormat/>
    <w:uiPriority w:val="0"/>
    <w:pPr>
      <w:widowControl/>
    </w:pPr>
  </w:style>
  <w:style w:type="paragraph" w:customStyle="1" w:styleId="89">
    <w:name w:val="Char"/>
    <w:basedOn w:val="1"/>
    <w:qFormat/>
    <w:uiPriority w:val="0"/>
    <w:pPr>
      <w:tabs>
        <w:tab w:val="left" w:pos="360"/>
      </w:tabs>
      <w:ind w:firstLine="200" w:firstLineChars="200"/>
    </w:pPr>
    <w:rPr>
      <w:sz w:val="28"/>
      <w:szCs w:val="30"/>
    </w:rPr>
  </w:style>
  <w:style w:type="paragraph" w:customStyle="1" w:styleId="9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1">
    <w:name w:val="正文空2格  1."/>
    <w:basedOn w:val="1"/>
    <w:qFormat/>
    <w:uiPriority w:val="0"/>
    <w:pPr>
      <w:ind w:firstLine="480" w:firstLineChars="200"/>
    </w:pPr>
    <w:rPr>
      <w:rFonts w:cs="宋体"/>
      <w:sz w:val="28"/>
      <w:szCs w:val="20"/>
    </w:rPr>
  </w:style>
  <w:style w:type="paragraph" w:customStyle="1" w:styleId="92">
    <w:name w:val="正文 1.1"/>
    <w:basedOn w:val="1"/>
    <w:next w:val="86"/>
    <w:qFormat/>
    <w:uiPriority w:val="0"/>
    <w:pPr>
      <w:numPr>
        <w:ilvl w:val="1"/>
        <w:numId w:val="2"/>
      </w:numPr>
      <w:ind w:firstLine="550"/>
      <w:outlineLvl w:val="1"/>
    </w:pPr>
    <w:rPr>
      <w:rFonts w:ascii="仿宋" w:hAnsi="仿宋"/>
      <w:b/>
    </w:rPr>
  </w:style>
  <w:style w:type="paragraph" w:customStyle="1" w:styleId="93">
    <w:name w:val="正文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94">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正文文本缩进11"/>
    <w:basedOn w:val="1"/>
    <w:next w:val="1"/>
    <w:unhideWhenUsed/>
    <w:qFormat/>
    <w:uiPriority w:val="99"/>
    <w:pPr>
      <w:spacing w:line="400" w:lineRule="exact"/>
      <w:ind w:firstLine="540"/>
    </w:pPr>
    <w:rPr>
      <w:sz w:val="24"/>
    </w:rPr>
  </w:style>
  <w:style w:type="paragraph" w:customStyle="1" w:styleId="97">
    <w:name w:val="Default"/>
    <w:qFormat/>
    <w:uiPriority w:val="99"/>
    <w:pPr>
      <w:widowControl w:val="0"/>
      <w:autoSpaceDE w:val="0"/>
      <w:autoSpaceDN w:val="0"/>
      <w:adjustRightInd w:val="0"/>
    </w:pPr>
    <w:rPr>
      <w:rFonts w:ascii="宋体" w:hAnsi="Times New Roman" w:eastAsia="宋体" w:cs="宋体"/>
      <w:color w:val="000000"/>
      <w:kern w:val="2"/>
      <w:sz w:val="24"/>
      <w:szCs w:val="24"/>
      <w:lang w:val="en-US" w:eastAsia="zh-CN" w:bidi="ar-SA"/>
    </w:rPr>
  </w:style>
  <w:style w:type="paragraph" w:customStyle="1" w:styleId="98">
    <w:name w:val="大标题"/>
    <w:basedOn w:val="26"/>
    <w:next w:val="29"/>
    <w:qFormat/>
    <w:uiPriority w:val="0"/>
    <w:pPr>
      <w:spacing w:line="360" w:lineRule="auto"/>
      <w:ind w:firstLine="200"/>
    </w:pPr>
    <w:rPr>
      <w:rFonts w:ascii="宋体" w:hAnsi="宋体"/>
    </w:rPr>
  </w:style>
  <w:style w:type="paragraph" w:customStyle="1" w:styleId="99">
    <w:name w:val="正文文本 211"/>
    <w:basedOn w:val="1"/>
    <w:qFormat/>
    <w:uiPriority w:val="99"/>
    <w:pPr>
      <w:tabs>
        <w:tab w:val="left" w:pos="0"/>
        <w:tab w:val="left" w:pos="993"/>
        <w:tab w:val="left" w:pos="1134"/>
      </w:tabs>
      <w:spacing w:line="240" w:lineRule="exact"/>
    </w:pPr>
    <w:rPr>
      <w:rFonts w:ascii="楷体_GB2312" w:hAnsi="Calibri" w:eastAsia="楷体_GB2312"/>
      <w:sz w:val="18"/>
    </w:rPr>
  </w:style>
  <w:style w:type="paragraph" w:customStyle="1" w:styleId="100">
    <w:name w:val="标题 21"/>
    <w:basedOn w:val="1"/>
    <w:next w:val="101"/>
    <w:qFormat/>
    <w:uiPriority w:val="99"/>
    <w:pPr>
      <w:keepNext/>
      <w:keepLines/>
      <w:spacing w:before="260" w:after="260" w:line="413" w:lineRule="auto"/>
      <w:outlineLvl w:val="1"/>
    </w:pPr>
    <w:rPr>
      <w:rFonts w:ascii="Arial" w:hAnsi="Arial" w:eastAsia="黑体"/>
      <w:b/>
      <w:sz w:val="32"/>
      <w:szCs w:val="20"/>
    </w:rPr>
  </w:style>
  <w:style w:type="paragraph" w:customStyle="1" w:styleId="101">
    <w:name w:val="正文缩进1"/>
    <w:basedOn w:val="1"/>
    <w:next w:val="1"/>
    <w:qFormat/>
    <w:uiPriority w:val="0"/>
    <w:pPr>
      <w:ind w:firstLine="420"/>
    </w:pPr>
    <w:rPr>
      <w:sz w:val="20"/>
      <w:szCs w:val="21"/>
    </w:rPr>
  </w:style>
  <w:style w:type="paragraph" w:customStyle="1" w:styleId="102">
    <w:name w:val="普通(网站)1"/>
    <w:basedOn w:val="1"/>
    <w:unhideWhenUsed/>
    <w:qFormat/>
    <w:uiPriority w:val="99"/>
    <w:pPr>
      <w:widowControl/>
      <w:spacing w:before="100" w:beforeAutospacing="1" w:after="100" w:afterAutospacing="1"/>
      <w:jc w:val="left"/>
    </w:pPr>
    <w:rPr>
      <w:rFonts w:ascii="宋体" w:hAnsi="宋体"/>
      <w:sz w:val="24"/>
      <w:szCs w:val="24"/>
    </w:rPr>
  </w:style>
  <w:style w:type="paragraph" w:customStyle="1" w:styleId="103">
    <w:name w:val="纯文本111"/>
    <w:basedOn w:val="1"/>
    <w:next w:val="47"/>
    <w:qFormat/>
    <w:uiPriority w:val="99"/>
    <w:rPr>
      <w:rFonts w:ascii="宋体" w:hAnsi="Courier New"/>
      <w:szCs w:val="20"/>
    </w:rPr>
  </w:style>
  <w:style w:type="paragraph" w:customStyle="1" w:styleId="104">
    <w:name w:val="正文_2"/>
    <w:qFormat/>
    <w:uiPriority w:val="0"/>
    <w:rPr>
      <w:rFonts w:ascii="Times New Roman" w:hAnsi="Times New Roman" w:eastAsia="宋体" w:cs="Times New Roman"/>
      <w:lang w:val="en-US" w:eastAsia="zh-CN" w:bidi="ar-SA"/>
    </w:rPr>
  </w:style>
  <w:style w:type="paragraph" w:customStyle="1" w:styleId="105">
    <w:name w:val="正文_0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6">
    <w:name w:val="正文12"/>
    <w:qFormat/>
    <w:uiPriority w:val="99"/>
    <w:pPr>
      <w:widowControl w:val="0"/>
      <w:jc w:val="both"/>
    </w:pPr>
    <w:rPr>
      <w:rFonts w:ascii="Times New Roman" w:hAnsi="Times New Roman" w:eastAsia="Times New Roman" w:cs="Times New Roman"/>
      <w:lang w:val="en-US" w:eastAsia="zh-CN" w:bidi="ar-SA"/>
    </w:rPr>
  </w:style>
  <w:style w:type="paragraph" w:customStyle="1" w:styleId="107">
    <w:name w:val="正文2"/>
    <w:qFormat/>
    <w:uiPriority w:val="0"/>
    <w:rPr>
      <w:rFonts w:ascii="Times New Roman" w:hAnsi="Times New Roman" w:eastAsia="宋体" w:cs="Times New Roman"/>
      <w:sz w:val="24"/>
      <w:szCs w:val="24"/>
      <w:lang w:val="en-US" w:eastAsia="zh-CN" w:bidi="ar-SA"/>
    </w:rPr>
  </w:style>
  <w:style w:type="paragraph" w:customStyle="1" w:styleId="108">
    <w:name w:val="正文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9">
    <w:name w:val="BodyText1"/>
    <w:basedOn w:val="1"/>
    <w:qFormat/>
    <w:uiPriority w:val="0"/>
    <w:rPr>
      <w:rFonts w:ascii="楷体_GB2312" w:hAnsi="Arial" w:eastAsia="楷体_GB2312"/>
      <w:sz w:val="28"/>
      <w:szCs w:val="28"/>
    </w:rPr>
  </w:style>
  <w:style w:type="paragraph" w:customStyle="1" w:styleId="110">
    <w:name w:val="标题 31"/>
    <w:basedOn w:val="1"/>
    <w:next w:val="59"/>
    <w:qFormat/>
    <w:uiPriority w:val="99"/>
    <w:pPr>
      <w:keepNext/>
      <w:keepLines/>
      <w:spacing w:before="260" w:after="260" w:line="416" w:lineRule="auto"/>
      <w:outlineLvl w:val="2"/>
    </w:pPr>
    <w:rPr>
      <w:b/>
      <w:bCs/>
      <w:sz w:val="32"/>
      <w:szCs w:val="32"/>
    </w:rPr>
  </w:style>
  <w:style w:type="paragraph" w:customStyle="1" w:styleId="111">
    <w:name w:val="纯文本11"/>
    <w:basedOn w:val="59"/>
    <w:qFormat/>
    <w:uiPriority w:val="0"/>
    <w:rPr>
      <w:rFonts w:ascii="宋体" w:hAnsi="Courier New"/>
      <w:sz w:val="20"/>
      <w:szCs w:val="21"/>
    </w:rPr>
  </w:style>
  <w:style w:type="table" w:customStyle="1" w:styleId="112">
    <w:name w:val="Table Normal"/>
    <w:unhideWhenUsed/>
    <w:qFormat/>
    <w:uiPriority w:val="0"/>
    <w:tblPr>
      <w:tblCellMar>
        <w:top w:w="0" w:type="dxa"/>
        <w:left w:w="0" w:type="dxa"/>
        <w:bottom w:w="0" w:type="dxa"/>
        <w:right w:w="0" w:type="dxa"/>
      </w:tblCellMar>
    </w:tblPr>
  </w:style>
  <w:style w:type="paragraph" w:customStyle="1" w:styleId="113">
    <w:name w:val="日期1"/>
    <w:basedOn w:val="59"/>
    <w:next w:val="1"/>
    <w:qFormat/>
    <w:uiPriority w:val="99"/>
    <w:rPr>
      <w:rFonts w:ascii="Calibri" w:hAnsi="Calibri" w:eastAsia="仿宋_GB2312"/>
      <w:sz w:val="30"/>
    </w:rPr>
  </w:style>
  <w:style w:type="character" w:customStyle="1" w:styleId="114">
    <w:name w:val="htd0"/>
    <w:qFormat/>
    <w:uiPriority w:val="0"/>
  </w:style>
  <w:style w:type="paragraph" w:customStyle="1" w:styleId="115">
    <w:name w:val="正文_0_0_0_0"/>
    <w:qFormat/>
    <w:uiPriority w:val="0"/>
    <w:pPr>
      <w:widowControl w:val="0"/>
      <w:jc w:val="both"/>
    </w:pPr>
    <w:rPr>
      <w:rFonts w:ascii="Times New Roman" w:hAnsi="Times New Roman" w:eastAsia="宋体" w:cs="Times New Roman"/>
      <w:lang w:val="en-US" w:eastAsia="zh-CN" w:bidi="ar-SA"/>
    </w:rPr>
  </w:style>
  <w:style w:type="paragraph" w:customStyle="1" w:styleId="116">
    <w:name w:val="列出段落2"/>
    <w:basedOn w:val="1"/>
    <w:qFormat/>
    <w:uiPriority w:val="0"/>
    <w:pPr>
      <w:ind w:firstLine="420"/>
    </w:pPr>
    <w:rPr>
      <w:rFonts w:eastAsia="楷体_GB2312"/>
      <w:sz w:val="26"/>
      <w:szCs w:val="20"/>
    </w:rPr>
  </w:style>
  <w:style w:type="paragraph" w:customStyle="1" w:styleId="117">
    <w:name w:val="正文文本缩进1"/>
    <w:basedOn w:val="1"/>
    <w:unhideWhenUsed/>
    <w:qFormat/>
    <w:uiPriority w:val="99"/>
    <w:pPr>
      <w:spacing w:line="400" w:lineRule="exact"/>
      <w:ind w:firstLine="540"/>
    </w:pPr>
    <w:rPr>
      <w:sz w:val="24"/>
    </w:rPr>
  </w:style>
  <w:style w:type="paragraph" w:customStyle="1" w:styleId="118">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71</Pages>
  <Words>32709</Words>
  <Characters>34229</Characters>
  <Lines>357</Lines>
  <Paragraphs>100</Paragraphs>
  <TotalTime>8</TotalTime>
  <ScaleCrop>false</ScaleCrop>
  <LinksUpToDate>false</LinksUpToDate>
  <CharactersWithSpaces>34969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2025-01-07T01:04:00Z</dcterms:created>
  <dc:creator>admin</dc:creator>
  <cp:lastModifiedBy>linzuchao</cp:lastModifiedBy>
  <cp:lastPrinted>2023-10-25T09:29:00Z</cp:lastPrinted>
  <dcterms:modified xsi:type="dcterms:W3CDTF">2026-08-28T03:18:10Z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055BDBE45B09447590C30319CAC8E4EA_13</vt:lpwstr>
  </property>
  <property fmtid="{D5CDD505-2E9C-101B-9397-08002B2CF9AE}" pid="4" name="KSOTemplateDocerSaveRecord">
    <vt:lpwstr>eyJoZGlkIjoiNDg4NTlmYWNiMjlhOWU4NzNlMmJmODk1MTkxMWYwODUiLCJ1c2VySWQiOiI0MTk2MzY1OTUifQ==</vt:lpwstr>
  </property>
</Properties>
</file>