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2B357">
      <w:pPr>
        <w:adjustRightInd w:val="0"/>
        <w:snapToGrid w:val="0"/>
        <w:spacing w:line="800" w:lineRule="exact"/>
        <w:contextualSpacing/>
        <w:jc w:val="center"/>
        <w:rPr>
          <w:rFonts w:hint="eastAsia"/>
          <w:b/>
          <w:sz w:val="36"/>
          <w:szCs w:val="36"/>
        </w:rPr>
      </w:pPr>
    </w:p>
    <w:p w14:paraId="35DF7D67">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b/>
          <w:sz w:val="36"/>
          <w:szCs w:val="36"/>
        </w:rPr>
      </w:pPr>
      <w:r>
        <w:rPr>
          <w:rFonts w:hint="eastAsia"/>
          <w:b/>
          <w:sz w:val="36"/>
          <w:szCs w:val="36"/>
        </w:rPr>
        <w:t>扬州大学附属医院</w:t>
      </w:r>
    </w:p>
    <w:p w14:paraId="507A3DE7">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default" w:eastAsia="宋体"/>
          <w:b/>
          <w:sz w:val="36"/>
          <w:szCs w:val="36"/>
          <w:lang w:val="en-US" w:eastAsia="zh-CN"/>
        </w:rPr>
      </w:pPr>
      <w:r>
        <w:rPr>
          <w:rFonts w:hint="eastAsia"/>
          <w:b/>
          <w:sz w:val="36"/>
          <w:szCs w:val="36"/>
          <w:lang w:val="en-US" w:eastAsia="zh-CN"/>
        </w:rPr>
        <w:t>西区行政楼配电房主备电源电箱安装工程</w:t>
      </w:r>
      <w:r>
        <w:rPr>
          <w:rFonts w:hint="eastAsia"/>
          <w:b/>
          <w:sz w:val="36"/>
          <w:szCs w:val="36"/>
        </w:rPr>
        <w:t>询价文件</w:t>
      </w:r>
      <w:r>
        <w:rPr>
          <w:rFonts w:hint="eastAsia"/>
          <w:b/>
          <w:sz w:val="36"/>
          <w:szCs w:val="36"/>
          <w:lang w:eastAsia="zh-CN"/>
        </w:rPr>
        <w:t>（</w:t>
      </w:r>
      <w:r>
        <w:rPr>
          <w:rFonts w:hint="eastAsia"/>
          <w:b/>
          <w:sz w:val="36"/>
          <w:szCs w:val="36"/>
          <w:lang w:val="en-US" w:eastAsia="zh-CN"/>
        </w:rPr>
        <w:t>二次）</w:t>
      </w:r>
    </w:p>
    <w:p w14:paraId="4C9C0A3D">
      <w:pPr>
        <w:pStyle w:val="18"/>
        <w:ind w:firstLine="0"/>
      </w:pPr>
    </w:p>
    <w:p w14:paraId="0C9654F4">
      <w:pPr>
        <w:pStyle w:val="18"/>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40A8CFAB">
      <w:pPr>
        <w:spacing w:after="60" w:afterLines="25" w:line="520" w:lineRule="exact"/>
        <w:rPr>
          <w:rFonts w:ascii="宋体" w:hAnsi="宋体"/>
          <w:b/>
          <w:bCs/>
          <w:sz w:val="44"/>
          <w:szCs w:val="44"/>
        </w:rPr>
      </w:pPr>
    </w:p>
    <w:p w14:paraId="10F25739">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7B581107">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 ：</w:t>
      </w:r>
      <w:bookmarkStart w:id="0" w:name="EB59c3faf64f2a4bd092a206fb1d0c3c03"/>
      <w:r>
        <w:rPr>
          <w:rFonts w:hint="eastAsia" w:asciiTheme="minorEastAsia" w:hAnsiTheme="minorEastAsia" w:eastAsiaTheme="minorEastAsia"/>
          <w:b/>
          <w:w w:val="90"/>
          <w:kern w:val="0"/>
          <w:sz w:val="32"/>
          <w:szCs w:val="32"/>
          <w:lang w:eastAsia="zh-CN"/>
        </w:rPr>
        <w:t>2026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9</w:t>
      </w:r>
      <w:r>
        <w:rPr>
          <w:rFonts w:hint="eastAsia" w:asciiTheme="minorEastAsia" w:hAnsiTheme="minorEastAsia" w:eastAsiaTheme="minorEastAsia"/>
          <w:b/>
          <w:w w:val="90"/>
          <w:kern w:val="0"/>
          <w:sz w:val="32"/>
          <w:szCs w:val="32"/>
        </w:rPr>
        <w:t>月</w:t>
      </w:r>
      <w:bookmarkEnd w:id="0"/>
    </w:p>
    <w:p w14:paraId="7A3D8C3B">
      <w:pPr>
        <w:rPr>
          <w:b/>
          <w:w w:val="90"/>
          <w:kern w:val="0"/>
        </w:rPr>
      </w:pPr>
    </w:p>
    <w:p w14:paraId="6B0108F4">
      <w:pPr>
        <w:spacing w:after="60" w:afterLines="25" w:line="520" w:lineRule="exact"/>
        <w:jc w:val="center"/>
        <w:rPr>
          <w:rFonts w:ascii="宋体" w:hAnsi="宋体"/>
          <w:b/>
          <w:bCs/>
          <w:sz w:val="44"/>
          <w:szCs w:val="44"/>
        </w:rPr>
      </w:pPr>
    </w:p>
    <w:p w14:paraId="12928D06">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56F3AE9F">
      <w:pPr>
        <w:pStyle w:val="4"/>
      </w:pPr>
    </w:p>
    <w:p w14:paraId="2FF71B70">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5E28B9FA">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309C767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u w:val="single"/>
        </w:rPr>
        <w:t>扬州大学附属医院</w:t>
      </w:r>
      <w:r>
        <w:rPr>
          <w:rFonts w:hint="eastAsia" w:ascii="宋体" w:hAnsi="宋体" w:cs="宋体"/>
          <w:snapToGrid w:val="0"/>
          <w:kern w:val="0"/>
          <w:sz w:val="24"/>
          <w:u w:val="single"/>
          <w:lang w:val="en-US" w:eastAsia="zh-CN"/>
        </w:rPr>
        <w:t>西区行政楼配电房主备电源电箱安装工程</w:t>
      </w:r>
      <w:r>
        <w:rPr>
          <w:rFonts w:hint="eastAsia" w:ascii="宋体" w:hAnsi="宋体" w:cs="宋体"/>
          <w:snapToGrid w:val="0"/>
          <w:kern w:val="0"/>
          <w:sz w:val="24"/>
        </w:rPr>
        <w:t>进行邀请招标。现诚邀贵方对该项目进行投标，并将有关项目概况及事宜告知如下：</w:t>
      </w:r>
    </w:p>
    <w:p w14:paraId="4EA5BE7B">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1.项目名称：扬州大学附属医院</w:t>
      </w:r>
      <w:r>
        <w:rPr>
          <w:rFonts w:hint="eastAsia" w:ascii="宋体" w:hAnsi="宋体" w:cs="宋体"/>
          <w:b w:val="0"/>
          <w:bCs w:val="0"/>
          <w:snapToGrid w:val="0"/>
          <w:kern w:val="0"/>
          <w:sz w:val="24"/>
          <w:lang w:val="en-US" w:eastAsia="zh-CN"/>
        </w:rPr>
        <w:t>西区行政楼配电房主备电源电箱安装工程</w:t>
      </w:r>
    </w:p>
    <w:p w14:paraId="53A56842">
      <w:pPr>
        <w:adjustRightInd w:val="0"/>
        <w:snapToGrid w:val="0"/>
        <w:spacing w:line="440" w:lineRule="exact"/>
        <w:ind w:firstLine="480" w:firstLineChars="200"/>
        <w:contextualSpacing/>
        <w:rPr>
          <w:rFonts w:hint="default" w:ascii="宋体" w:hAnsi="宋体" w:eastAsia="宋体" w:cs="宋体"/>
          <w:b w:val="0"/>
          <w:bCs w:val="0"/>
          <w:snapToGrid w:val="0"/>
          <w:kern w:val="0"/>
          <w:sz w:val="24"/>
          <w:lang w:val="en-US" w:eastAsia="zh-CN"/>
        </w:rPr>
      </w:pPr>
      <w:r>
        <w:rPr>
          <w:rFonts w:hint="eastAsia" w:ascii="宋体" w:hAnsi="宋体" w:cs="宋体"/>
          <w:b w:val="0"/>
          <w:bCs w:val="0"/>
          <w:snapToGrid w:val="0"/>
          <w:kern w:val="0"/>
          <w:sz w:val="24"/>
        </w:rPr>
        <w:t>2.项目地点：</w:t>
      </w:r>
      <w:r>
        <w:rPr>
          <w:rFonts w:hint="eastAsia" w:ascii="宋体" w:hAnsi="宋体" w:cs="宋体"/>
          <w:b w:val="0"/>
          <w:bCs w:val="0"/>
          <w:snapToGrid w:val="0"/>
          <w:kern w:val="0"/>
          <w:sz w:val="24"/>
          <w:lang w:val="en-US" w:eastAsia="zh-CN"/>
        </w:rPr>
        <w:t>扬州大学附属医院西区行政楼楼1层</w:t>
      </w:r>
    </w:p>
    <w:p w14:paraId="4599E946">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3.最高限价：</w:t>
      </w:r>
      <w:r>
        <w:rPr>
          <w:rFonts w:hint="eastAsia" w:ascii="宋体" w:hAnsi="宋体" w:cs="宋体"/>
          <w:b w:val="0"/>
          <w:bCs w:val="0"/>
          <w:snapToGrid w:val="0"/>
          <w:kern w:val="0"/>
          <w:sz w:val="24"/>
          <w:lang w:val="en-US" w:eastAsia="zh-CN"/>
        </w:rPr>
        <w:t>1.65</w:t>
      </w:r>
      <w:r>
        <w:rPr>
          <w:rFonts w:hint="eastAsia" w:ascii="宋体" w:hAnsi="宋体" w:cs="宋体"/>
          <w:b w:val="0"/>
          <w:bCs w:val="0"/>
          <w:snapToGrid w:val="0"/>
          <w:kern w:val="0"/>
          <w:sz w:val="24"/>
        </w:rPr>
        <w:t>万元，投标报价高于最高限价作废标处理</w:t>
      </w:r>
    </w:p>
    <w:p w14:paraId="0C830CBE">
      <w:pPr>
        <w:adjustRightInd w:val="0"/>
        <w:snapToGrid w:val="0"/>
        <w:spacing w:line="440" w:lineRule="exact"/>
        <w:ind w:firstLine="480" w:firstLineChars="200"/>
        <w:contextualSpacing/>
        <w:rPr>
          <w:rFonts w:ascii="宋体" w:hAnsi="宋体" w:cs="宋体"/>
          <w:b/>
          <w:bCs/>
          <w:snapToGrid w:val="0"/>
          <w:kern w:val="0"/>
          <w:sz w:val="24"/>
        </w:rPr>
      </w:pPr>
      <w:r>
        <w:rPr>
          <w:rFonts w:hint="eastAsia" w:ascii="宋体" w:hAnsi="宋体" w:cs="宋体"/>
          <w:b w:val="0"/>
          <w:bCs w:val="0"/>
          <w:snapToGrid w:val="0"/>
          <w:kern w:val="0"/>
          <w:sz w:val="24"/>
        </w:rPr>
        <w:t>4.工期：</w:t>
      </w:r>
      <w:r>
        <w:rPr>
          <w:rFonts w:hint="eastAsia" w:ascii="宋体" w:hAnsi="宋体" w:cs="宋体"/>
          <w:b w:val="0"/>
          <w:bCs w:val="0"/>
          <w:snapToGrid w:val="0"/>
          <w:kern w:val="0"/>
          <w:sz w:val="24"/>
          <w:lang w:val="en-US" w:eastAsia="zh-CN"/>
        </w:rPr>
        <w:t>15</w:t>
      </w:r>
      <w:r>
        <w:rPr>
          <w:rFonts w:hint="eastAsia" w:ascii="宋体" w:hAnsi="宋体" w:cs="宋体"/>
          <w:b w:val="0"/>
          <w:bCs w:val="0"/>
          <w:snapToGrid w:val="0"/>
          <w:kern w:val="0"/>
          <w:sz w:val="24"/>
        </w:rPr>
        <w:t>个日历天</w:t>
      </w:r>
    </w:p>
    <w:p w14:paraId="4FDCFEB9">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4.投标人企业资质条件：</w:t>
      </w:r>
    </w:p>
    <w:p w14:paraId="00A56C0D">
      <w:pPr>
        <w:adjustRightInd w:val="0"/>
        <w:snapToGrid w:val="0"/>
        <w:spacing w:line="440" w:lineRule="exact"/>
        <w:ind w:firstLine="480" w:firstLineChars="200"/>
        <w:contextualSpacing/>
        <w:rPr>
          <w:rFonts w:ascii="宋体" w:hAnsi="宋体"/>
          <w:b w:val="0"/>
          <w:bCs w:val="0"/>
          <w:sz w:val="24"/>
        </w:rPr>
      </w:pPr>
      <w:r>
        <w:rPr>
          <w:rFonts w:hint="eastAsia" w:ascii="宋体" w:hAnsi="宋体" w:cs="宋体"/>
          <w:b w:val="0"/>
          <w:bCs w:val="0"/>
          <w:snapToGrid w:val="0"/>
          <w:kern w:val="0"/>
          <w:sz w:val="24"/>
        </w:rPr>
        <w:t>4.1投标人应具备《中华人民</w:t>
      </w:r>
      <w:r>
        <w:rPr>
          <w:rFonts w:hint="eastAsia" w:ascii="宋体" w:hAnsi="宋体"/>
          <w:b w:val="0"/>
          <w:bCs w:val="0"/>
          <w:sz w:val="24"/>
        </w:rPr>
        <w:t>共和国政府采购法》第二十二条规定的条件；</w:t>
      </w:r>
    </w:p>
    <w:p w14:paraId="65869377">
      <w:pPr>
        <w:tabs>
          <w:tab w:val="left" w:pos="0"/>
        </w:tabs>
        <w:adjustRightInd w:val="0"/>
        <w:snapToGrid w:val="0"/>
        <w:spacing w:line="440" w:lineRule="exact"/>
        <w:ind w:firstLine="480" w:firstLineChars="200"/>
        <w:contextualSpacing/>
        <w:rPr>
          <w:rFonts w:hint="eastAsia" w:ascii="宋体" w:hAnsi="宋体" w:eastAsia="宋体" w:cs="Times New Roman"/>
          <w:b w:val="0"/>
          <w:bCs w:val="0"/>
          <w:sz w:val="24"/>
        </w:rPr>
      </w:pPr>
      <w:r>
        <w:rPr>
          <w:rFonts w:hint="eastAsia" w:ascii="宋体" w:hAnsi="宋体"/>
          <w:b w:val="0"/>
          <w:bCs w:val="0"/>
          <w:sz w:val="24"/>
        </w:rPr>
        <w:t>4.2供应商未被“信用中国”网站（www.creditchina.gov.cn）、“中国政府采购网”(www.ccgp.gov.cn)列入失信被执行人、重大税收违法案件当事人名</w:t>
      </w:r>
      <w:r>
        <w:rPr>
          <w:rFonts w:hint="eastAsia" w:ascii="宋体" w:hAnsi="宋体" w:eastAsia="宋体" w:cs="Times New Roman"/>
          <w:b w:val="0"/>
          <w:bCs w:val="0"/>
          <w:sz w:val="24"/>
        </w:rPr>
        <w:t>单、政府采购严重违法失信行为记录名单。</w:t>
      </w:r>
    </w:p>
    <w:p w14:paraId="01EE26D1">
      <w:pPr>
        <w:tabs>
          <w:tab w:val="left" w:pos="0"/>
        </w:tabs>
        <w:adjustRightInd w:val="0"/>
        <w:snapToGrid w:val="0"/>
        <w:spacing w:line="440" w:lineRule="exact"/>
        <w:ind w:firstLine="482" w:firstLineChars="200"/>
        <w:contextualSpacing/>
        <w:rPr>
          <w:rFonts w:hint="eastAsia" w:ascii="宋体" w:hAnsi="宋体" w:eastAsia="宋体" w:cs="Times New Roman"/>
          <w:b/>
          <w:bCs/>
          <w:sz w:val="24"/>
        </w:rPr>
      </w:pPr>
      <w:r>
        <w:rPr>
          <w:rFonts w:hint="eastAsia" w:ascii="宋体" w:hAnsi="宋体" w:eastAsia="宋体" w:cs="Times New Roman"/>
          <w:b/>
          <w:bCs/>
          <w:sz w:val="24"/>
        </w:rPr>
        <w:t>4.3企业资质：具备建筑机电安装工程专业承包三级及以上或机电工程施工总承包三级及以上资质或电力工程施工总承包三级及以上，并取得有效的安全生产许可证。</w:t>
      </w:r>
    </w:p>
    <w:p w14:paraId="417F27C4">
      <w:pPr>
        <w:tabs>
          <w:tab w:val="left" w:pos="0"/>
        </w:tabs>
        <w:adjustRightInd w:val="0"/>
        <w:snapToGrid w:val="0"/>
        <w:spacing w:line="440" w:lineRule="exact"/>
        <w:ind w:firstLine="482" w:firstLineChars="200"/>
        <w:contextualSpacing/>
        <w:rPr>
          <w:rFonts w:hint="default" w:ascii="宋体" w:hAnsi="宋体"/>
          <w:b/>
          <w:bCs/>
          <w:color w:val="000000"/>
          <w:sz w:val="24"/>
          <w:lang w:val="en-US" w:eastAsia="zh-CN"/>
        </w:rPr>
      </w:pPr>
      <w:r>
        <w:rPr>
          <w:rFonts w:hint="eastAsia" w:ascii="宋体" w:hAnsi="宋体"/>
          <w:b/>
          <w:bCs/>
          <w:sz w:val="24"/>
        </w:rPr>
        <w:t>4.4供应商拟派项目经理具有机电工程专业二级及以上注册建造师执业资格且具备有效的B类安全生产考核合格证书。</w:t>
      </w:r>
    </w:p>
    <w:p w14:paraId="16ED76CF">
      <w:pPr>
        <w:adjustRightInd w:val="0"/>
        <w:snapToGrid w:val="0"/>
        <w:spacing w:line="440" w:lineRule="exact"/>
        <w:ind w:firstLine="480" w:firstLineChars="200"/>
        <w:contextualSpacing/>
        <w:rPr>
          <w:rFonts w:ascii="宋体" w:hAnsi="宋体"/>
          <w:b w:val="0"/>
          <w:bCs w:val="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.拒绝下述供应商参加本次采购活动：</w:t>
      </w:r>
    </w:p>
    <w:p w14:paraId="2AA54138">
      <w:pPr>
        <w:adjustRightInd w:val="0"/>
        <w:snapToGrid w:val="0"/>
        <w:spacing w:line="440" w:lineRule="exact"/>
        <w:ind w:firstLine="480" w:firstLineChars="200"/>
        <w:contextualSpacing/>
        <w:rPr>
          <w:rFonts w:ascii="宋体" w:hAnsi="宋体"/>
          <w:b w:val="0"/>
          <w:bCs w:val="0"/>
          <w:color w:val="00000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.1供应商单位负责人为同一人或者存在直接控股、管理关系的不同供应商，不得参加同一协议项下的政府采购活动。</w:t>
      </w:r>
    </w:p>
    <w:p w14:paraId="2749552B">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lang w:val="en-US" w:eastAsia="zh-CN"/>
        </w:rPr>
        <w:t>5</w:t>
      </w:r>
      <w:r>
        <w:rPr>
          <w:rFonts w:hint="eastAsia" w:ascii="宋体" w:hAnsi="宋体" w:cs="宋体"/>
          <w:color w:val="000000"/>
          <w:sz w:val="24"/>
        </w:rPr>
        <w:t>.2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4F9A117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lang w:val="en-US" w:eastAsia="zh-CN"/>
        </w:rPr>
        <w:t>6</w:t>
      </w:r>
      <w:r>
        <w:rPr>
          <w:rFonts w:hint="eastAsia" w:ascii="宋体" w:hAnsi="宋体" w:cs="微软雅黑"/>
          <w:color w:val="000000"/>
          <w:sz w:val="24"/>
        </w:rPr>
        <w:t>.被邀请的单位可以拒绝对本单位的投标邀请书做出报价，但一经做出报价，即被视为认可以上要求，且不可撤回。否则本单位在此后的三年内，将拒绝该公司参加本单位的所有采购活动。</w:t>
      </w:r>
    </w:p>
    <w:p w14:paraId="5C0393AB">
      <w:pPr>
        <w:tabs>
          <w:tab w:val="left" w:pos="1080"/>
          <w:tab w:val="left" w:pos="1155"/>
        </w:tabs>
        <w:adjustRightInd w:val="0"/>
        <w:snapToGrid w:val="0"/>
        <w:spacing w:line="440" w:lineRule="exact"/>
        <w:ind w:firstLine="480" w:firstLineChars="200"/>
        <w:contextualSpacing/>
        <w:jc w:val="left"/>
        <w:rPr>
          <w:rFonts w:hAnsi="宋体" w:cs="仿宋"/>
          <w:b w:val="0"/>
          <w:bCs w:val="0"/>
          <w:snapToGrid w:val="0"/>
          <w:sz w:val="24"/>
        </w:rPr>
      </w:pPr>
      <w:r>
        <w:rPr>
          <w:rFonts w:hint="eastAsia" w:ascii="宋体" w:hAnsi="宋体" w:cs="微软雅黑"/>
          <w:b w:val="0"/>
          <w:bCs w:val="0"/>
          <w:sz w:val="24"/>
          <w:lang w:val="en-US" w:eastAsia="zh-CN"/>
        </w:rPr>
        <w:t>7</w:t>
      </w:r>
      <w:r>
        <w:rPr>
          <w:rFonts w:hint="eastAsia" w:ascii="宋体" w:hAnsi="宋体" w:cs="微软雅黑"/>
          <w:b w:val="0"/>
          <w:bCs w:val="0"/>
          <w:sz w:val="24"/>
        </w:rPr>
        <w:t>.投标报价采用固定单价方式，</w:t>
      </w:r>
      <w:r>
        <w:rPr>
          <w:rFonts w:hint="eastAsia" w:hAnsi="宋体" w:cs="仿宋"/>
          <w:b w:val="0"/>
          <w:bCs w:val="0"/>
          <w:snapToGrid w:val="0"/>
          <w:sz w:val="24"/>
        </w:rPr>
        <w:t>合同价款中包括的风险范围：全部风险已包含在投标报价中，承包人投标时已充分考虑风险范围，并计算风险系数。</w:t>
      </w:r>
    </w:p>
    <w:p w14:paraId="341655D8">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lang w:val="en-US" w:eastAsia="zh-CN"/>
        </w:rPr>
        <w:t>8</w:t>
      </w:r>
      <w:r>
        <w:rPr>
          <w:rFonts w:hint="eastAsia" w:ascii="宋体" w:hAnsi="宋体" w:cs="宋体"/>
          <w:b w:val="0"/>
          <w:bCs w:val="0"/>
          <w:snapToGrid w:val="0"/>
          <w:kern w:val="0"/>
          <w:sz w:val="24"/>
        </w:rPr>
        <w:t>.评标办法：询价小组在报价截止时间后对收到的合格报价文件组织评审，评标采用最低价中标。</w:t>
      </w:r>
    </w:p>
    <w:p w14:paraId="0A83D4E4">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lang w:val="en-US" w:eastAsia="zh-CN"/>
        </w:rPr>
        <w:t>9</w:t>
      </w:r>
      <w:r>
        <w:rPr>
          <w:rFonts w:hint="eastAsia" w:ascii="宋体" w:hAnsi="宋体" w:cs="宋体"/>
          <w:snapToGrid w:val="0"/>
          <w:kern w:val="0"/>
          <w:sz w:val="24"/>
        </w:rPr>
        <w:t>.协议结算方式：本协议价款采用固定单价协议方式确定。</w:t>
      </w:r>
    </w:p>
    <w:p w14:paraId="2878DAF2">
      <w:pPr>
        <w:tabs>
          <w:tab w:val="left" w:pos="0"/>
        </w:tabs>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1</w:t>
      </w:r>
      <w:r>
        <w:rPr>
          <w:rFonts w:hint="eastAsia" w:ascii="宋体" w:hAnsi="宋体" w:cs="宋体"/>
          <w:b/>
          <w:bCs/>
          <w:snapToGrid w:val="0"/>
          <w:kern w:val="0"/>
          <w:sz w:val="24"/>
          <w:lang w:val="en-US" w:eastAsia="zh-CN"/>
        </w:rPr>
        <w:t>0</w:t>
      </w:r>
      <w:r>
        <w:rPr>
          <w:rFonts w:hint="eastAsia" w:ascii="宋体" w:hAnsi="宋体" w:cs="宋体"/>
          <w:b/>
          <w:bCs/>
          <w:snapToGrid w:val="0"/>
          <w:kern w:val="0"/>
          <w:sz w:val="24"/>
        </w:rPr>
        <w:t>.项目款支付：双方约定的工程款(进度款)支付的方式和时间:中标价即为合同价。工程竣工验收合格，乙方凭甲方的验收单付至结算价的</w:t>
      </w:r>
      <w:r>
        <w:rPr>
          <w:rFonts w:hint="eastAsia" w:ascii="宋体" w:hAnsi="宋体" w:cs="宋体"/>
          <w:b/>
          <w:bCs/>
          <w:snapToGrid w:val="0"/>
          <w:kern w:val="0"/>
          <w:sz w:val="24"/>
          <w:lang w:val="en-US" w:eastAsia="zh-CN"/>
        </w:rPr>
        <w:t>97</w:t>
      </w:r>
      <w:r>
        <w:rPr>
          <w:rFonts w:hint="eastAsia" w:ascii="宋体" w:hAnsi="宋体" w:cs="宋体"/>
          <w:b/>
          <w:bCs/>
          <w:snapToGrid w:val="0"/>
          <w:kern w:val="0"/>
          <w:sz w:val="24"/>
        </w:rPr>
        <w:t>％</w:t>
      </w:r>
      <w:r>
        <w:rPr>
          <w:rFonts w:hint="eastAsia" w:ascii="宋体" w:hAnsi="宋体" w:cs="宋体"/>
          <w:b/>
          <w:bCs/>
          <w:snapToGrid w:val="0"/>
          <w:kern w:val="0"/>
          <w:sz w:val="24"/>
          <w:lang w:eastAsia="zh-CN"/>
        </w:rPr>
        <w:t>，余款审计价的3%作为质量保证金待保修期满后且无违约行为扣除维修金后返还（以上均不计息）</w:t>
      </w:r>
      <w:r>
        <w:rPr>
          <w:rFonts w:hint="eastAsia" w:ascii="宋体" w:hAnsi="宋体" w:cs="宋体"/>
          <w:b/>
          <w:bCs/>
          <w:snapToGrid w:val="0"/>
          <w:kern w:val="0"/>
          <w:sz w:val="24"/>
        </w:rPr>
        <w:t>（以上均不计息）。（施工过程中严格控制变更，最终工程结算价不得超出合同价的10%，超出部分由施工单位自行承担）</w:t>
      </w:r>
    </w:p>
    <w:p w14:paraId="6C163691">
      <w:pPr>
        <w:shd w:val="clear" w:color="auto" w:fill="D7D7D7" w:themeFill="background1" w:themeFillShade="D8"/>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1</w:t>
      </w:r>
      <w:r>
        <w:rPr>
          <w:rFonts w:hint="eastAsia" w:ascii="宋体" w:hAnsi="宋体" w:cs="宋体"/>
          <w:snapToGrid w:val="0"/>
          <w:kern w:val="0"/>
          <w:sz w:val="24"/>
        </w:rPr>
        <w:t>.标书送达时间：</w:t>
      </w:r>
      <w:r>
        <w:rPr>
          <w:rFonts w:hint="eastAsia" w:ascii="宋体" w:hAnsi="宋体" w:cs="宋体"/>
          <w:snapToGrid w:val="0"/>
          <w:kern w:val="0"/>
          <w:sz w:val="24"/>
          <w:lang w:eastAsia="zh-CN"/>
        </w:rPr>
        <w:t>2026</w:t>
      </w:r>
      <w:r>
        <w:rPr>
          <w:rFonts w:hint="eastAsia" w:ascii="宋体" w:hAnsi="宋体" w:cs="宋体"/>
          <w:snapToGrid w:val="0"/>
          <w:kern w:val="0"/>
          <w:sz w:val="24"/>
        </w:rPr>
        <w:t>年</w:t>
      </w:r>
      <w:r>
        <w:rPr>
          <w:rFonts w:hint="eastAsia" w:ascii="宋体" w:hAnsi="宋体" w:cs="宋体"/>
          <w:snapToGrid w:val="0"/>
          <w:kern w:val="0"/>
          <w:sz w:val="24"/>
          <w:lang w:val="en-US" w:eastAsia="zh-CN"/>
        </w:rPr>
        <w:t>9</w:t>
      </w:r>
      <w:r>
        <w:rPr>
          <w:rFonts w:hint="eastAsia" w:ascii="宋体" w:hAnsi="宋体" w:cs="宋体"/>
          <w:snapToGrid w:val="0"/>
          <w:kern w:val="0"/>
          <w:sz w:val="24"/>
        </w:rPr>
        <w:t>月</w:t>
      </w:r>
      <w:r>
        <w:rPr>
          <w:rFonts w:hint="eastAsia" w:ascii="宋体" w:hAnsi="宋体" w:cs="宋体"/>
          <w:snapToGrid w:val="0"/>
          <w:kern w:val="0"/>
          <w:sz w:val="24"/>
          <w:lang w:val="en-US" w:eastAsia="zh-CN"/>
        </w:rPr>
        <w:t>4</w:t>
      </w:r>
      <w:r>
        <w:rPr>
          <w:rFonts w:hint="eastAsia" w:ascii="宋体" w:hAnsi="宋体" w:cs="宋体"/>
          <w:snapToGrid w:val="0"/>
          <w:kern w:val="0"/>
          <w:sz w:val="24"/>
        </w:rPr>
        <w:t>日</w:t>
      </w:r>
      <w:r>
        <w:rPr>
          <w:rFonts w:hint="eastAsia" w:ascii="宋体" w:hAnsi="宋体" w:cs="宋体"/>
          <w:snapToGrid w:val="0"/>
          <w:kern w:val="0"/>
          <w:sz w:val="24"/>
          <w:lang w:val="en-US" w:eastAsia="zh-CN"/>
        </w:rPr>
        <w:t>9</w:t>
      </w:r>
      <w:r>
        <w:rPr>
          <w:rFonts w:hint="eastAsia" w:ascii="宋体" w:hAnsi="宋体" w:cs="宋体"/>
          <w:snapToGrid w:val="0"/>
          <w:kern w:val="0"/>
          <w:sz w:val="24"/>
        </w:rPr>
        <w:t>：30前（北京时间）</w:t>
      </w:r>
    </w:p>
    <w:p w14:paraId="6BBF8C93">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标书送达地址：扬州市邗江中路368号扬州大学附属医院（西区医院）行政楼四楼采购中心412办公室</w:t>
      </w:r>
      <w:r>
        <w:rPr>
          <w:rFonts w:ascii="宋体" w:hAnsi="宋体" w:cs="宋体"/>
          <w:snapToGrid w:val="0"/>
          <w:kern w:val="0"/>
          <w:sz w:val="24"/>
        </w:rPr>
        <w:t xml:space="preserve"> </w:t>
      </w:r>
    </w:p>
    <w:p w14:paraId="2763CBB7">
      <w:pPr>
        <w:pStyle w:val="17"/>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14:paraId="6BA71BF8">
      <w:pPr>
        <w:adjustRightInd w:val="0"/>
        <w:snapToGrid w:val="0"/>
        <w:spacing w:line="420" w:lineRule="exact"/>
        <w:ind w:firstLine="480" w:firstLineChars="200"/>
        <w:contextualSpacing/>
        <w:rPr>
          <w:rStyle w:val="36"/>
          <w:rFonts w:ascii="宋体" w:hAnsi="宋体"/>
          <w:sz w:val="24"/>
        </w:rPr>
      </w:pPr>
      <w:r>
        <w:rPr>
          <w:rStyle w:val="36"/>
          <w:rFonts w:hint="eastAsia" w:ascii="宋体" w:hAnsi="宋体"/>
          <w:sz w:val="24"/>
        </w:rPr>
        <w:t>1</w:t>
      </w:r>
      <w:r>
        <w:rPr>
          <w:rStyle w:val="36"/>
          <w:rFonts w:hint="eastAsia" w:ascii="宋体" w:hAnsi="宋体"/>
          <w:sz w:val="24"/>
          <w:lang w:val="en-US" w:eastAsia="zh-CN"/>
        </w:rPr>
        <w:t>2</w:t>
      </w:r>
      <w:r>
        <w:rPr>
          <w:rStyle w:val="36"/>
          <w:rFonts w:hint="eastAsia" w:ascii="宋体" w:hAnsi="宋体"/>
          <w:sz w:val="24"/>
        </w:rPr>
        <w:t>.</w:t>
      </w:r>
      <w:r>
        <w:rPr>
          <w:rStyle w:val="36"/>
          <w:rFonts w:ascii="宋体" w:hAnsi="宋体"/>
          <w:sz w:val="24"/>
        </w:rPr>
        <w:t>开标有关信息</w:t>
      </w:r>
    </w:p>
    <w:p w14:paraId="76462675">
      <w:pPr>
        <w:adjustRightInd w:val="0"/>
        <w:snapToGrid w:val="0"/>
        <w:spacing w:line="420" w:lineRule="exact"/>
        <w:ind w:firstLine="480" w:firstLineChars="200"/>
        <w:contextualSpacing/>
        <w:rPr>
          <w:rStyle w:val="36"/>
          <w:rFonts w:ascii="宋体" w:hAnsi="宋体"/>
          <w:color w:val="000000"/>
          <w:sz w:val="24"/>
          <w:highlight w:val="lightGray"/>
        </w:rPr>
      </w:pPr>
      <w:r>
        <w:rPr>
          <w:rStyle w:val="36"/>
          <w:rFonts w:ascii="宋体" w:hAnsi="宋体"/>
          <w:b w:val="0"/>
          <w:bCs w:val="0"/>
          <w:sz w:val="24"/>
          <w:highlight w:val="lightGray"/>
        </w:rPr>
        <w:t>开标时间：</w:t>
      </w:r>
      <w:r>
        <w:rPr>
          <w:rStyle w:val="36"/>
          <w:rFonts w:hint="eastAsia" w:ascii="宋体" w:hAnsi="宋体"/>
          <w:b w:val="0"/>
          <w:bCs w:val="0"/>
          <w:sz w:val="24"/>
          <w:highlight w:val="lightGray"/>
          <w:lang w:eastAsia="zh-CN"/>
        </w:rPr>
        <w:t>2026</w:t>
      </w:r>
      <w:r>
        <w:rPr>
          <w:rStyle w:val="36"/>
          <w:rFonts w:ascii="宋体" w:hAnsi="宋体"/>
          <w:b w:val="0"/>
          <w:bCs w:val="0"/>
          <w:sz w:val="24"/>
          <w:highlight w:val="lightGray"/>
        </w:rPr>
        <w:t>年</w:t>
      </w:r>
      <w:r>
        <w:rPr>
          <w:rStyle w:val="36"/>
          <w:rFonts w:hint="eastAsia" w:ascii="宋体" w:hAnsi="宋体"/>
          <w:b w:val="0"/>
          <w:bCs w:val="0"/>
          <w:sz w:val="24"/>
          <w:highlight w:val="lightGray"/>
          <w:lang w:val="en-US" w:eastAsia="zh-CN"/>
        </w:rPr>
        <w:t>9</w:t>
      </w:r>
      <w:r>
        <w:rPr>
          <w:rStyle w:val="36"/>
          <w:rFonts w:ascii="宋体" w:hAnsi="宋体"/>
          <w:b w:val="0"/>
          <w:bCs w:val="0"/>
          <w:sz w:val="24"/>
          <w:highlight w:val="lightGray"/>
        </w:rPr>
        <w:t>月</w:t>
      </w:r>
      <w:r>
        <w:rPr>
          <w:rStyle w:val="36"/>
          <w:rFonts w:hint="eastAsia" w:ascii="宋体" w:hAnsi="宋体"/>
          <w:b w:val="0"/>
          <w:bCs w:val="0"/>
          <w:sz w:val="24"/>
          <w:highlight w:val="lightGray"/>
          <w:lang w:val="en-US" w:eastAsia="zh-CN"/>
        </w:rPr>
        <w:t>4</w:t>
      </w:r>
      <w:r>
        <w:rPr>
          <w:rStyle w:val="36"/>
          <w:rFonts w:ascii="宋体" w:hAnsi="宋体"/>
          <w:b w:val="0"/>
          <w:bCs w:val="0"/>
          <w:sz w:val="24"/>
          <w:highlight w:val="lightGray"/>
        </w:rPr>
        <w:t>日</w:t>
      </w:r>
      <w:r>
        <w:rPr>
          <w:rStyle w:val="36"/>
          <w:rFonts w:hint="eastAsia" w:ascii="宋体" w:hAnsi="宋体"/>
          <w:b w:val="0"/>
          <w:bCs w:val="0"/>
          <w:sz w:val="24"/>
          <w:highlight w:val="lightGray"/>
          <w:lang w:val="en-US" w:eastAsia="zh-CN"/>
        </w:rPr>
        <w:t>9：30</w:t>
      </w:r>
      <w:r>
        <w:rPr>
          <w:rStyle w:val="36"/>
          <w:rFonts w:ascii="宋体" w:hAnsi="宋体"/>
          <w:b w:val="0"/>
          <w:bCs w:val="0"/>
          <w:sz w:val="24"/>
          <w:highlight w:val="lightGray"/>
        </w:rPr>
        <w:t>（北</w:t>
      </w:r>
      <w:r>
        <w:rPr>
          <w:rStyle w:val="36"/>
          <w:rFonts w:ascii="宋体" w:hAnsi="宋体"/>
          <w:b w:val="0"/>
          <w:bCs w:val="0"/>
          <w:color w:val="000000"/>
          <w:sz w:val="24"/>
          <w:highlight w:val="lightGray"/>
        </w:rPr>
        <w:t>京时间）</w:t>
      </w:r>
    </w:p>
    <w:p w14:paraId="5C6745B6">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扬州市邗江中路368号扬州大学附属医院（西区医院）行政楼四楼采购中心412室</w:t>
      </w:r>
    </w:p>
    <w:p w14:paraId="288A0719">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.投标有效期为45日历天内有效。</w:t>
      </w:r>
    </w:p>
    <w:p w14:paraId="0E125969">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4</w:t>
      </w:r>
      <w:r>
        <w:rPr>
          <w:rFonts w:hint="eastAsia" w:ascii="宋体" w:hAnsi="宋体" w:cs="宋体"/>
          <w:snapToGrid w:val="0"/>
          <w:spacing w:val="-4"/>
          <w:kern w:val="0"/>
          <w:sz w:val="24"/>
        </w:rPr>
        <w:t>.投标相关格式附后。</w:t>
      </w:r>
    </w:p>
    <w:p w14:paraId="416FCDF6">
      <w:pPr>
        <w:tabs>
          <w:tab w:val="left" w:pos="0"/>
        </w:tabs>
        <w:adjustRightInd w:val="0"/>
        <w:snapToGrid w:val="0"/>
        <w:spacing w:line="440" w:lineRule="exact"/>
        <w:ind w:firstLine="480" w:firstLineChars="200"/>
        <w:contextualSpacing/>
        <w:rPr>
          <w:rFonts w:ascii="宋体" w:hAnsi="宋体" w:cs="宋体"/>
          <w:b/>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5</w:t>
      </w:r>
      <w:r>
        <w:rPr>
          <w:rFonts w:hint="eastAsia" w:ascii="宋体" w:hAnsi="宋体" w:cs="宋体"/>
          <w:bCs/>
          <w:snapToGrid w:val="0"/>
          <w:kern w:val="0"/>
          <w:sz w:val="24"/>
        </w:rPr>
        <w:t>.</w:t>
      </w:r>
      <w:r>
        <w:rPr>
          <w:rFonts w:hint="eastAsia" w:ascii="宋体" w:hAnsi="宋体" w:cs="宋体"/>
          <w:b/>
          <w:snapToGrid w:val="0"/>
          <w:spacing w:val="-4"/>
          <w:kern w:val="0"/>
          <w:sz w:val="24"/>
        </w:rPr>
        <w:t>供应商如确定参加投标，请如实填写《供应商参加投标确认函》并盖章扫描，并将扫描的加盖公章的确认函和营业执照复印件及授权委托书于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日17：</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0前发送至电子邮箱（50891671@qq.com）（联系电话：0514-82099552）。</w:t>
      </w:r>
      <w:r>
        <w:rPr>
          <w:rFonts w:ascii="宋体" w:hAnsi="宋体" w:cs="宋体"/>
          <w:b/>
          <w:snapToGrid w:val="0"/>
          <w:spacing w:val="-4"/>
          <w:kern w:val="0"/>
          <w:sz w:val="24"/>
        </w:rPr>
        <w:t>邮件名称为投标公司名称+所投项目名称，未按规定格式填写发送视为无效报名</w:t>
      </w:r>
      <w:r>
        <w:rPr>
          <w:rFonts w:hint="eastAsia" w:ascii="宋体" w:hAnsi="宋体" w:cs="宋体"/>
          <w:b/>
          <w:snapToGrid w:val="0"/>
          <w:spacing w:val="-4"/>
          <w:kern w:val="0"/>
          <w:sz w:val="24"/>
        </w:rPr>
        <w:t>。</w:t>
      </w:r>
    </w:p>
    <w:p w14:paraId="2EB58518">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.如贵方确认参加投标，可凭投标确认函原件、营业执照、法人授权委托书原件、经办人身份证复印件、投标函原件、投标函附录原件（以上资料须加盖企业单位公章并密封递交）于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4</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：30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扬州市邗江中路368号，扬州大学附属医院行政楼四楼采购中心412办公室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66ABA7B7">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7</w:t>
      </w:r>
      <w:r>
        <w:rPr>
          <w:rFonts w:hint="eastAsia" w:ascii="宋体" w:hAnsi="宋体" w:cs="宋体"/>
          <w:snapToGrid w:val="0"/>
          <w:kern w:val="0"/>
          <w:sz w:val="24"/>
        </w:rPr>
        <w:t>.如有疑问，请贵方与采购人联络。</w:t>
      </w:r>
    </w:p>
    <w:p w14:paraId="0A7061DA">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44BE61B">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347A57B7">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06BEBB91">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napToGrid w:val="0"/>
          <w:kern w:val="0"/>
          <w:sz w:val="24"/>
        </w:rPr>
        <w:t>联系电话：0514—82099552</w:t>
      </w:r>
    </w:p>
    <w:p w14:paraId="00FF4F81">
      <w:pPr>
        <w:jc w:val="both"/>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A87CC88">
      <w:pPr>
        <w:jc w:val="center"/>
        <w:rPr>
          <w:rFonts w:ascii="宋体" w:hAnsi="宋体"/>
          <w:b/>
          <w:sz w:val="36"/>
          <w:szCs w:val="36"/>
        </w:rPr>
      </w:pPr>
      <w:r>
        <w:rPr>
          <w:rFonts w:hint="eastAsia" w:ascii="宋体" w:hAnsi="宋体"/>
          <w:b/>
          <w:sz w:val="36"/>
          <w:szCs w:val="36"/>
        </w:rPr>
        <w:t>二、项目需求</w:t>
      </w:r>
    </w:p>
    <w:p w14:paraId="52E83B4C">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sz w:val="24"/>
        </w:rPr>
      </w:pPr>
      <w:r>
        <w:rPr>
          <w:rFonts w:hint="eastAsia" w:asciiTheme="minorEastAsia" w:hAnsiTheme="minorEastAsia" w:eastAsiaTheme="minorEastAsia"/>
          <w:b/>
          <w:bCs/>
          <w:sz w:val="24"/>
        </w:rPr>
        <w:t>一、项目概况</w:t>
      </w:r>
    </w:p>
    <w:p w14:paraId="7FC4953B">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西区行政楼配电房主备电源电箱安装工程</w:t>
      </w:r>
    </w:p>
    <w:p w14:paraId="2455C080">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rPr>
        <w:t>2.项目地点：</w:t>
      </w:r>
      <w:r>
        <w:rPr>
          <w:rFonts w:hint="eastAsia" w:ascii="宋体" w:hAnsi="宋体" w:cs="宋体"/>
          <w:snapToGrid w:val="0"/>
          <w:kern w:val="0"/>
          <w:sz w:val="24"/>
          <w:lang w:val="en-US" w:eastAsia="zh-CN"/>
        </w:rPr>
        <w:t>扬州大学附属医院西区行政楼楼1层</w:t>
      </w:r>
    </w:p>
    <w:p w14:paraId="658EA367">
      <w:pPr>
        <w:adjustRightInd w:val="0"/>
        <w:snapToGrid w:val="0"/>
        <w:spacing w:line="440" w:lineRule="exact"/>
        <w:ind w:firstLine="480" w:firstLineChars="200"/>
        <w:contextualSpacing/>
        <w:rPr>
          <w:rFonts w:hint="eastAsia" w:ascii="宋体" w:hAnsi="宋体" w:eastAsia="宋体" w:cs="宋体"/>
          <w:snapToGrid w:val="0"/>
          <w:kern w:val="0"/>
          <w:sz w:val="24"/>
          <w:lang w:val="en-US" w:eastAsia="zh-CN"/>
        </w:rPr>
      </w:pPr>
      <w:r>
        <w:rPr>
          <w:rFonts w:hint="eastAsia" w:ascii="宋体" w:hAnsi="宋体" w:cs="宋体"/>
          <w:snapToGrid w:val="0"/>
          <w:kern w:val="0"/>
          <w:sz w:val="24"/>
          <w:lang w:val="en-US" w:eastAsia="zh-CN"/>
        </w:rPr>
        <w:t>3</w:t>
      </w:r>
      <w:r>
        <w:rPr>
          <w:rFonts w:hint="eastAsia" w:ascii="宋体" w:hAnsi="宋体" w:cs="宋体"/>
          <w:snapToGrid w:val="0"/>
          <w:kern w:val="0"/>
          <w:sz w:val="24"/>
        </w:rPr>
        <w:t>.工期要求：</w:t>
      </w:r>
      <w:r>
        <w:rPr>
          <w:rFonts w:hint="eastAsia" w:ascii="宋体" w:hAnsi="宋体" w:cs="宋体"/>
          <w:snapToGrid w:val="0"/>
          <w:kern w:val="0"/>
          <w:sz w:val="24"/>
          <w:lang w:val="en-US" w:eastAsia="zh-CN"/>
        </w:rPr>
        <w:t>15</w:t>
      </w:r>
      <w:r>
        <w:rPr>
          <w:rFonts w:hint="eastAsia" w:ascii="宋体" w:hAnsi="宋体" w:cs="宋体"/>
          <w:snapToGrid w:val="0"/>
          <w:kern w:val="0"/>
          <w:sz w:val="24"/>
        </w:rPr>
        <w:t>个日历天</w:t>
      </w:r>
      <w:r>
        <w:rPr>
          <w:rFonts w:hint="eastAsia" w:ascii="宋体" w:hAnsi="宋体" w:cs="宋体"/>
          <w:snapToGrid w:val="0"/>
          <w:kern w:val="0"/>
          <w:sz w:val="24"/>
          <w:lang w:eastAsia="zh-CN"/>
        </w:rPr>
        <w:t>，成交单位施工期间，不得以材料设备等订货周期不够等借口要求延长工期，必须采取各种措施保质保量坚决完成本次项目。</w:t>
      </w:r>
    </w:p>
    <w:p w14:paraId="63FAF18A">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4</w:t>
      </w:r>
      <w:r>
        <w:rPr>
          <w:rFonts w:hint="eastAsia" w:ascii="宋体" w:hAnsi="宋体" w:cs="宋体"/>
          <w:snapToGrid w:val="0"/>
          <w:kern w:val="0"/>
          <w:sz w:val="24"/>
        </w:rPr>
        <w:t>.合同签订时间：中标公告发出后15个日历天内（因中标单位原因造成超过期限未签订合同，视为自动放弃中标资格）</w:t>
      </w:r>
    </w:p>
    <w:p w14:paraId="6AA87881">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二、采购项目内容及要求</w:t>
      </w:r>
    </w:p>
    <w:tbl>
      <w:tblPr>
        <w:tblStyle w:val="20"/>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25"/>
        <w:gridCol w:w="870"/>
        <w:gridCol w:w="1005"/>
        <w:gridCol w:w="2546"/>
        <w:gridCol w:w="2655"/>
      </w:tblGrid>
      <w:tr w14:paraId="13E3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14:paraId="5B57D7F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序号</w:t>
            </w:r>
          </w:p>
        </w:tc>
        <w:tc>
          <w:tcPr>
            <w:tcW w:w="1425" w:type="dxa"/>
            <w:vAlign w:val="center"/>
          </w:tcPr>
          <w:p w14:paraId="2D83E8F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项目</w:t>
            </w:r>
          </w:p>
        </w:tc>
        <w:tc>
          <w:tcPr>
            <w:tcW w:w="870" w:type="dxa"/>
            <w:vAlign w:val="center"/>
          </w:tcPr>
          <w:p w14:paraId="4BFA26C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单位</w:t>
            </w:r>
          </w:p>
        </w:tc>
        <w:tc>
          <w:tcPr>
            <w:tcW w:w="1005" w:type="dxa"/>
            <w:vAlign w:val="center"/>
          </w:tcPr>
          <w:p w14:paraId="787670E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数量</w:t>
            </w:r>
          </w:p>
        </w:tc>
        <w:tc>
          <w:tcPr>
            <w:tcW w:w="2546" w:type="dxa"/>
            <w:vAlign w:val="center"/>
          </w:tcPr>
          <w:p w14:paraId="01B8F02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规格</w:t>
            </w:r>
          </w:p>
        </w:tc>
        <w:tc>
          <w:tcPr>
            <w:tcW w:w="2655" w:type="dxa"/>
            <w:vAlign w:val="center"/>
          </w:tcPr>
          <w:p w14:paraId="23748F8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品牌</w:t>
            </w:r>
          </w:p>
        </w:tc>
      </w:tr>
      <w:tr w14:paraId="74BC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EAFD54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1425" w:type="dxa"/>
            <w:vAlign w:val="center"/>
          </w:tcPr>
          <w:p w14:paraId="10591F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电箱</w:t>
            </w:r>
          </w:p>
        </w:tc>
        <w:tc>
          <w:tcPr>
            <w:tcW w:w="870" w:type="dxa"/>
            <w:vAlign w:val="center"/>
          </w:tcPr>
          <w:p w14:paraId="6545F28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070E78C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75071D72">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JXF-700*900*200，厚2mm室内壁挂</w:t>
            </w:r>
          </w:p>
        </w:tc>
        <w:tc>
          <w:tcPr>
            <w:tcW w:w="2655" w:type="dxa"/>
            <w:vAlign w:val="center"/>
          </w:tcPr>
          <w:p w14:paraId="2B01FDB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西门子、施耐德、帝一</w:t>
            </w:r>
          </w:p>
        </w:tc>
      </w:tr>
      <w:tr w14:paraId="5B5A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C811F1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w:t>
            </w:r>
          </w:p>
        </w:tc>
        <w:tc>
          <w:tcPr>
            <w:tcW w:w="1425" w:type="dxa"/>
            <w:vAlign w:val="center"/>
          </w:tcPr>
          <w:p w14:paraId="284C13E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总开</w:t>
            </w:r>
          </w:p>
        </w:tc>
        <w:tc>
          <w:tcPr>
            <w:tcW w:w="870" w:type="dxa"/>
            <w:vAlign w:val="center"/>
          </w:tcPr>
          <w:p w14:paraId="46C1032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4B641F6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2</w:t>
            </w:r>
          </w:p>
        </w:tc>
        <w:tc>
          <w:tcPr>
            <w:tcW w:w="2546" w:type="dxa"/>
            <w:vAlign w:val="center"/>
          </w:tcPr>
          <w:p w14:paraId="2F523043">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MCCB/3300/160A</w:t>
            </w:r>
          </w:p>
        </w:tc>
        <w:tc>
          <w:tcPr>
            <w:tcW w:w="2655" w:type="dxa"/>
            <w:vAlign w:val="center"/>
          </w:tcPr>
          <w:p w14:paraId="22FB0FE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001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49E64B1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3</w:t>
            </w:r>
          </w:p>
        </w:tc>
        <w:tc>
          <w:tcPr>
            <w:tcW w:w="1425" w:type="dxa"/>
            <w:vAlign w:val="center"/>
          </w:tcPr>
          <w:p w14:paraId="3E0651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分开</w:t>
            </w:r>
          </w:p>
        </w:tc>
        <w:tc>
          <w:tcPr>
            <w:tcW w:w="870" w:type="dxa"/>
            <w:vAlign w:val="center"/>
          </w:tcPr>
          <w:p w14:paraId="656FC41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127D5F2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6</w:t>
            </w:r>
          </w:p>
        </w:tc>
        <w:tc>
          <w:tcPr>
            <w:tcW w:w="2546" w:type="dxa"/>
            <w:vAlign w:val="center"/>
          </w:tcPr>
          <w:p w14:paraId="2F936FEE">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MCCB/3300/63A</w:t>
            </w:r>
          </w:p>
        </w:tc>
        <w:tc>
          <w:tcPr>
            <w:tcW w:w="2655" w:type="dxa"/>
            <w:vAlign w:val="center"/>
          </w:tcPr>
          <w:p w14:paraId="221B0EB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3B29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14:paraId="47ED161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w:t>
            </w:r>
          </w:p>
        </w:tc>
        <w:tc>
          <w:tcPr>
            <w:tcW w:w="1425" w:type="dxa"/>
            <w:vAlign w:val="center"/>
          </w:tcPr>
          <w:p w14:paraId="64533A9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电表</w:t>
            </w:r>
          </w:p>
        </w:tc>
        <w:tc>
          <w:tcPr>
            <w:tcW w:w="870" w:type="dxa"/>
            <w:vAlign w:val="center"/>
          </w:tcPr>
          <w:p w14:paraId="5EB8974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7F37D7E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2</w:t>
            </w:r>
          </w:p>
        </w:tc>
        <w:tc>
          <w:tcPr>
            <w:tcW w:w="2546" w:type="dxa"/>
            <w:vAlign w:val="center"/>
          </w:tcPr>
          <w:p w14:paraId="3BB46FBC">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485接口，</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带通讯</w:t>
            </w:r>
          </w:p>
        </w:tc>
        <w:tc>
          <w:tcPr>
            <w:tcW w:w="2655" w:type="dxa"/>
            <w:vAlign w:val="center"/>
          </w:tcPr>
          <w:p w14:paraId="37CAC666">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安科瑞、新晨、一五</w:t>
            </w:r>
          </w:p>
        </w:tc>
      </w:tr>
      <w:tr w14:paraId="723B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7F255A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5</w:t>
            </w:r>
          </w:p>
        </w:tc>
        <w:tc>
          <w:tcPr>
            <w:tcW w:w="1425" w:type="dxa"/>
            <w:vAlign w:val="center"/>
          </w:tcPr>
          <w:p w14:paraId="5DA6F2D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电流互感器</w:t>
            </w:r>
          </w:p>
        </w:tc>
        <w:tc>
          <w:tcPr>
            <w:tcW w:w="870" w:type="dxa"/>
            <w:vAlign w:val="center"/>
          </w:tcPr>
          <w:p w14:paraId="4378901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14:paraId="3A501D5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2546" w:type="dxa"/>
            <w:vAlign w:val="center"/>
          </w:tcPr>
          <w:p w14:paraId="4D10FC23">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BH-0.66 30 I 150/5A 0.5级</w:t>
            </w:r>
          </w:p>
        </w:tc>
        <w:tc>
          <w:tcPr>
            <w:tcW w:w="2655" w:type="dxa"/>
            <w:vAlign w:val="center"/>
          </w:tcPr>
          <w:p w14:paraId="212B51CE">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14:paraId="7805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195F10D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1425" w:type="dxa"/>
            <w:vAlign w:val="center"/>
          </w:tcPr>
          <w:p w14:paraId="4540329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线缆</w:t>
            </w:r>
          </w:p>
        </w:tc>
        <w:tc>
          <w:tcPr>
            <w:tcW w:w="870" w:type="dxa"/>
            <w:vAlign w:val="center"/>
          </w:tcPr>
          <w:p w14:paraId="0DD0F76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14:paraId="4602240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20</w:t>
            </w:r>
          </w:p>
        </w:tc>
        <w:tc>
          <w:tcPr>
            <w:tcW w:w="2546" w:type="dxa"/>
            <w:vAlign w:val="center"/>
          </w:tcPr>
          <w:p w14:paraId="28377FC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Y</w:t>
            </w:r>
            <w:r>
              <w:rPr>
                <w:rFonts w:hint="eastAsia" w:ascii="Segoe UI" w:hAnsi="Segoe UI" w:cs="Segoe UI"/>
                <w:i w:val="0"/>
                <w:iCs w:val="0"/>
                <w:caps w:val="0"/>
                <w:color w:val="0F1115"/>
                <w:spacing w:val="0"/>
                <w:sz w:val="24"/>
                <w:szCs w:val="24"/>
                <w:shd w:val="clear" w:color="auto" w:fill="FFFFFF"/>
                <w:vertAlign w:val="baseline"/>
                <w:lang w:val="en-US" w:eastAsia="zh-CN"/>
              </w:rPr>
              <w:t>J</w:t>
            </w:r>
            <w:r>
              <w:rPr>
                <w:rFonts w:hint="eastAsia" w:ascii="Segoe UI" w:hAnsi="Segoe UI" w:eastAsia="宋体" w:cs="Segoe UI"/>
                <w:i w:val="0"/>
                <w:iCs w:val="0"/>
                <w:caps w:val="0"/>
                <w:color w:val="0F1115"/>
                <w:spacing w:val="0"/>
                <w:sz w:val="24"/>
                <w:szCs w:val="24"/>
                <w:shd w:val="clear" w:color="auto" w:fill="FFFFFF"/>
                <w:vertAlign w:val="baseline"/>
                <w:lang w:eastAsia="zh-CN"/>
              </w:rPr>
              <w:t>V-4*50</w:t>
            </w:r>
          </w:p>
        </w:tc>
        <w:tc>
          <w:tcPr>
            <w:tcW w:w="2655" w:type="dxa"/>
            <w:vAlign w:val="center"/>
          </w:tcPr>
          <w:p w14:paraId="686E6B80">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江扬、新远程、宝胜</w:t>
            </w:r>
          </w:p>
        </w:tc>
      </w:tr>
      <w:tr w14:paraId="2273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64AA937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7</w:t>
            </w:r>
          </w:p>
        </w:tc>
        <w:tc>
          <w:tcPr>
            <w:tcW w:w="1425" w:type="dxa"/>
            <w:vAlign w:val="center"/>
          </w:tcPr>
          <w:p w14:paraId="39C221C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桥架</w:t>
            </w:r>
          </w:p>
        </w:tc>
        <w:tc>
          <w:tcPr>
            <w:tcW w:w="870" w:type="dxa"/>
            <w:vAlign w:val="center"/>
          </w:tcPr>
          <w:p w14:paraId="3A19E1C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14:paraId="0508817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0</w:t>
            </w:r>
          </w:p>
        </w:tc>
        <w:tc>
          <w:tcPr>
            <w:tcW w:w="2546" w:type="dxa"/>
            <w:vAlign w:val="center"/>
          </w:tcPr>
          <w:p w14:paraId="50F6CD41">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100*50，镀锌，厚度≥1.0mm</w:t>
            </w:r>
          </w:p>
        </w:tc>
        <w:tc>
          <w:tcPr>
            <w:tcW w:w="2655" w:type="dxa"/>
            <w:vAlign w:val="center"/>
          </w:tcPr>
          <w:p w14:paraId="5E4F90E9">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14:paraId="6F7F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8B3E10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8</w:t>
            </w:r>
          </w:p>
        </w:tc>
        <w:tc>
          <w:tcPr>
            <w:tcW w:w="1425" w:type="dxa"/>
            <w:vAlign w:val="center"/>
          </w:tcPr>
          <w:p w14:paraId="139D005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辅材费</w:t>
            </w:r>
          </w:p>
        </w:tc>
        <w:tc>
          <w:tcPr>
            <w:tcW w:w="870" w:type="dxa"/>
            <w:vAlign w:val="center"/>
          </w:tcPr>
          <w:p w14:paraId="74BCA72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14:paraId="7B6177E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4E0D1BB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接线端子排、N零线端子排、PE接地</w:t>
            </w:r>
            <w:r>
              <w:rPr>
                <w:rFonts w:hint="eastAsia" w:ascii="Segoe UI" w:hAnsi="Segoe UI" w:cs="Segoe UI"/>
                <w:i w:val="0"/>
                <w:iCs w:val="0"/>
                <w:caps w:val="0"/>
                <w:color w:val="0F1115"/>
                <w:spacing w:val="0"/>
                <w:sz w:val="24"/>
                <w:szCs w:val="24"/>
                <w:shd w:val="clear" w:color="auto" w:fill="FFFFFF"/>
                <w:vertAlign w:val="baseline"/>
                <w:lang w:val="en-US" w:eastAsia="zh-CN"/>
              </w:rPr>
              <w:t>端子</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排</w:t>
            </w:r>
            <w:r>
              <w:rPr>
                <w:rFonts w:hint="eastAsia" w:ascii="Segoe UI" w:hAnsi="Segoe UI" w:cs="Segoe UI"/>
                <w:i w:val="0"/>
                <w:iCs w:val="0"/>
                <w:caps w:val="0"/>
                <w:color w:val="0F1115"/>
                <w:spacing w:val="0"/>
                <w:sz w:val="24"/>
                <w:szCs w:val="24"/>
                <w:shd w:val="clear" w:color="auto" w:fill="FFFFFF"/>
                <w:vertAlign w:val="baseline"/>
                <w:lang w:val="en-US" w:eastAsia="zh-CN"/>
              </w:rPr>
              <w:t>、指示灯、标识</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等</w:t>
            </w:r>
          </w:p>
        </w:tc>
        <w:tc>
          <w:tcPr>
            <w:tcW w:w="2655" w:type="dxa"/>
            <w:vAlign w:val="center"/>
          </w:tcPr>
          <w:p w14:paraId="1AED3056">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p>
        </w:tc>
      </w:tr>
      <w:tr w14:paraId="2EBD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18B565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9</w:t>
            </w:r>
          </w:p>
        </w:tc>
        <w:tc>
          <w:tcPr>
            <w:tcW w:w="1425" w:type="dxa"/>
            <w:vAlign w:val="center"/>
          </w:tcPr>
          <w:p w14:paraId="0D6A626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安装费</w:t>
            </w:r>
          </w:p>
        </w:tc>
        <w:tc>
          <w:tcPr>
            <w:tcW w:w="870" w:type="dxa"/>
            <w:vAlign w:val="center"/>
          </w:tcPr>
          <w:p w14:paraId="641FD95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14:paraId="5EB63AA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14:paraId="37D5D08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w:t>
            </w:r>
          </w:p>
        </w:tc>
        <w:tc>
          <w:tcPr>
            <w:tcW w:w="2655" w:type="dxa"/>
            <w:vAlign w:val="center"/>
          </w:tcPr>
          <w:p w14:paraId="42C5341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14:paraId="75E4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80" w:type="dxa"/>
            <w:vAlign w:val="center"/>
          </w:tcPr>
          <w:p w14:paraId="33B6E27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合计</w:t>
            </w:r>
          </w:p>
        </w:tc>
        <w:tc>
          <w:tcPr>
            <w:tcW w:w="8501" w:type="dxa"/>
            <w:gridSpan w:val="5"/>
            <w:vAlign w:val="center"/>
          </w:tcPr>
          <w:p w14:paraId="0E195C6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bl>
    <w:p w14:paraId="1E0A6C47">
      <w:pPr>
        <w:tabs>
          <w:tab w:val="left" w:pos="540"/>
          <w:tab w:val="left" w:pos="720"/>
        </w:tabs>
        <w:adjustRightInd w:val="0"/>
        <w:snapToGrid w:val="0"/>
        <w:spacing w:line="440" w:lineRule="exact"/>
        <w:ind w:firstLine="482" w:firstLineChars="200"/>
        <w:contextualSpacing/>
        <w:rPr>
          <w:rFonts w:ascii="宋体" w:hAnsi="宋体" w:eastAsiaTheme="minorEastAsia" w:cstheme="minorBidi"/>
          <w:color w:val="000000"/>
          <w:szCs w:val="22"/>
          <w:highlight w:val="none"/>
        </w:rPr>
      </w:pPr>
      <w:r>
        <w:rPr>
          <w:rFonts w:hint="eastAsia" w:asciiTheme="minorEastAsia" w:hAnsiTheme="minorEastAsia" w:eastAsiaTheme="minorEastAsia"/>
          <w:b/>
          <w:bCs/>
          <w:sz w:val="24"/>
          <w:lang w:val="en-US" w:eastAsia="zh-CN"/>
        </w:rPr>
        <w:t>三</w:t>
      </w:r>
      <w:r>
        <w:rPr>
          <w:rFonts w:hint="eastAsia" w:asciiTheme="minorEastAsia" w:hAnsiTheme="minorEastAsia" w:eastAsiaTheme="minorEastAsia"/>
          <w:b/>
          <w:bCs/>
          <w:sz w:val="24"/>
        </w:rPr>
        <w:t>、施工技术要求</w:t>
      </w:r>
    </w:p>
    <w:p w14:paraId="2C72201E">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配电箱：箱体厚度≥2.0mm，表面防锈防腐处理，具备足够的机械强度，配电箱品质不得低于原配电房配电柜质量标准。配电箱箱体配备指示灯，配电箱安装前施工方需提供箱体制作图纸，并经建设单位认可和验收后方可安装。</w:t>
      </w:r>
    </w:p>
    <w:p w14:paraId="0FEE0F0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2、开关选型：总开关及分开关均性能参数需符合清单要求，分断能力满足配电房短路容量，安装前需提供具体选型并经建设单位认可和验收之后方可安装。</w:t>
      </w:r>
    </w:p>
    <w:p w14:paraId="7668D1BA">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3、计量功能：电表需支持远程通讯，便于接入现有能源管理系统；电流互感器精度不低于0.5级。</w:t>
      </w:r>
    </w:p>
    <w:p w14:paraId="5BB7E14F">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3、线缆敷设：电缆需沿桥架敷设，桥架安装牢固、接地可靠，转弯处弧度合理，电缆预留适当长度。</w:t>
      </w:r>
    </w:p>
    <w:p w14:paraId="43124CDB">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4、安全规范：所有电气连接牢固可靠，相序正确，接地电阻符合国家标准；安装过程须遵守《电气装置安装工程施工及验收规范》（GB 50254-2015）及相关消防规范。</w:t>
      </w:r>
    </w:p>
    <w:p w14:paraId="1A8E9CBD">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5、标识：所有开关、回路、线缆均需张贴清晰耐久的标识标签，注明回路名称及对应负载。</w:t>
      </w:r>
    </w:p>
    <w:p w14:paraId="21645C40">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四、质量控制与验收要求</w:t>
      </w:r>
    </w:p>
    <w:p w14:paraId="7E12A4F6">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（一）质量体系与制度</w:t>
      </w:r>
    </w:p>
    <w:p w14:paraId="0E943A0C">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中标单位需建立多层次管理体系，设置项目经理、项目现场负责人等核心岗位，明确施工管理部、质量管理部、安全管理部等部门职能，分工明确、权责分明。项目经理应按要求到岗履职。</w:t>
      </w:r>
    </w:p>
    <w:p w14:paraId="391D846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建立由政府监督部门、业主、监理、企业总部及项目部组成的质量管理网络，执行质量例会制度、材料质量管理制度、施工工序质量管理制度等</w:t>
      </w:r>
    </w:p>
    <w:p w14:paraId="6FA25D2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严格执行“三检制”（自检、互检、专检），工序交接验收合格后方可进行下道工序</w:t>
      </w:r>
    </w:p>
    <w:p w14:paraId="6F3B9CCD">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实行质量会诊制度、问题追究制度、工程质量考核制度，对违反操作规程、造成质量事故的行为进行处罚</w:t>
      </w:r>
    </w:p>
    <w:p w14:paraId="1E1605A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（二）过程质量控制</w:t>
      </w:r>
    </w:p>
    <w:p w14:paraId="242DA4C3">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rPr>
        <w:t>材料检验：</w:t>
      </w:r>
      <w:r>
        <w:rPr>
          <w:rFonts w:hint="eastAsia" w:ascii="宋体" w:hAnsi="宋体" w:cs="宋体"/>
          <w:snapToGrid w:val="0"/>
          <w:kern w:val="0"/>
          <w:sz w:val="24"/>
          <w:lang w:val="en-US" w:eastAsia="zh-CN"/>
        </w:rPr>
        <w:t>主要材料进场时需提供</w:t>
      </w:r>
      <w:r>
        <w:rPr>
          <w:rFonts w:hint="eastAsia" w:ascii="宋体" w:hAnsi="宋体" w:cs="宋体"/>
          <w:snapToGrid w:val="0"/>
          <w:kern w:val="0"/>
          <w:sz w:val="24"/>
        </w:rPr>
        <w:t>供质量保证书、出厂合格证，按规定进行抽检复试，不合格材料严禁使用</w:t>
      </w:r>
      <w:r>
        <w:rPr>
          <w:rFonts w:hint="eastAsia" w:ascii="宋体" w:hAnsi="宋体" w:cs="宋体"/>
          <w:snapToGrid w:val="0"/>
          <w:kern w:val="0"/>
          <w:sz w:val="24"/>
          <w:lang w:eastAsia="zh-CN"/>
        </w:rPr>
        <w:t>，</w:t>
      </w:r>
      <w:r>
        <w:rPr>
          <w:rFonts w:hint="eastAsia" w:ascii="宋体" w:hAnsi="宋体" w:cs="宋体"/>
          <w:snapToGrid w:val="0"/>
          <w:kern w:val="0"/>
          <w:sz w:val="24"/>
          <w:lang w:val="en-US" w:eastAsia="zh-CN"/>
        </w:rPr>
        <w:t>进场时需核对，</w:t>
      </w:r>
      <w:r>
        <w:rPr>
          <w:rFonts w:hint="eastAsia" w:ascii="宋体" w:hAnsi="宋体" w:cs="宋体"/>
          <w:snapToGrid w:val="0"/>
          <w:kern w:val="0"/>
          <w:sz w:val="24"/>
        </w:rPr>
        <w:t>合设计要求方可使用</w:t>
      </w:r>
      <w:r>
        <w:rPr>
          <w:rFonts w:hint="eastAsia" w:ascii="宋体" w:hAnsi="宋体" w:cs="宋体"/>
          <w:snapToGrid w:val="0"/>
          <w:kern w:val="0"/>
          <w:sz w:val="24"/>
          <w:lang w:eastAsia="zh-CN"/>
        </w:rPr>
        <w:t>。</w:t>
      </w:r>
    </w:p>
    <w:p w14:paraId="4883437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关键工序控制：管道轴线、高程、坡度符合设计要求，无破损、变形；检查井位置准确、垂直度达标，井体无裂缝、渗漏，井盖安装稳固；污水管网敷设完成后，分段进行闭水试验，回填区域平整，无沉降。</w:t>
      </w:r>
    </w:p>
    <w:p w14:paraId="2A0CEF6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成品保护</w:t>
      </w:r>
      <w:r>
        <w:rPr>
          <w:rFonts w:hint="eastAsia" w:ascii="宋体" w:hAnsi="宋体" w:cs="宋体"/>
          <w:snapToGrid w:val="0"/>
          <w:kern w:val="0"/>
          <w:sz w:val="24"/>
          <w:lang w:eastAsia="zh-CN"/>
        </w:rPr>
        <w:t>：</w:t>
      </w:r>
      <w:r>
        <w:rPr>
          <w:rFonts w:hint="eastAsia" w:ascii="宋体" w:hAnsi="宋体" w:cs="宋体"/>
          <w:snapToGrid w:val="0"/>
          <w:kern w:val="0"/>
          <w:sz w:val="24"/>
        </w:rPr>
        <w:t>管道敷设、检查井安装完成后，严禁在管网上方堆放重物、碾压，避免车辆、设备碾压造成管道破损、井体移位；后期交叉施工时，做好成品保护措施，防止磕碰、污染。</w:t>
      </w:r>
    </w:p>
    <w:p w14:paraId="42EB89B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（三）验收要求</w:t>
      </w:r>
    </w:p>
    <w:p w14:paraId="6E00F5A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分部分项工程验收：各分部分项工程施工完成后，中标单位自检合格，报监理单位验收，验收合格后方可进行下道工序</w:t>
      </w:r>
    </w:p>
    <w:p w14:paraId="0C0AA3A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隐蔽工程验收：隐蔽工程覆盖前，必须经监理单位验收合格并签署记录</w:t>
      </w:r>
    </w:p>
    <w:p w14:paraId="4B93B7B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竣工验收：工程完工后，中标单位提交竣工验收申请及完整的技术资料（包括竣工图、各类试验记录、检验报告、隐蔽工程记录等），按规定程序组织竣工验收</w:t>
      </w:r>
    </w:p>
    <w:p w14:paraId="1B828FE6">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五、安全文明施工与环境保护要求</w:t>
      </w:r>
    </w:p>
    <w:p w14:paraId="6F8D0BB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（一）安全防护要求</w:t>
      </w:r>
    </w:p>
    <w:p w14:paraId="3F8F439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现场管理：</w:t>
      </w:r>
    </w:p>
    <w:p w14:paraId="2F57F95C">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lang w:val="en-US" w:eastAsia="zh-CN"/>
        </w:rPr>
        <w:t>施工现场采用封闭围挡，高度不小于1.8m，</w:t>
      </w:r>
      <w:r>
        <w:rPr>
          <w:rFonts w:hint="eastAsia" w:ascii="宋体" w:hAnsi="宋体" w:cs="宋体"/>
          <w:snapToGrid w:val="0"/>
          <w:kern w:val="0"/>
          <w:sz w:val="24"/>
        </w:rPr>
        <w:t>施工现场设置明显安全警示标识，沟槽周边设置防护栏杆，夜间设置警示灯，严禁非施工人员进入现场</w:t>
      </w:r>
      <w:r>
        <w:rPr>
          <w:rFonts w:hint="eastAsia" w:ascii="宋体" w:hAnsi="宋体" w:cs="宋体"/>
          <w:snapToGrid w:val="0"/>
          <w:kern w:val="0"/>
          <w:sz w:val="24"/>
          <w:lang w:eastAsia="zh-CN"/>
        </w:rPr>
        <w:t>。</w:t>
      </w:r>
      <w:r>
        <w:rPr>
          <w:rFonts w:hint="eastAsia" w:ascii="宋体" w:hAnsi="宋体" w:cs="宋体"/>
          <w:snapToGrid w:val="0"/>
          <w:kern w:val="0"/>
          <w:sz w:val="24"/>
        </w:rPr>
        <w:t>沟槽开挖、吊装作业安排专人指挥，杜绝安全事故。工人员需佩戴安全防护用品，特种作业人员持证上岗，定期开展安全交底，落实安全施工责任。材料分类堆放整齐，悬挂名称、品种、规格标牌；易飞扬细颗粒材料封闭存放或覆盖</w:t>
      </w:r>
      <w:r>
        <w:rPr>
          <w:rFonts w:hint="eastAsia" w:ascii="宋体" w:hAnsi="宋体" w:cs="宋体"/>
          <w:snapToGrid w:val="0"/>
          <w:kern w:val="0"/>
          <w:sz w:val="24"/>
          <w:lang w:eastAsia="zh-CN"/>
        </w:rPr>
        <w:t>。</w:t>
      </w:r>
    </w:p>
    <w:p w14:paraId="053CBB6F">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临时用电安全：</w:t>
      </w:r>
    </w:p>
    <w:p w14:paraId="06DDDA9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采用三相五线制保护接零系统（TN-S系统），实行“一机一闸一漏一箱”制，严禁一闸多机及超负荷运行</w:t>
      </w:r>
    </w:p>
    <w:p w14:paraId="4BA3ABA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施工现场临时用电符合JGJ46-2005 规范要求，配电箱、开关箱符合标准，漏电保护器选型正确</w:t>
      </w:r>
    </w:p>
    <w:p w14:paraId="3FD2F166">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手持电动工具操作人员穿绝缘鞋、戴绝缘手套</w:t>
      </w:r>
    </w:p>
    <w:p w14:paraId="5AD9C54B">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消防要求：</w:t>
      </w:r>
    </w:p>
    <w:p w14:paraId="38F27A61">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成立安全、消防管理小组，由项目经理统一指挥，制定安全、消防预案</w:t>
      </w:r>
    </w:p>
    <w:p w14:paraId="3804C83C">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材料堆放区、施工部位配备足量消防器材，易燃易爆品分类存放并设专人管理</w:t>
      </w:r>
    </w:p>
    <w:p w14:paraId="4A79E57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现场从事电气焊人员需办理用火手续，配备看火人员及灭火器具，焊接过程中不得离开岗位</w:t>
      </w:r>
    </w:p>
    <w:p w14:paraId="011644A3">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医院专项防护：</w:t>
      </w:r>
    </w:p>
    <w:p w14:paraId="42067D19">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rPr>
        <w:t>施工前与医院沟通，掌握上下班高峰时段，</w:t>
      </w:r>
      <w:r>
        <w:rPr>
          <w:rFonts w:hint="eastAsia" w:ascii="宋体" w:hAnsi="宋体" w:cs="宋体"/>
          <w:snapToGrid w:val="0"/>
          <w:kern w:val="0"/>
          <w:sz w:val="24"/>
          <w:lang w:val="en-US" w:eastAsia="zh-CN"/>
        </w:rPr>
        <w:t>避免影响院内交通秩序</w:t>
      </w:r>
    </w:p>
    <w:p w14:paraId="35844D8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施工区设置警戒区，拉设警戒线，设置醒目的安全宣传标牌和警告牌</w:t>
      </w:r>
    </w:p>
    <w:p w14:paraId="131159D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控制施工噪声，选用低噪声设备，设备基础设置减震垫；切割、敲击等高强度噪声作业集中在9:00-11:00、14:00-16:00 进行</w:t>
      </w:r>
    </w:p>
    <w:p w14:paraId="6A6D0957">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（二）文明施工与环境保护</w:t>
      </w:r>
    </w:p>
    <w:p w14:paraId="441B478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环境保护：</w:t>
      </w:r>
    </w:p>
    <w:p w14:paraId="19BD9C0A">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扬尘控制：现场设置雾炮机，吊装、拆除作业时开启；运输车辆 100% 密闭覆盖，出场前冲洗轮胎；现场道路每天洒水 3 次</w:t>
      </w:r>
    </w:p>
    <w:p w14:paraId="1C27B9A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噪声控制：施工现场噪声符合《中华人民共和国建筑施工场界噪声限值》要求，严禁高声喧叫、猛烈敲击铁器</w:t>
      </w:r>
    </w:p>
    <w:p w14:paraId="20C32081">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污水控制：设置沉淀池，污水经沉淀后达标排放</w:t>
      </w:r>
    </w:p>
    <w:p w14:paraId="45D95134">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垃圾处理：施工现场设置密闭式垃圾站，施工垃圾、生活垃圾分类存放</w:t>
      </w:r>
      <w:r>
        <w:rPr>
          <w:rFonts w:hint="eastAsia" w:ascii="宋体" w:hAnsi="宋体" w:cs="宋体"/>
          <w:snapToGrid w:val="0"/>
          <w:kern w:val="0"/>
          <w:sz w:val="24"/>
          <w:lang w:eastAsia="zh-CN"/>
        </w:rPr>
        <w:t>。</w:t>
      </w:r>
    </w:p>
    <w:p w14:paraId="5445E075">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六</w:t>
      </w:r>
      <w:r>
        <w:rPr>
          <w:rFonts w:hint="eastAsia" w:asciiTheme="minorEastAsia" w:hAnsiTheme="minorEastAsia" w:eastAsiaTheme="minorEastAsia"/>
          <w:b/>
          <w:bCs/>
          <w:sz w:val="24"/>
        </w:rPr>
        <w:t>、报价要求</w:t>
      </w:r>
    </w:p>
    <w:p w14:paraId="30115C6E">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1.包括不限于：工程量清单报价中的项目单价与其数量相乘的总和，应与报价汇总表总价及响应函中的总价相符，不符时以单价数量的总和为准。</w:t>
      </w:r>
    </w:p>
    <w:p w14:paraId="24AEC487">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供应商应将下列不可竞争费用按照规定的标准计取，不得让利或降低标准计取：（1）现场安全、文明施工措施费；（2）社会保障费、公积金；（3）省级以上财政、税收、物价等部门批准的税金及行政性规费；（4）其他按照法律、法规规定的不可竞争费用；（5）材料暂估价格（详见材料暂估价表）（6）专业工程暂估价；（7）暂列金额。</w:t>
      </w:r>
    </w:p>
    <w:p w14:paraId="242EA3F5">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2.单价和总价均应包括但不限于所有设备、材料、管理费、税金、包装费、运杂费、保险费、卸力费、安装调试费、资料费、通电验收、保修期内维修费用及服务费等直至完全交付采购人使用的所有费用。</w:t>
      </w:r>
    </w:p>
    <w:p w14:paraId="398B3165">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供应商需积极主动地配合采购人进行相关检测及验收，确保通过检测和验收，若出现检测不合格或验收不合格的情况供应商需要返工直至检测通过并且验收合格，由此导致的返工费等相关其他费用，由供应商自行承担，并且采购人有权从工程款中扣除。</w:t>
      </w:r>
    </w:p>
    <w:p w14:paraId="3CF8A104">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4.施工过程中，供应商需采取措施保护现场及周边相关物品、设施等，因供应商的不规范操作、误操作等原因造成相关设施的损坏、设备的停用等后果均由供应商承担，由供应商原样修复并自行承担相关费用。</w:t>
      </w:r>
    </w:p>
    <w:p w14:paraId="0B7A278D">
      <w:pPr>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5.</w:t>
      </w:r>
      <w:r>
        <w:rPr>
          <w:rFonts w:ascii="宋体" w:hAnsi="宋体" w:cs="宋体"/>
          <w:b/>
          <w:bCs/>
          <w:snapToGrid w:val="0"/>
          <w:kern w:val="0"/>
          <w:sz w:val="24"/>
        </w:rPr>
        <w:t>甲方要求与图纸有冲突处，以两者中标准及要求更高者为准。</w:t>
      </w:r>
    </w:p>
    <w:p w14:paraId="1A434F6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rPr>
        <w:t>6.安全文明施工费、防尘防护措施费、脚手架措施费、垂直运输成品保护费自行考虑，结算不予增加。</w:t>
      </w:r>
    </w:p>
    <w:p w14:paraId="0FF26CD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7.施工方需充分考虑医院作为公共场所在必要时刻需暂停施工及需配合医院工作安排等一切不利因素。</w:t>
      </w:r>
    </w:p>
    <w:p w14:paraId="40EF5C1A">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8</w:t>
      </w:r>
      <w:r>
        <w:rPr>
          <w:rFonts w:hint="eastAsia" w:ascii="宋体" w:hAnsi="宋体" w:cs="宋体"/>
          <w:snapToGrid w:val="0"/>
          <w:kern w:val="0"/>
          <w:sz w:val="24"/>
          <w:lang w:eastAsia="zh-CN"/>
        </w:rPr>
        <w:t>.</w:t>
      </w:r>
      <w:r>
        <w:rPr>
          <w:rFonts w:ascii="宋体" w:hAnsi="宋体" w:cs="宋体"/>
          <w:snapToGrid w:val="0"/>
          <w:kern w:val="0"/>
          <w:sz w:val="24"/>
        </w:rPr>
        <w:t>在工程未交付前，承包人负责做好成品保护，如有损坏应负责维修，直至合格，其维修看护费用由</w:t>
      </w:r>
      <w:r>
        <w:rPr>
          <w:rFonts w:hint="eastAsia" w:ascii="宋体" w:hAnsi="宋体" w:cs="宋体"/>
          <w:snapToGrid w:val="0"/>
          <w:kern w:val="0"/>
          <w:sz w:val="24"/>
        </w:rPr>
        <w:t>施工方</w:t>
      </w:r>
      <w:r>
        <w:rPr>
          <w:rFonts w:ascii="宋体" w:hAnsi="宋体" w:cs="宋体"/>
          <w:snapToGrid w:val="0"/>
          <w:kern w:val="0"/>
          <w:sz w:val="24"/>
        </w:rPr>
        <w:t>承担。</w:t>
      </w:r>
    </w:p>
    <w:p w14:paraId="57A935B6">
      <w:pPr>
        <w:adjustRightInd w:val="0"/>
        <w:snapToGrid w:val="0"/>
        <w:spacing w:line="440" w:lineRule="exact"/>
        <w:ind w:firstLine="480" w:firstLineChars="200"/>
        <w:contextualSpacing/>
        <w:rPr>
          <w:rFonts w:ascii="宋体" w:hAnsi="宋体" w:cs="宋体"/>
          <w:b/>
          <w:color w:val="000000"/>
          <w:sz w:val="24"/>
        </w:rPr>
      </w:pPr>
      <w:r>
        <w:rPr>
          <w:rFonts w:hint="eastAsia" w:ascii="宋体" w:hAnsi="宋体" w:cs="宋体"/>
          <w:snapToGrid w:val="0"/>
          <w:kern w:val="0"/>
          <w:sz w:val="24"/>
        </w:rPr>
        <w:t>9</w:t>
      </w:r>
      <w:r>
        <w:rPr>
          <w:rFonts w:ascii="宋体" w:hAnsi="宋体" w:cs="宋体"/>
          <w:snapToGrid w:val="0"/>
          <w:kern w:val="0"/>
          <w:sz w:val="24"/>
        </w:rPr>
        <w:t>在施工期间医院正常运行，承包人在施工中应做好环境保护及环境安全的防护，部分区域需封闭施工，相关费用视为包含在投标报价中，不再另行支付</w:t>
      </w:r>
      <w:r>
        <w:rPr>
          <w:rFonts w:hint="eastAsia" w:ascii="宋体" w:hAnsi="宋体" w:cs="宋体"/>
          <w:snapToGrid w:val="0"/>
          <w:kern w:val="0"/>
          <w:sz w:val="24"/>
        </w:rPr>
        <w:t>。</w:t>
      </w:r>
    </w:p>
    <w:p w14:paraId="4F2D3330">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七、施工注意事项</w:t>
      </w:r>
    </w:p>
    <w:p w14:paraId="0109A079">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1、实际施工前，具体细节必须现场再次征求</w:t>
      </w:r>
      <w:r>
        <w:rPr>
          <w:rFonts w:hint="eastAsia" w:ascii="宋体" w:hAnsi="宋体" w:cs="宋体"/>
          <w:snapToGrid w:val="0"/>
          <w:kern w:val="0"/>
          <w:sz w:val="24"/>
          <w:lang w:val="en-US" w:eastAsia="zh-CN"/>
        </w:rPr>
        <w:t>甲方</w:t>
      </w:r>
      <w:r>
        <w:rPr>
          <w:rFonts w:hint="eastAsia" w:ascii="宋体" w:hAnsi="宋体" w:cs="宋体"/>
          <w:snapToGrid w:val="0"/>
          <w:kern w:val="0"/>
          <w:sz w:val="24"/>
        </w:rPr>
        <w:t>意见。</w:t>
      </w:r>
    </w:p>
    <w:p w14:paraId="4D66289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2、为保护医院职工、患者、员工人身及财物的安全，施工单位必须服从医院相关部门的管理及施工时间的安排，合理制定施工组织措施及安全措施。</w:t>
      </w:r>
    </w:p>
    <w:p w14:paraId="68FCD1B2">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3、施工时应考虑采取相关的安全文明措辞，如施工场地四周必须设置安全围档，警示红灯等，走廊内不得堆放材料及垃圾，并及时清扫地面，其它如注意防尘、防噪等，以减少对周边环境的影响。</w:t>
      </w:r>
    </w:p>
    <w:p w14:paraId="209739F9">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4、施工现场必须配置相应的消防灭火器材。</w:t>
      </w:r>
    </w:p>
    <w:p w14:paraId="18C24D00">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5、拆除时不得野蛮施工，不得破坏墙体结构。</w:t>
      </w:r>
    </w:p>
    <w:p w14:paraId="7DAECE05">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6、成交人须完全承担项目实施全过程中的施工人员及其他可能涉及到的人员的一切的安全责任，在施工过程中如引起人身伤害和其它财产安全事故，由成交人全权负责处理，并承担全部责任。</w:t>
      </w:r>
    </w:p>
    <w:p w14:paraId="3220D70B">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7、因本项目的特殊性，成交人在施工过程不得影响施工区域以外正常使用，包括水、电、空调、消防、监控、氧气等系统，不得影响其他病区运营，施工过程中若施工原因导致施工区域外一切问题，一切维修及费用由施工单位承担，由于噪音引起病人投诉等工期都算在总工期内，施工单位自行考虑。</w:t>
      </w:r>
    </w:p>
    <w:p w14:paraId="135B36CC">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八</w:t>
      </w:r>
      <w:r>
        <w:rPr>
          <w:rFonts w:hint="eastAsia" w:asciiTheme="minorEastAsia" w:hAnsiTheme="minorEastAsia" w:eastAsiaTheme="minorEastAsia"/>
          <w:b/>
          <w:bCs/>
          <w:sz w:val="24"/>
        </w:rPr>
        <w:t>、其他说明</w:t>
      </w:r>
    </w:p>
    <w:p w14:paraId="33D58469">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1、</w:t>
      </w:r>
      <w:r>
        <w:rPr>
          <w:rFonts w:hint="eastAsia" w:ascii="宋体" w:hAnsi="宋体" w:eastAsia="宋体" w:cs="宋体"/>
          <w:snapToGrid w:val="0"/>
          <w:kern w:val="0"/>
          <w:sz w:val="24"/>
          <w:lang w:val="en-US" w:eastAsia="zh-CN"/>
        </w:rPr>
        <w:t>本项目所有检测费用均由施工单位承担，包括但不限于材料检测、现场实体检测等各类专项检测，相关费用请投标单位综合计入投标报价。</w:t>
      </w:r>
    </w:p>
    <w:p w14:paraId="5230571B">
      <w:pPr>
        <w:adjustRightInd w:val="0"/>
        <w:snapToGrid w:val="0"/>
        <w:spacing w:line="440" w:lineRule="exact"/>
        <w:ind w:firstLine="482" w:firstLineChars="200"/>
        <w:contextualSpacing/>
        <w:rPr>
          <w:rFonts w:hint="eastAsia" w:ascii="宋体" w:hAnsi="宋体" w:eastAsia="宋体" w:cs="宋体"/>
          <w:snapToGrid w:val="0"/>
          <w:kern w:val="0"/>
          <w:sz w:val="24"/>
        </w:rPr>
      </w:pPr>
      <w:r>
        <w:rPr>
          <w:rFonts w:hint="eastAsia" w:ascii="宋体" w:hAnsi="宋体" w:eastAsia="宋体" w:cs="宋体"/>
          <w:b/>
          <w:bCs/>
          <w:snapToGrid w:val="0"/>
          <w:kern w:val="0"/>
          <w:sz w:val="24"/>
        </w:rPr>
        <w:t>2、竣工验收必须提供详细的竣工图纸、检测资料、材料的合格资料及其它相关的资料，施工全程应有照片记录并附文字说明，并存入U盘交甲方。其中变更签证、隐蔽工程必须有可靠的照片或视频。</w:t>
      </w:r>
    </w:p>
    <w:p w14:paraId="21B65A4E">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3、负责整体改造工程竣工验收前的卫生保洁。</w:t>
      </w:r>
    </w:p>
    <w:p w14:paraId="152E727D">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4、施工开凿及损坏的墙面、地面、孔洞、吊顶应恢复至原样。</w:t>
      </w:r>
    </w:p>
    <w:p w14:paraId="444CD184">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5、楼内外原有垃圾、杂物及施工产生的垃圾及时自行清运出医院并做好卫生保洁工作，垃圾一日一清，保证路边畅通，拆除物品施工方回收（除采购文件中注明采购人需回收的），冲抵工程费用。</w:t>
      </w:r>
    </w:p>
    <w:p w14:paraId="281756FD">
      <w:pPr>
        <w:tabs>
          <w:tab w:val="left" w:pos="0"/>
        </w:tabs>
        <w:spacing w:line="360" w:lineRule="auto"/>
        <w:ind w:firstLine="422"/>
        <w:rPr>
          <w:rFonts w:ascii="宋体" w:hAnsi="宋体" w:cs="宋体"/>
          <w:b/>
          <w:bCs/>
          <w:color w:val="000000"/>
          <w:sz w:val="24"/>
        </w:rPr>
      </w:pPr>
      <w:r>
        <w:rPr>
          <w:rFonts w:hint="eastAsia" w:ascii="宋体" w:hAnsi="宋体" w:cs="宋体"/>
          <w:b w:val="0"/>
          <w:bCs w:val="0"/>
          <w:color w:val="000000"/>
          <w:sz w:val="24"/>
        </w:rPr>
        <w:t>6、</w:t>
      </w:r>
      <w:r>
        <w:rPr>
          <w:rFonts w:hint="eastAsia" w:ascii="宋体" w:hAnsi="宋体" w:cs="宋体"/>
          <w:b w:val="0"/>
          <w:bCs w:val="0"/>
          <w:color w:val="000000"/>
          <w:sz w:val="24"/>
          <w:u w:val="single"/>
        </w:rPr>
        <w:t>施工工期要求：</w:t>
      </w:r>
      <w:r>
        <w:rPr>
          <w:rFonts w:hint="eastAsia" w:ascii="宋体" w:hAnsi="宋体" w:cs="宋体"/>
          <w:b w:val="0"/>
          <w:bCs w:val="0"/>
          <w:color w:val="000000"/>
          <w:sz w:val="24"/>
          <w:u w:val="single"/>
          <w:lang w:val="en-US" w:eastAsia="zh-CN"/>
        </w:rPr>
        <w:t>15</w:t>
      </w:r>
      <w:r>
        <w:rPr>
          <w:rFonts w:hint="eastAsia" w:ascii="宋体" w:hAnsi="宋体" w:cs="宋体"/>
          <w:b w:val="0"/>
          <w:bCs w:val="0"/>
          <w:color w:val="000000"/>
          <w:sz w:val="24"/>
          <w:u w:val="single"/>
        </w:rPr>
        <w:t>个日历天【除不可抗力因素如战争、疫情、洪水等及甲方主动暂停原因外，成交人不得以任何理由拖延工期，在十天内（含十天）的成交人按1000元/天赔偿，逾期在20天内（含20天）的成交人按2000元/天赔偿，逾期在30天（含30天）的成交人按5000元/天赔偿，如竣工时间超过合同工期一个月以上，发包人有权终止合同，承包人除按本工程结算价的5%支付违约金外，还应赔偿因工期违约给发包人造成的损失】；施工质量要求：合格，保修期：两年。</w:t>
      </w:r>
    </w:p>
    <w:p w14:paraId="5E8DED8D">
      <w:pPr>
        <w:tabs>
          <w:tab w:val="left" w:pos="0"/>
        </w:tabs>
        <w:spacing w:line="360" w:lineRule="auto"/>
        <w:ind w:firstLine="420"/>
        <w:rPr>
          <w:rFonts w:ascii="宋体" w:hAnsi="宋体" w:cs="宋体"/>
          <w:color w:val="000000"/>
          <w:sz w:val="24"/>
        </w:rPr>
      </w:pPr>
      <w:r>
        <w:rPr>
          <w:rFonts w:hint="eastAsia" w:ascii="宋体" w:hAnsi="宋体" w:cs="宋体"/>
          <w:color w:val="000000"/>
          <w:sz w:val="24"/>
        </w:rPr>
        <w:t>7、施工现场实际情况：现状道路通畅；交通便利，有道路通入施工现场；环境保护要求：必须符合当地环保部门对噪音、粉尘、污水、垃圾的限制或处理要求。</w:t>
      </w:r>
    </w:p>
    <w:p w14:paraId="3D2BEE5B">
      <w:pPr>
        <w:tabs>
          <w:tab w:val="left" w:pos="0"/>
        </w:tabs>
        <w:spacing w:line="360" w:lineRule="auto"/>
        <w:ind w:firstLine="420"/>
        <w:rPr>
          <w:rFonts w:ascii="宋体" w:hAnsi="宋体" w:cs="宋体"/>
          <w:color w:val="000000"/>
          <w:sz w:val="24"/>
        </w:rPr>
      </w:pPr>
      <w:r>
        <w:rPr>
          <w:rFonts w:hint="eastAsia" w:ascii="宋体" w:hAnsi="宋体" w:cs="宋体"/>
          <w:color w:val="000000"/>
          <w:sz w:val="24"/>
        </w:rPr>
        <w:t>9、成交人必须服从现场管理，对工序和材料及时报验，原材料及配件必须符合国家标准，经复试合格后方可使用，不合格的检测费自行承担。</w:t>
      </w:r>
    </w:p>
    <w:p w14:paraId="454147B4">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10、成交人需积极主动地配合采购人进行相关检测及验收，确保通过检测和验收，若出现检测不合格或验收不合格的情况供应商需要返工直至检测通过并且验收合格，由此导致的返工费等相关其他费用，由成交人自行承担，并且采购人有权从工程款中扣除。</w:t>
      </w:r>
    </w:p>
    <w:p w14:paraId="1A7539C0">
      <w:pPr>
        <w:tabs>
          <w:tab w:val="left" w:pos="0"/>
        </w:tabs>
        <w:spacing w:line="360" w:lineRule="auto"/>
        <w:ind w:firstLine="420"/>
        <w:rPr>
          <w:rFonts w:ascii="宋体" w:hAnsi="宋体" w:cs="宋体"/>
          <w:bCs/>
          <w:color w:val="000000"/>
          <w:sz w:val="24"/>
        </w:rPr>
      </w:pPr>
      <w:r>
        <w:rPr>
          <w:rFonts w:hint="eastAsia" w:ascii="宋体" w:hAnsi="宋体" w:cs="宋体"/>
          <w:color w:val="000000"/>
          <w:sz w:val="24"/>
        </w:rPr>
        <w:t>11、施工过程中，成交人需采取措施保护现场及周边相关物品、设施等，因成交人的不规范操作、误操作等原因造成相关设施的损坏、设备的停用等后果均由成交人承担，由成交人原样修复并自行承担相关费用。</w:t>
      </w:r>
    </w:p>
    <w:p w14:paraId="0B3318E5">
      <w:pPr>
        <w:tabs>
          <w:tab w:val="left" w:pos="0"/>
        </w:tabs>
        <w:spacing w:line="360" w:lineRule="auto"/>
        <w:ind w:firstLine="420"/>
        <w:rPr>
          <w:rFonts w:hint="eastAsia" w:cs="宋体" w:asciiTheme="minorEastAsia" w:hAnsiTheme="minorEastAsia" w:eastAsiaTheme="minorEastAsia"/>
          <w:kern w:val="0"/>
          <w:szCs w:val="21"/>
          <w:highlight w:val="none"/>
          <w:lang w:eastAsia="zh-CN"/>
        </w:rPr>
      </w:pPr>
      <w:r>
        <w:rPr>
          <w:rFonts w:hint="eastAsia" w:ascii="宋体" w:hAnsi="宋体" w:cs="宋体"/>
          <w:b/>
          <w:bCs/>
          <w:color w:val="000000"/>
          <w:sz w:val="24"/>
        </w:rPr>
        <w:t>1</w:t>
      </w:r>
      <w:r>
        <w:rPr>
          <w:rFonts w:hint="eastAsia" w:ascii="宋体" w:hAnsi="宋体" w:cs="宋体"/>
          <w:b/>
          <w:bCs/>
          <w:color w:val="000000"/>
          <w:sz w:val="24"/>
          <w:lang w:val="en-US" w:eastAsia="zh-CN"/>
        </w:rPr>
        <w:t>2</w:t>
      </w:r>
      <w:r>
        <w:rPr>
          <w:rFonts w:hint="eastAsia" w:ascii="宋体" w:hAnsi="宋体" w:cs="宋体"/>
          <w:b/>
          <w:bCs/>
          <w:color w:val="000000"/>
          <w:sz w:val="24"/>
        </w:rPr>
        <w:t>、</w:t>
      </w:r>
      <w:r>
        <w:rPr>
          <w:rFonts w:hint="eastAsia" w:ascii="宋体" w:hAnsi="宋体" w:cs="宋体"/>
          <w:b/>
          <w:bCs/>
          <w:color w:val="000000"/>
          <w:sz w:val="24"/>
          <w:lang w:val="zh-CN"/>
        </w:rPr>
        <w:t>各供应商自行勘查。</w:t>
      </w:r>
      <w:r>
        <w:rPr>
          <w:rFonts w:hint="eastAsia" w:ascii="宋体" w:hAnsi="宋体" w:cs="宋体"/>
          <w:b/>
          <w:bCs/>
          <w:color w:val="000000"/>
          <w:sz w:val="24"/>
        </w:rPr>
        <w:t>但</w:t>
      </w:r>
      <w:r>
        <w:rPr>
          <w:rFonts w:hint="eastAsia" w:ascii="宋体" w:hAnsi="宋体" w:cs="宋体"/>
          <w:b/>
          <w:bCs/>
          <w:color w:val="000000"/>
          <w:sz w:val="24"/>
          <w:lang w:val="zh-CN"/>
        </w:rPr>
        <w:t>务必对项目现场和周围环境进行仔细认真查勘，</w:t>
      </w:r>
      <w:r>
        <w:rPr>
          <w:rFonts w:hint="eastAsia" w:ascii="宋体" w:hAnsi="宋体" w:cs="宋体"/>
          <w:b/>
          <w:bCs/>
          <w:color w:val="000000"/>
          <w:sz w:val="24"/>
        </w:rPr>
        <w:t>在随后</w:t>
      </w:r>
      <w:r>
        <w:rPr>
          <w:rFonts w:hint="eastAsia" w:ascii="宋体" w:hAnsi="宋体" w:cs="宋体"/>
          <w:b/>
          <w:bCs/>
          <w:color w:val="000000"/>
          <w:sz w:val="24"/>
          <w:lang w:val="zh-CN"/>
        </w:rPr>
        <w:t>的</w:t>
      </w:r>
      <w:r>
        <w:rPr>
          <w:rFonts w:hint="eastAsia" w:ascii="宋体" w:hAnsi="宋体" w:cs="宋体"/>
          <w:b/>
          <w:bCs/>
          <w:color w:val="000000"/>
          <w:sz w:val="24"/>
        </w:rPr>
        <w:t>施工</w:t>
      </w:r>
      <w:r>
        <w:rPr>
          <w:rFonts w:hint="eastAsia" w:ascii="宋体" w:hAnsi="宋体" w:cs="宋体"/>
          <w:b/>
          <w:bCs/>
          <w:color w:val="000000"/>
          <w:sz w:val="24"/>
          <w:lang w:val="zh-CN"/>
        </w:rPr>
        <w:t>中，对现场资料和数据所作出的推论、解释和结论及由此造成的后果由供应商负责。</w:t>
      </w:r>
    </w:p>
    <w:p w14:paraId="7A33D369">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八、图纸（仅供参考）</w:t>
      </w:r>
    </w:p>
    <w:p w14:paraId="6A062715">
      <w:pPr>
        <w:pStyle w:val="8"/>
        <w:ind w:left="122" w:leftChars="58"/>
        <w:rPr>
          <w:rFonts w:asciiTheme="minorEastAsia" w:hAnsiTheme="minorEastAsia" w:eastAsiaTheme="minorEastAsia"/>
          <w:b/>
          <w:bCs/>
          <w:sz w:val="24"/>
        </w:rPr>
      </w:pPr>
      <w:r>
        <w:rPr>
          <w:rFonts w:hint="eastAsia" w:eastAsia="楷体_GB2312"/>
          <w:lang w:eastAsia="zh-CN"/>
        </w:rPr>
        <w:drawing>
          <wp:anchor distT="0" distB="0" distL="114300" distR="114300" simplePos="0" relativeHeight="251660288" behindDoc="0" locked="0" layoutInCell="1" allowOverlap="1">
            <wp:simplePos x="0" y="0"/>
            <wp:positionH relativeFrom="column">
              <wp:posOffset>-561340</wp:posOffset>
            </wp:positionH>
            <wp:positionV relativeFrom="paragraph">
              <wp:posOffset>-6185535</wp:posOffset>
            </wp:positionV>
            <wp:extent cx="6689725" cy="3704590"/>
            <wp:effectExtent l="0" t="0" r="15875" b="10160"/>
            <wp:wrapSquare wrapText="bothSides"/>
            <wp:docPr id="1" name="图片 1" descr="西区行政楼配电房主备电源电箱安装工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西区行政楼配电房主备电源电箱安装工程_01"/>
                    <pic:cNvPicPr>
                      <a:picLocks noChangeAspect="1"/>
                    </pic:cNvPicPr>
                  </pic:nvPicPr>
                  <pic:blipFill>
                    <a:blip r:embed="rId6"/>
                    <a:srcRect t="19222" b="23677"/>
                    <a:stretch>
                      <a:fillRect/>
                    </a:stretch>
                  </pic:blipFill>
                  <pic:spPr>
                    <a:xfrm>
                      <a:off x="0" y="0"/>
                      <a:ext cx="6689725" cy="3704590"/>
                    </a:xfrm>
                    <a:prstGeom prst="rect">
                      <a:avLst/>
                    </a:prstGeom>
                  </pic:spPr>
                </pic:pic>
              </a:graphicData>
            </a:graphic>
          </wp:anchor>
        </w:drawing>
      </w:r>
    </w:p>
    <w:p w14:paraId="7919E306">
      <w:pPr>
        <w:tabs>
          <w:tab w:val="left" w:pos="540"/>
          <w:tab w:val="left" w:pos="720"/>
        </w:tabs>
        <w:adjustRightInd w:val="0"/>
        <w:snapToGrid w:val="0"/>
        <w:spacing w:line="440" w:lineRule="exact"/>
        <w:contextualSpacing/>
        <w:rPr>
          <w:rFonts w:hint="eastAsia" w:eastAsiaTheme="minorEastAsia"/>
          <w:lang w:val="en-US" w:eastAsia="zh-CN"/>
        </w:rPr>
      </w:pPr>
    </w:p>
    <w:p w14:paraId="1EA5D4D9">
      <w:pPr>
        <w:rPr>
          <w:rFonts w:hint="eastAsia" w:eastAsia="宋体"/>
          <w:lang w:eastAsia="zh-CN"/>
        </w:rPr>
      </w:pPr>
    </w:p>
    <w:p w14:paraId="0375F24E"/>
    <w:p w14:paraId="4B17E995">
      <w:pPr>
        <w:tabs>
          <w:tab w:val="left" w:pos="540"/>
          <w:tab w:val="left" w:pos="720"/>
        </w:tabs>
        <w:adjustRightInd w:val="0"/>
        <w:snapToGrid w:val="0"/>
        <w:spacing w:line="440" w:lineRule="exact"/>
        <w:contextualSpacing/>
        <w:rPr>
          <w:rFonts w:asciiTheme="minorEastAsia" w:hAnsiTheme="minorEastAsia" w:eastAsiaTheme="minorEastAsia"/>
          <w:b/>
          <w:bCs/>
          <w:sz w:val="24"/>
        </w:rPr>
      </w:pPr>
      <w:r>
        <w:rPr>
          <w:rFonts w:hint="eastAsia" w:asciiTheme="minorEastAsia" w:hAnsiTheme="minorEastAsia" w:eastAsiaTheme="minorEastAsia"/>
          <w:b/>
          <w:bCs/>
          <w:sz w:val="24"/>
        </w:rPr>
        <w:br w:type="page"/>
      </w:r>
    </w:p>
    <w:p w14:paraId="35843709"/>
    <w:p w14:paraId="3CBCC20A"/>
    <w:p w14:paraId="3368C40A">
      <w:pPr>
        <w:rPr>
          <w:rFonts w:ascii="宋体" w:hAnsi="宋体"/>
          <w:b/>
          <w:sz w:val="36"/>
          <w:szCs w:val="36"/>
        </w:rPr>
      </w:pPr>
    </w:p>
    <w:p w14:paraId="15046416">
      <w:pPr>
        <w:jc w:val="center"/>
        <w:rPr>
          <w:rFonts w:ascii="宋体" w:hAnsi="宋体"/>
          <w:b/>
          <w:sz w:val="36"/>
          <w:szCs w:val="36"/>
        </w:rPr>
      </w:pPr>
      <w:r>
        <w:rPr>
          <w:rFonts w:hint="eastAsia" w:ascii="宋体" w:hAnsi="宋体"/>
          <w:b/>
          <w:sz w:val="36"/>
          <w:szCs w:val="36"/>
        </w:rPr>
        <w:t>投标文件格式</w:t>
      </w:r>
    </w:p>
    <w:p w14:paraId="721FB217">
      <w:pPr>
        <w:rPr>
          <w:rFonts w:ascii="宋体" w:hAnsi="宋体"/>
          <w:b/>
          <w:sz w:val="32"/>
          <w:szCs w:val="32"/>
        </w:rPr>
      </w:pPr>
    </w:p>
    <w:p w14:paraId="6AA2A903">
      <w:pPr>
        <w:pStyle w:val="8"/>
      </w:pPr>
    </w:p>
    <w:p w14:paraId="14747512">
      <w:pPr>
        <w:pStyle w:val="18"/>
        <w:ind w:firstLine="0"/>
      </w:pPr>
    </w:p>
    <w:p w14:paraId="34E4C4D2">
      <w:pPr>
        <w:jc w:val="center"/>
        <w:rPr>
          <w:rFonts w:ascii="宋体" w:hAnsi="宋体"/>
          <w:b/>
          <w:bCs/>
          <w:sz w:val="36"/>
          <w:szCs w:val="36"/>
        </w:rPr>
      </w:pPr>
      <w:r>
        <w:rPr>
          <w:rFonts w:hint="eastAsia" w:ascii="宋体" w:hAnsi="宋体"/>
          <w:b/>
          <w:bCs/>
          <w:sz w:val="36"/>
          <w:szCs w:val="36"/>
        </w:rPr>
        <w:t>投标文件</w:t>
      </w:r>
    </w:p>
    <w:p w14:paraId="06A94B49">
      <w:pPr>
        <w:pStyle w:val="18"/>
        <w:ind w:firstLine="0"/>
      </w:pPr>
    </w:p>
    <w:p w14:paraId="780E3DE6">
      <w:pPr>
        <w:rPr>
          <w:rFonts w:ascii="宋体" w:hAnsi="宋体"/>
          <w:u w:val="single"/>
        </w:rPr>
      </w:pPr>
    </w:p>
    <w:p w14:paraId="2C08F488">
      <w:pPr>
        <w:rPr>
          <w:rFonts w:ascii="宋体" w:hAnsi="宋体"/>
          <w:u w:val="single"/>
        </w:rPr>
      </w:pPr>
    </w:p>
    <w:p w14:paraId="137D7BAE">
      <w:pPr>
        <w:rPr>
          <w:rFonts w:ascii="宋体" w:hAnsi="宋体"/>
          <w:sz w:val="30"/>
          <w:u w:val="single"/>
        </w:rPr>
      </w:pPr>
    </w:p>
    <w:p w14:paraId="6A310A51">
      <w:pPr>
        <w:rPr>
          <w:rFonts w:ascii="宋体" w:hAnsi="宋体"/>
          <w:sz w:val="30"/>
          <w:u w:val="single"/>
        </w:rPr>
      </w:pPr>
    </w:p>
    <w:p w14:paraId="4C8F2304">
      <w:pPr>
        <w:rPr>
          <w:rFonts w:ascii="宋体" w:hAnsi="宋体"/>
          <w:sz w:val="30"/>
          <w:u w:val="single"/>
        </w:rPr>
      </w:pPr>
    </w:p>
    <w:p w14:paraId="3975AE76">
      <w:pPr>
        <w:spacing w:line="400" w:lineRule="exact"/>
        <w:rPr>
          <w:rFonts w:ascii="宋体" w:hAnsi="宋体"/>
          <w:sz w:val="30"/>
          <w:u w:val="single"/>
        </w:rPr>
      </w:pPr>
    </w:p>
    <w:p w14:paraId="6EB72F35">
      <w:pPr>
        <w:pStyle w:val="18"/>
        <w:ind w:firstLine="0"/>
      </w:pPr>
    </w:p>
    <w:p w14:paraId="246185C2">
      <w:pPr>
        <w:pStyle w:val="18"/>
        <w:ind w:firstLine="0"/>
      </w:pPr>
    </w:p>
    <w:p w14:paraId="742FC93B">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521735EF">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4BB7AC79">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5AAA482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87244D2">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685F3BBF">
      <w:pPr>
        <w:adjustRightInd w:val="0"/>
        <w:snapToGrid w:val="0"/>
        <w:spacing w:line="700" w:lineRule="exact"/>
        <w:ind w:firstLine="677" w:firstLineChars="242"/>
        <w:contextualSpacing/>
        <w:rPr>
          <w:sz w:val="28"/>
          <w:szCs w:val="28"/>
        </w:rPr>
      </w:pPr>
      <w:r>
        <w:rPr>
          <w:rFonts w:hint="eastAsia"/>
          <w:sz w:val="28"/>
          <w:szCs w:val="28"/>
        </w:rPr>
        <w:t>日       期：          年      月      日</w:t>
      </w:r>
    </w:p>
    <w:p w14:paraId="65915A2C">
      <w:pPr>
        <w:rPr>
          <w:b/>
          <w:sz w:val="36"/>
          <w:szCs w:val="36"/>
        </w:rPr>
      </w:pPr>
    </w:p>
    <w:p w14:paraId="6A12341E">
      <w:r>
        <w:br w:type="page"/>
      </w:r>
    </w:p>
    <w:p w14:paraId="4DC298B7">
      <w:pPr>
        <w:jc w:val="center"/>
        <w:rPr>
          <w:rFonts w:ascii="宋体" w:hAnsi="宋体"/>
          <w:b/>
          <w:sz w:val="36"/>
          <w:szCs w:val="36"/>
          <w:u w:val="single"/>
        </w:rPr>
      </w:pPr>
      <w:r>
        <w:rPr>
          <w:rFonts w:hint="eastAsia"/>
          <w:b/>
          <w:sz w:val="36"/>
          <w:szCs w:val="36"/>
        </w:rPr>
        <w:t>目录</w:t>
      </w:r>
    </w:p>
    <w:p w14:paraId="1C1A0B5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6DB0CB6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1B11ABDE">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57A20BC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1F8C885F">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435B4D1D">
      <w:pPr>
        <w:widowControl/>
        <w:adjustRightInd w:val="0"/>
        <w:snapToGrid w:val="0"/>
        <w:spacing w:line="500" w:lineRule="atLeast"/>
        <w:ind w:left="-2" w:leftChars="-1" w:firstLine="427" w:firstLineChars="178"/>
        <w:contextualSpacing/>
        <w:rPr>
          <w:rFonts w:ascii="宋体" w:hAnsi="宋体"/>
          <w:snapToGrid w:val="0"/>
          <w:sz w:val="24"/>
        </w:rPr>
      </w:pPr>
      <w:r>
        <w:rPr>
          <w:rFonts w:ascii="宋体" w:hAnsi="宋体"/>
          <w:snapToGrid w:val="0"/>
          <w:sz w:val="24"/>
        </w:rPr>
        <w:t>6.</w:t>
      </w:r>
      <w:r>
        <w:rPr>
          <w:rFonts w:hint="eastAsia" w:ascii="宋体" w:hAnsi="宋体"/>
          <w:snapToGrid w:val="0"/>
          <w:sz w:val="24"/>
        </w:rPr>
        <w:t>具有履行合同所必需的设备和专业技术能力承诺书（提供相关资质证书）；</w:t>
      </w:r>
    </w:p>
    <w:p w14:paraId="08D87446">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7.投标函原件；</w:t>
      </w:r>
    </w:p>
    <w:p w14:paraId="32D095B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8.投标报价表；</w:t>
      </w:r>
    </w:p>
    <w:p w14:paraId="6F3686F2">
      <w:pPr>
        <w:widowControl/>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9.分项报价表；</w:t>
      </w:r>
    </w:p>
    <w:p w14:paraId="0D48A588">
      <w:pPr>
        <w:widowControl/>
        <w:tabs>
          <w:tab w:val="left" w:pos="423"/>
        </w:tabs>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10.投标人认为需要提供的其他材料。</w:t>
      </w:r>
    </w:p>
    <w:p w14:paraId="115E051A">
      <w:pPr>
        <w:autoSpaceDE w:val="0"/>
        <w:autoSpaceDN w:val="0"/>
        <w:jc w:val="left"/>
        <w:rPr>
          <w:rFonts w:ascii="宋体" w:hAnsi="宋体" w:cs="宋体"/>
          <w:b/>
          <w:sz w:val="44"/>
          <w:szCs w:val="44"/>
        </w:rPr>
      </w:pPr>
    </w:p>
    <w:p w14:paraId="119F916C">
      <w:pPr>
        <w:autoSpaceDE w:val="0"/>
        <w:autoSpaceDN w:val="0"/>
        <w:jc w:val="left"/>
        <w:rPr>
          <w:rFonts w:ascii="宋体" w:hAnsi="宋体" w:cs="宋体"/>
          <w:b/>
          <w:sz w:val="44"/>
          <w:szCs w:val="44"/>
        </w:rPr>
      </w:pPr>
    </w:p>
    <w:p w14:paraId="23061A11">
      <w:r>
        <w:br w:type="page"/>
      </w:r>
    </w:p>
    <w:p w14:paraId="0434D324">
      <w:pPr>
        <w:pStyle w:val="16"/>
        <w:rPr>
          <w:b/>
          <w:sz w:val="36"/>
          <w:szCs w:val="36"/>
        </w:rPr>
      </w:pPr>
      <w:r>
        <w:rPr>
          <w:rFonts w:hint="eastAsia" w:ascii="宋体" w:hAnsi="宋体"/>
          <w:kern w:val="0"/>
          <w:sz w:val="36"/>
          <w:szCs w:val="36"/>
        </w:rPr>
        <w:t>（</w:t>
      </w:r>
      <w:r>
        <w:rPr>
          <w:rFonts w:hint="eastAsia" w:ascii="宋体" w:hAnsi="宋体"/>
          <w:kern w:val="0"/>
          <w:sz w:val="36"/>
          <w:szCs w:val="36"/>
          <w:lang w:val="en-US" w:eastAsia="zh-CN"/>
        </w:rPr>
        <w:t>一</w:t>
      </w:r>
      <w:r>
        <w:rPr>
          <w:rFonts w:hint="eastAsia" w:ascii="宋体" w:hAnsi="宋体"/>
          <w:kern w:val="0"/>
          <w:sz w:val="36"/>
          <w:szCs w:val="36"/>
        </w:rPr>
        <w:t>）供应商参加投标确认函原件</w:t>
      </w:r>
    </w:p>
    <w:p w14:paraId="62088F03">
      <w:pPr>
        <w:autoSpaceDE w:val="0"/>
        <w:autoSpaceDN w:val="0"/>
        <w:jc w:val="center"/>
        <w:rPr>
          <w:rFonts w:ascii="宋体" w:hAnsi="宋体" w:cs="宋体"/>
          <w:sz w:val="28"/>
          <w:szCs w:val="28"/>
        </w:rPr>
      </w:pPr>
    </w:p>
    <w:p w14:paraId="606B33ED">
      <w:pPr>
        <w:autoSpaceDE w:val="0"/>
        <w:autoSpaceDN w:val="0"/>
        <w:jc w:val="center"/>
        <w:rPr>
          <w:rFonts w:ascii="宋体" w:hAnsi="宋体" w:cs="宋体"/>
          <w:sz w:val="28"/>
          <w:szCs w:val="28"/>
        </w:rPr>
      </w:pPr>
    </w:p>
    <w:p w14:paraId="04803A25">
      <w:pPr>
        <w:autoSpaceDE w:val="0"/>
        <w:autoSpaceDN w:val="0"/>
        <w:jc w:val="center"/>
        <w:rPr>
          <w:rFonts w:ascii="宋体" w:hAnsi="宋体" w:cs="宋体"/>
          <w:sz w:val="28"/>
          <w:szCs w:val="28"/>
        </w:rPr>
      </w:pPr>
    </w:p>
    <w:p w14:paraId="3FB67F75">
      <w:pPr>
        <w:pStyle w:val="16"/>
        <w:rPr>
          <w:b/>
          <w:sz w:val="36"/>
          <w:szCs w:val="36"/>
        </w:rPr>
      </w:pPr>
      <w:r>
        <w:rPr>
          <w:rFonts w:hint="eastAsia" w:ascii="宋体" w:hAnsi="宋体"/>
          <w:kern w:val="0"/>
          <w:sz w:val="36"/>
          <w:szCs w:val="36"/>
        </w:rPr>
        <w:t>（二）营业执照副本</w:t>
      </w:r>
    </w:p>
    <w:p w14:paraId="114BD020">
      <w:pPr>
        <w:adjustRightInd w:val="0"/>
        <w:snapToGrid w:val="0"/>
        <w:spacing w:line="440" w:lineRule="exact"/>
        <w:contextualSpacing/>
      </w:pPr>
    </w:p>
    <w:p w14:paraId="5889B94C">
      <w:pPr>
        <w:pStyle w:val="18"/>
      </w:pPr>
    </w:p>
    <w:p w14:paraId="046B01B7">
      <w:pPr>
        <w:pStyle w:val="18"/>
      </w:pPr>
    </w:p>
    <w:p w14:paraId="6FA6F1D3">
      <w:pPr>
        <w:pStyle w:val="18"/>
      </w:pPr>
    </w:p>
    <w:p w14:paraId="55EDFB1F">
      <w:pPr>
        <w:pStyle w:val="18"/>
      </w:pPr>
    </w:p>
    <w:p w14:paraId="3AB853DE">
      <w:pPr>
        <w:pStyle w:val="18"/>
      </w:pPr>
    </w:p>
    <w:p w14:paraId="1884DE11">
      <w:pPr>
        <w:pStyle w:val="18"/>
      </w:pPr>
    </w:p>
    <w:p w14:paraId="648D0CBD">
      <w:pPr>
        <w:pStyle w:val="18"/>
      </w:pPr>
    </w:p>
    <w:p w14:paraId="327F19E0">
      <w:pPr>
        <w:pStyle w:val="18"/>
      </w:pPr>
    </w:p>
    <w:p w14:paraId="33EE8174">
      <w:pPr>
        <w:pStyle w:val="18"/>
      </w:pPr>
    </w:p>
    <w:p w14:paraId="21F23AA7">
      <w:pPr>
        <w:pStyle w:val="18"/>
      </w:pPr>
    </w:p>
    <w:p w14:paraId="1CCF9D46">
      <w:pPr>
        <w:pStyle w:val="18"/>
      </w:pPr>
    </w:p>
    <w:p w14:paraId="2D502380">
      <w:pPr>
        <w:pStyle w:val="18"/>
      </w:pPr>
    </w:p>
    <w:p w14:paraId="7C4BDE2B">
      <w:pPr>
        <w:pStyle w:val="18"/>
      </w:pPr>
    </w:p>
    <w:p w14:paraId="3B2327CC">
      <w:pPr>
        <w:pStyle w:val="18"/>
      </w:pPr>
    </w:p>
    <w:p w14:paraId="11AC5DC9">
      <w:pPr>
        <w:pStyle w:val="18"/>
      </w:pPr>
    </w:p>
    <w:p w14:paraId="5D28D6E3">
      <w:pPr>
        <w:pStyle w:val="18"/>
      </w:pPr>
    </w:p>
    <w:p w14:paraId="390F0B8A">
      <w:pPr>
        <w:pStyle w:val="18"/>
      </w:pPr>
    </w:p>
    <w:p w14:paraId="25BA2C9A">
      <w:pPr>
        <w:pStyle w:val="18"/>
      </w:pPr>
    </w:p>
    <w:p w14:paraId="4DBEDD70">
      <w:pPr>
        <w:pStyle w:val="18"/>
      </w:pPr>
    </w:p>
    <w:p w14:paraId="6117C472">
      <w:pPr>
        <w:pStyle w:val="18"/>
      </w:pPr>
    </w:p>
    <w:p w14:paraId="4AF70E67">
      <w:pPr>
        <w:pStyle w:val="18"/>
      </w:pPr>
    </w:p>
    <w:p w14:paraId="0D833B33">
      <w:pPr>
        <w:pStyle w:val="18"/>
      </w:pPr>
    </w:p>
    <w:p w14:paraId="5094DB1C">
      <w:pPr>
        <w:pStyle w:val="18"/>
      </w:pPr>
    </w:p>
    <w:p w14:paraId="551FE9BA">
      <w:pPr>
        <w:pStyle w:val="18"/>
      </w:pPr>
    </w:p>
    <w:p w14:paraId="479EBB6A">
      <w:pPr>
        <w:pStyle w:val="18"/>
      </w:pPr>
    </w:p>
    <w:p w14:paraId="098ED10A">
      <w:pPr>
        <w:pStyle w:val="18"/>
      </w:pPr>
    </w:p>
    <w:p w14:paraId="4E39931B">
      <w:pPr>
        <w:pStyle w:val="18"/>
      </w:pPr>
    </w:p>
    <w:p w14:paraId="70F63CAC">
      <w:pPr>
        <w:pStyle w:val="18"/>
      </w:pPr>
    </w:p>
    <w:p w14:paraId="7BD653FC">
      <w:pPr>
        <w:pStyle w:val="18"/>
      </w:pPr>
    </w:p>
    <w:p w14:paraId="6194713D">
      <w:pPr>
        <w:pStyle w:val="18"/>
      </w:pPr>
    </w:p>
    <w:p w14:paraId="359D12A2">
      <w:pPr>
        <w:pStyle w:val="18"/>
      </w:pPr>
    </w:p>
    <w:p w14:paraId="249F2FAA">
      <w:pPr>
        <w:adjustRightInd w:val="0"/>
        <w:snapToGrid w:val="0"/>
        <w:spacing w:line="440" w:lineRule="exact"/>
        <w:contextualSpacing/>
      </w:pPr>
    </w:p>
    <w:p w14:paraId="648D52DC">
      <w:pPr>
        <w:pStyle w:val="16"/>
        <w:rPr>
          <w:rFonts w:ascii="宋体" w:hAnsi="宋体"/>
          <w:b/>
          <w:bCs/>
          <w:sz w:val="36"/>
          <w:szCs w:val="36"/>
        </w:rPr>
      </w:pPr>
      <w:r>
        <w:rPr>
          <w:rFonts w:hint="eastAsia" w:ascii="宋体" w:hAnsi="宋体"/>
          <w:kern w:val="0"/>
          <w:sz w:val="36"/>
          <w:szCs w:val="36"/>
        </w:rPr>
        <w:t>（三）参加本次采购活动前 3 年内在经营活动中没有重大违法记录的书面声明</w:t>
      </w:r>
    </w:p>
    <w:p w14:paraId="445029D3">
      <w:pPr>
        <w:pStyle w:val="5"/>
        <w:spacing w:line="440" w:lineRule="exact"/>
        <w:ind w:firstLine="0" w:firstLineChars="0"/>
        <w:jc w:val="center"/>
        <w:rPr>
          <w:b/>
          <w:sz w:val="24"/>
        </w:rPr>
      </w:pPr>
      <w:r>
        <w:rPr>
          <w:rFonts w:hint="eastAsia"/>
          <w:b/>
          <w:sz w:val="24"/>
        </w:rPr>
        <w:t>(参考格式)</w:t>
      </w:r>
    </w:p>
    <w:p w14:paraId="69EC6D83">
      <w:pPr>
        <w:spacing w:after="240" w:afterLines="100" w:line="360" w:lineRule="auto"/>
        <w:jc w:val="center"/>
        <w:rPr>
          <w:rFonts w:ascii="宋体" w:hAnsi="宋体"/>
          <w:b/>
          <w:bCs/>
          <w:szCs w:val="21"/>
        </w:rPr>
      </w:pPr>
    </w:p>
    <w:p w14:paraId="55878B22">
      <w:pPr>
        <w:spacing w:after="240" w:afterLines="100" w:line="360" w:lineRule="auto"/>
        <w:jc w:val="center"/>
        <w:rPr>
          <w:rFonts w:ascii="宋体" w:hAnsi="宋体"/>
          <w:b/>
          <w:bCs/>
          <w:sz w:val="24"/>
        </w:rPr>
      </w:pPr>
      <w:r>
        <w:rPr>
          <w:rFonts w:hint="eastAsia" w:ascii="宋体" w:hAnsi="宋体"/>
          <w:b/>
          <w:bCs/>
          <w:sz w:val="24"/>
        </w:rPr>
        <w:t>声  明</w:t>
      </w:r>
    </w:p>
    <w:p w14:paraId="6524098B">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4E5B347C">
      <w:pPr>
        <w:adjustRightInd w:val="0"/>
        <w:snapToGrid w:val="0"/>
        <w:spacing w:line="440" w:lineRule="exact"/>
        <w:contextualSpacing/>
        <w:rPr>
          <w:rFonts w:ascii="宋体" w:hAnsi="宋体"/>
          <w:bCs/>
          <w:sz w:val="24"/>
        </w:rPr>
      </w:pPr>
    </w:p>
    <w:p w14:paraId="0A6DDF16">
      <w:pPr>
        <w:pStyle w:val="18"/>
        <w:rPr>
          <w:rFonts w:ascii="宋体" w:hAnsi="宋体"/>
          <w:bCs/>
          <w:sz w:val="24"/>
        </w:rPr>
      </w:pPr>
    </w:p>
    <w:p w14:paraId="34BBE59D">
      <w:pPr>
        <w:pStyle w:val="18"/>
        <w:rPr>
          <w:rFonts w:ascii="宋体" w:hAnsi="宋体"/>
          <w:bCs/>
          <w:sz w:val="24"/>
        </w:rPr>
      </w:pPr>
    </w:p>
    <w:p w14:paraId="4DF1D789">
      <w:pPr>
        <w:pStyle w:val="18"/>
        <w:rPr>
          <w:rFonts w:ascii="宋体" w:hAnsi="宋体"/>
          <w:bCs/>
          <w:sz w:val="24"/>
        </w:rPr>
      </w:pPr>
    </w:p>
    <w:p w14:paraId="2399DFC8">
      <w:pPr>
        <w:pStyle w:val="18"/>
        <w:rPr>
          <w:rFonts w:ascii="宋体" w:hAnsi="宋体"/>
          <w:bCs/>
          <w:sz w:val="24"/>
        </w:rPr>
      </w:pPr>
    </w:p>
    <w:p w14:paraId="5EB06E3D">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0343D8B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401031E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6AB15389">
      <w:pPr>
        <w:pStyle w:val="12"/>
        <w:jc w:val="center"/>
        <w:rPr>
          <w:rFonts w:asciiTheme="minorEastAsia" w:hAnsiTheme="minorEastAsia" w:eastAsiaTheme="minorEastAsia"/>
          <w:b/>
          <w:sz w:val="36"/>
        </w:rPr>
      </w:pPr>
    </w:p>
    <w:p w14:paraId="73D67D95">
      <w:pPr>
        <w:pStyle w:val="12"/>
        <w:jc w:val="center"/>
        <w:rPr>
          <w:rFonts w:asciiTheme="minorEastAsia" w:hAnsiTheme="minorEastAsia" w:eastAsiaTheme="minorEastAsia"/>
          <w:b/>
          <w:sz w:val="36"/>
        </w:rPr>
      </w:pPr>
    </w:p>
    <w:p w14:paraId="31CE5AD0">
      <w:pPr>
        <w:pStyle w:val="12"/>
        <w:jc w:val="center"/>
        <w:rPr>
          <w:rFonts w:asciiTheme="minorEastAsia" w:hAnsiTheme="minorEastAsia" w:eastAsiaTheme="minorEastAsia"/>
          <w:b/>
          <w:sz w:val="36"/>
        </w:rPr>
      </w:pPr>
    </w:p>
    <w:p w14:paraId="10CCE946">
      <w:pPr>
        <w:pStyle w:val="12"/>
        <w:jc w:val="center"/>
        <w:rPr>
          <w:rFonts w:asciiTheme="minorEastAsia" w:hAnsiTheme="minorEastAsia" w:eastAsiaTheme="minorEastAsia"/>
          <w:b/>
          <w:sz w:val="36"/>
        </w:rPr>
      </w:pPr>
    </w:p>
    <w:p w14:paraId="0D7B8152">
      <w:pPr>
        <w:pStyle w:val="12"/>
        <w:jc w:val="center"/>
        <w:rPr>
          <w:rFonts w:asciiTheme="minorEastAsia" w:hAnsiTheme="minorEastAsia" w:eastAsiaTheme="minorEastAsia"/>
          <w:b/>
          <w:sz w:val="36"/>
        </w:rPr>
      </w:pPr>
    </w:p>
    <w:p w14:paraId="0DEEF007">
      <w:pPr>
        <w:pStyle w:val="12"/>
        <w:jc w:val="center"/>
        <w:rPr>
          <w:rFonts w:asciiTheme="minorEastAsia" w:hAnsiTheme="minorEastAsia" w:eastAsiaTheme="minorEastAsia"/>
          <w:b/>
          <w:sz w:val="36"/>
        </w:rPr>
      </w:pPr>
    </w:p>
    <w:p w14:paraId="7B5068DE">
      <w:pPr>
        <w:pStyle w:val="12"/>
        <w:jc w:val="center"/>
        <w:rPr>
          <w:rFonts w:asciiTheme="minorEastAsia" w:hAnsiTheme="minorEastAsia" w:eastAsiaTheme="minorEastAsia"/>
          <w:b/>
          <w:sz w:val="36"/>
        </w:rPr>
      </w:pPr>
    </w:p>
    <w:p w14:paraId="2BE0081D">
      <w:pPr>
        <w:pStyle w:val="12"/>
        <w:jc w:val="center"/>
        <w:rPr>
          <w:rFonts w:asciiTheme="minorEastAsia" w:hAnsiTheme="minorEastAsia" w:eastAsiaTheme="minorEastAsia"/>
          <w:b/>
          <w:sz w:val="36"/>
        </w:rPr>
      </w:pPr>
    </w:p>
    <w:p w14:paraId="312CD73D">
      <w:pPr>
        <w:pStyle w:val="12"/>
        <w:jc w:val="center"/>
        <w:rPr>
          <w:rFonts w:asciiTheme="minorEastAsia" w:hAnsiTheme="minorEastAsia" w:eastAsiaTheme="minorEastAsia"/>
          <w:b/>
          <w:sz w:val="36"/>
        </w:rPr>
      </w:pPr>
    </w:p>
    <w:p w14:paraId="4D6D8AB3">
      <w:pPr>
        <w:pStyle w:val="12"/>
        <w:jc w:val="center"/>
        <w:rPr>
          <w:rFonts w:asciiTheme="minorEastAsia" w:hAnsiTheme="minorEastAsia" w:eastAsiaTheme="minorEastAsia"/>
          <w:b/>
          <w:sz w:val="36"/>
        </w:rPr>
      </w:pPr>
    </w:p>
    <w:p w14:paraId="57F730E0">
      <w:pPr>
        <w:pStyle w:val="12"/>
        <w:jc w:val="center"/>
        <w:rPr>
          <w:rFonts w:asciiTheme="minorEastAsia" w:hAnsiTheme="minorEastAsia" w:eastAsiaTheme="minorEastAsia"/>
          <w:b/>
          <w:sz w:val="36"/>
        </w:rPr>
      </w:pPr>
    </w:p>
    <w:p w14:paraId="6C39E909">
      <w:pPr>
        <w:pStyle w:val="12"/>
        <w:jc w:val="center"/>
        <w:rPr>
          <w:rFonts w:asciiTheme="minorEastAsia" w:hAnsiTheme="minorEastAsia" w:eastAsiaTheme="minorEastAsia"/>
          <w:b/>
          <w:sz w:val="36"/>
        </w:rPr>
      </w:pPr>
    </w:p>
    <w:p w14:paraId="5E358AA5">
      <w:pPr>
        <w:pStyle w:val="12"/>
        <w:jc w:val="center"/>
        <w:rPr>
          <w:rFonts w:asciiTheme="minorEastAsia" w:hAnsiTheme="minorEastAsia" w:eastAsiaTheme="minorEastAsia"/>
          <w:b/>
          <w:sz w:val="36"/>
        </w:rPr>
      </w:pPr>
    </w:p>
    <w:p w14:paraId="7CA81E29">
      <w:pPr>
        <w:pStyle w:val="12"/>
        <w:rPr>
          <w:rFonts w:asciiTheme="minorEastAsia" w:hAnsiTheme="minorEastAsia" w:eastAsiaTheme="minorEastAsia"/>
          <w:b/>
          <w:sz w:val="36"/>
        </w:rPr>
      </w:pPr>
    </w:p>
    <w:p w14:paraId="4FA11320">
      <w:pPr>
        <w:pStyle w:val="16"/>
        <w:rPr>
          <w:rFonts w:asciiTheme="minorEastAsia" w:hAnsiTheme="minorEastAsia" w:eastAsiaTheme="minorEastAsia"/>
          <w:b/>
          <w:sz w:val="36"/>
        </w:rPr>
      </w:pPr>
      <w:r>
        <w:rPr>
          <w:rFonts w:hint="eastAsia" w:ascii="宋体" w:hAnsi="宋体"/>
          <w:kern w:val="0"/>
          <w:sz w:val="36"/>
          <w:szCs w:val="36"/>
        </w:rPr>
        <w:t>（四）“信用中国”网站（www.creditchina.gov.cn）、“中国政府采购网"(www.ccgp.gov.cn)的查询截图</w:t>
      </w:r>
    </w:p>
    <w:p w14:paraId="38461C37">
      <w:pPr>
        <w:pStyle w:val="12"/>
        <w:jc w:val="center"/>
        <w:rPr>
          <w:rFonts w:asciiTheme="minorEastAsia" w:hAnsiTheme="minorEastAsia" w:eastAsiaTheme="minorEastAsia"/>
          <w:b/>
          <w:sz w:val="36"/>
        </w:rPr>
      </w:pPr>
    </w:p>
    <w:p w14:paraId="6F001FD1">
      <w:pPr>
        <w:pStyle w:val="12"/>
        <w:jc w:val="center"/>
        <w:rPr>
          <w:rFonts w:asciiTheme="minorEastAsia" w:hAnsiTheme="minorEastAsia" w:eastAsiaTheme="minorEastAsia"/>
          <w:b/>
          <w:sz w:val="36"/>
        </w:rPr>
      </w:pPr>
    </w:p>
    <w:p w14:paraId="54AB5C9C">
      <w:pPr>
        <w:pStyle w:val="12"/>
        <w:jc w:val="center"/>
        <w:rPr>
          <w:rFonts w:asciiTheme="minorEastAsia" w:hAnsiTheme="minorEastAsia" w:eastAsiaTheme="minorEastAsia"/>
          <w:b/>
          <w:sz w:val="36"/>
        </w:rPr>
      </w:pPr>
    </w:p>
    <w:p w14:paraId="2773D575">
      <w:pPr>
        <w:pStyle w:val="12"/>
        <w:jc w:val="center"/>
        <w:rPr>
          <w:rFonts w:asciiTheme="minorEastAsia" w:hAnsiTheme="minorEastAsia" w:eastAsiaTheme="minorEastAsia"/>
          <w:b/>
          <w:sz w:val="36"/>
        </w:rPr>
      </w:pPr>
    </w:p>
    <w:p w14:paraId="4CAA46B6">
      <w:pPr>
        <w:pStyle w:val="12"/>
        <w:jc w:val="center"/>
        <w:rPr>
          <w:rFonts w:asciiTheme="minorEastAsia" w:hAnsiTheme="minorEastAsia" w:eastAsiaTheme="minorEastAsia"/>
          <w:b/>
          <w:sz w:val="36"/>
        </w:rPr>
      </w:pPr>
    </w:p>
    <w:p w14:paraId="0B6EA4FD">
      <w:pPr>
        <w:pStyle w:val="12"/>
        <w:jc w:val="center"/>
        <w:rPr>
          <w:rFonts w:asciiTheme="minorEastAsia" w:hAnsiTheme="minorEastAsia" w:eastAsiaTheme="minorEastAsia"/>
          <w:b/>
          <w:sz w:val="36"/>
        </w:rPr>
      </w:pPr>
    </w:p>
    <w:p w14:paraId="3F083025">
      <w:pPr>
        <w:pStyle w:val="12"/>
        <w:jc w:val="center"/>
        <w:rPr>
          <w:rFonts w:asciiTheme="minorEastAsia" w:hAnsiTheme="minorEastAsia" w:eastAsiaTheme="minorEastAsia"/>
          <w:b/>
          <w:sz w:val="36"/>
        </w:rPr>
      </w:pPr>
    </w:p>
    <w:p w14:paraId="28A258BD">
      <w:pPr>
        <w:pStyle w:val="12"/>
        <w:jc w:val="center"/>
        <w:rPr>
          <w:rFonts w:asciiTheme="minorEastAsia" w:hAnsiTheme="minorEastAsia" w:eastAsiaTheme="minorEastAsia"/>
          <w:b/>
          <w:sz w:val="36"/>
        </w:rPr>
      </w:pPr>
    </w:p>
    <w:p w14:paraId="7C9BA07C">
      <w:pPr>
        <w:pStyle w:val="12"/>
        <w:jc w:val="center"/>
        <w:rPr>
          <w:rFonts w:asciiTheme="minorEastAsia" w:hAnsiTheme="minorEastAsia" w:eastAsiaTheme="minorEastAsia"/>
          <w:b/>
          <w:sz w:val="36"/>
        </w:rPr>
      </w:pPr>
    </w:p>
    <w:p w14:paraId="72DFD3AE">
      <w:pPr>
        <w:pStyle w:val="12"/>
        <w:jc w:val="center"/>
        <w:rPr>
          <w:rFonts w:asciiTheme="minorEastAsia" w:hAnsiTheme="minorEastAsia" w:eastAsiaTheme="minorEastAsia"/>
          <w:b/>
          <w:sz w:val="36"/>
        </w:rPr>
      </w:pPr>
    </w:p>
    <w:p w14:paraId="74110E53">
      <w:pPr>
        <w:pStyle w:val="12"/>
        <w:jc w:val="center"/>
        <w:rPr>
          <w:rFonts w:asciiTheme="minorEastAsia" w:hAnsiTheme="minorEastAsia" w:eastAsiaTheme="minorEastAsia"/>
          <w:b/>
          <w:sz w:val="36"/>
        </w:rPr>
      </w:pPr>
    </w:p>
    <w:p w14:paraId="287B6BB7">
      <w:pPr>
        <w:pStyle w:val="12"/>
        <w:jc w:val="center"/>
        <w:rPr>
          <w:rFonts w:asciiTheme="minorEastAsia" w:hAnsiTheme="minorEastAsia" w:eastAsiaTheme="minorEastAsia"/>
          <w:b/>
          <w:sz w:val="36"/>
        </w:rPr>
      </w:pPr>
    </w:p>
    <w:p w14:paraId="69EF7FD7">
      <w:pPr>
        <w:pStyle w:val="12"/>
        <w:jc w:val="center"/>
        <w:rPr>
          <w:rFonts w:asciiTheme="minorEastAsia" w:hAnsiTheme="minorEastAsia" w:eastAsiaTheme="minorEastAsia"/>
          <w:b/>
          <w:sz w:val="36"/>
        </w:rPr>
      </w:pPr>
    </w:p>
    <w:p w14:paraId="0434D35C">
      <w:pPr>
        <w:pStyle w:val="12"/>
        <w:jc w:val="center"/>
        <w:rPr>
          <w:rFonts w:asciiTheme="minorEastAsia" w:hAnsiTheme="minorEastAsia" w:eastAsiaTheme="minorEastAsia"/>
          <w:b/>
          <w:sz w:val="36"/>
        </w:rPr>
      </w:pPr>
    </w:p>
    <w:p w14:paraId="1D4D94C2">
      <w:pPr>
        <w:pStyle w:val="12"/>
        <w:jc w:val="center"/>
        <w:rPr>
          <w:rFonts w:asciiTheme="minorEastAsia" w:hAnsiTheme="minorEastAsia" w:eastAsiaTheme="minorEastAsia"/>
          <w:b/>
          <w:sz w:val="36"/>
        </w:rPr>
      </w:pPr>
    </w:p>
    <w:p w14:paraId="72C8584C">
      <w:pPr>
        <w:pStyle w:val="12"/>
        <w:jc w:val="center"/>
        <w:rPr>
          <w:rFonts w:asciiTheme="minorEastAsia" w:hAnsiTheme="minorEastAsia" w:eastAsiaTheme="minorEastAsia"/>
          <w:b/>
          <w:sz w:val="36"/>
        </w:rPr>
      </w:pPr>
    </w:p>
    <w:p w14:paraId="22AB66B4">
      <w:pPr>
        <w:pStyle w:val="12"/>
        <w:jc w:val="center"/>
        <w:rPr>
          <w:rFonts w:asciiTheme="minorEastAsia" w:hAnsiTheme="minorEastAsia" w:eastAsiaTheme="minorEastAsia"/>
          <w:b/>
          <w:sz w:val="36"/>
        </w:rPr>
      </w:pPr>
    </w:p>
    <w:p w14:paraId="72EAEA70">
      <w:pPr>
        <w:pStyle w:val="12"/>
        <w:jc w:val="center"/>
        <w:rPr>
          <w:rFonts w:asciiTheme="minorEastAsia" w:hAnsiTheme="minorEastAsia" w:eastAsiaTheme="minorEastAsia"/>
          <w:b/>
          <w:sz w:val="36"/>
        </w:rPr>
      </w:pPr>
    </w:p>
    <w:p w14:paraId="5F951467">
      <w:pPr>
        <w:pStyle w:val="12"/>
        <w:jc w:val="center"/>
        <w:rPr>
          <w:rFonts w:asciiTheme="minorEastAsia" w:hAnsiTheme="minorEastAsia" w:eastAsiaTheme="minorEastAsia"/>
          <w:b/>
          <w:sz w:val="36"/>
        </w:rPr>
      </w:pPr>
    </w:p>
    <w:p w14:paraId="5E484CD8">
      <w:pPr>
        <w:pStyle w:val="12"/>
        <w:jc w:val="center"/>
        <w:rPr>
          <w:rFonts w:asciiTheme="minorEastAsia" w:hAnsiTheme="minorEastAsia" w:eastAsiaTheme="minorEastAsia"/>
          <w:b/>
          <w:sz w:val="36"/>
        </w:rPr>
      </w:pPr>
    </w:p>
    <w:p w14:paraId="1D7D95C5">
      <w:pPr>
        <w:pStyle w:val="12"/>
        <w:jc w:val="center"/>
        <w:rPr>
          <w:rFonts w:asciiTheme="minorEastAsia" w:hAnsiTheme="minorEastAsia" w:eastAsiaTheme="minorEastAsia"/>
          <w:b/>
          <w:sz w:val="36"/>
        </w:rPr>
      </w:pPr>
    </w:p>
    <w:p w14:paraId="6915806A">
      <w:pPr>
        <w:pStyle w:val="12"/>
        <w:jc w:val="center"/>
        <w:rPr>
          <w:rFonts w:asciiTheme="minorEastAsia" w:hAnsiTheme="minorEastAsia" w:eastAsiaTheme="minorEastAsia"/>
          <w:b/>
          <w:sz w:val="36"/>
        </w:rPr>
      </w:pPr>
    </w:p>
    <w:p w14:paraId="7D3C2D8A">
      <w:pPr>
        <w:pStyle w:val="12"/>
        <w:jc w:val="center"/>
        <w:rPr>
          <w:rFonts w:asciiTheme="minorEastAsia" w:hAnsiTheme="minorEastAsia" w:eastAsiaTheme="minorEastAsia"/>
          <w:b/>
          <w:sz w:val="36"/>
        </w:rPr>
      </w:pPr>
    </w:p>
    <w:p w14:paraId="0FB11D41">
      <w:pPr>
        <w:pStyle w:val="12"/>
        <w:jc w:val="center"/>
        <w:rPr>
          <w:rFonts w:asciiTheme="minorEastAsia" w:hAnsiTheme="minorEastAsia" w:eastAsiaTheme="minorEastAsia"/>
          <w:b/>
          <w:sz w:val="36"/>
        </w:rPr>
      </w:pPr>
    </w:p>
    <w:p w14:paraId="62D770AE">
      <w:pPr>
        <w:pStyle w:val="12"/>
        <w:jc w:val="center"/>
        <w:rPr>
          <w:rFonts w:asciiTheme="minorEastAsia" w:hAnsiTheme="minorEastAsia" w:eastAsiaTheme="minorEastAsia"/>
          <w:b/>
          <w:sz w:val="36"/>
        </w:rPr>
      </w:pPr>
    </w:p>
    <w:p w14:paraId="56AAA951">
      <w:pPr>
        <w:pStyle w:val="12"/>
        <w:jc w:val="center"/>
        <w:rPr>
          <w:rFonts w:asciiTheme="minorEastAsia" w:hAnsiTheme="minorEastAsia" w:eastAsiaTheme="minorEastAsia"/>
          <w:b/>
          <w:sz w:val="36"/>
        </w:rPr>
      </w:pPr>
    </w:p>
    <w:p w14:paraId="4D450623">
      <w:pPr>
        <w:pStyle w:val="12"/>
        <w:rPr>
          <w:rFonts w:asciiTheme="minorEastAsia" w:hAnsiTheme="minorEastAsia" w:eastAsiaTheme="minorEastAsia"/>
          <w:b/>
          <w:sz w:val="36"/>
        </w:rPr>
      </w:pPr>
    </w:p>
    <w:p w14:paraId="5D35075F">
      <w:pPr>
        <w:pStyle w:val="16"/>
        <w:rPr>
          <w:rFonts w:asciiTheme="minorEastAsia" w:hAnsiTheme="minorEastAsia" w:eastAsiaTheme="minorEastAsia"/>
          <w:b/>
          <w:sz w:val="36"/>
        </w:rPr>
      </w:pPr>
      <w:r>
        <w:rPr>
          <w:rFonts w:hint="eastAsia" w:ascii="宋体" w:hAnsi="宋体"/>
          <w:kern w:val="0"/>
          <w:sz w:val="36"/>
          <w:szCs w:val="36"/>
        </w:rPr>
        <w:t>（五）法人代表授权委托书</w:t>
      </w:r>
    </w:p>
    <w:p w14:paraId="460841B7">
      <w:pPr>
        <w:pStyle w:val="12"/>
        <w:rPr>
          <w:rFonts w:ascii="Times New Roman" w:hAnsi="Times New Roman"/>
          <w:b/>
          <w:sz w:val="36"/>
        </w:rPr>
      </w:pPr>
    </w:p>
    <w:p w14:paraId="5AEBEBBD">
      <w:pPr>
        <w:pStyle w:val="12"/>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的法定代表人，现授权委托我单位的(姓名)为我公司代理人。代理人在</w:t>
      </w:r>
      <w:r>
        <w:rPr>
          <w:rFonts w:hint="eastAsia" w:hAnsi="宋体" w:cs="宋体" w:eastAsiaTheme="minorEastAsia"/>
          <w:sz w:val="24"/>
          <w:u w:val="single"/>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4FF9C6A8">
      <w:pPr>
        <w:pStyle w:val="12"/>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5B43E9FC">
      <w:pPr>
        <w:pStyle w:val="12"/>
        <w:adjustRightInd w:val="0"/>
        <w:snapToGrid w:val="0"/>
        <w:spacing w:line="440" w:lineRule="exact"/>
        <w:ind w:firstLine="420"/>
        <w:contextualSpacing/>
        <w:rPr>
          <w:rFonts w:asciiTheme="minorEastAsia" w:hAnsiTheme="minorEastAsia" w:eastAsiaTheme="minorEastAsia"/>
          <w:sz w:val="24"/>
          <w:szCs w:val="24"/>
        </w:rPr>
      </w:pPr>
    </w:p>
    <w:p w14:paraId="6F0EA914">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31AA9170">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1BD49500">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02DA21CD">
      <w:pPr>
        <w:pStyle w:val="12"/>
        <w:adjustRightInd w:val="0"/>
        <w:snapToGrid w:val="0"/>
        <w:spacing w:line="500" w:lineRule="exact"/>
        <w:ind w:firstLine="420"/>
        <w:contextualSpacing/>
        <w:rPr>
          <w:rFonts w:asciiTheme="minorEastAsia" w:hAnsiTheme="minorEastAsia" w:eastAsiaTheme="minorEastAsia"/>
          <w:sz w:val="24"/>
          <w:szCs w:val="24"/>
        </w:rPr>
      </w:pPr>
    </w:p>
    <w:p w14:paraId="1F60E420">
      <w:pPr>
        <w:pStyle w:val="12"/>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5A38873C">
      <w:pPr>
        <w:pStyle w:val="12"/>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676A268F">
      <w:pPr>
        <w:adjustRightInd w:val="0"/>
        <w:snapToGrid w:val="0"/>
        <w:spacing w:line="440" w:lineRule="exact"/>
        <w:contextualSpacing/>
      </w:pPr>
    </w:p>
    <w:tbl>
      <w:tblPr>
        <w:tblStyle w:val="20"/>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6F19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7A9C4841">
            <w:pPr>
              <w:adjustRightInd w:val="0"/>
              <w:snapToGrid w:val="0"/>
              <w:spacing w:line="440" w:lineRule="exact"/>
              <w:contextualSpacing/>
            </w:pPr>
          </w:p>
          <w:p w14:paraId="3F8DD57A">
            <w:pPr>
              <w:pStyle w:val="4"/>
            </w:pPr>
          </w:p>
          <w:p w14:paraId="5114A967"/>
          <w:p w14:paraId="3354D3FE">
            <w:pPr>
              <w:pStyle w:val="4"/>
            </w:pPr>
          </w:p>
          <w:p w14:paraId="055266D8"/>
          <w:p w14:paraId="20B7568D">
            <w:pPr>
              <w:pStyle w:val="4"/>
            </w:pPr>
          </w:p>
          <w:p w14:paraId="499FED5A"/>
          <w:p w14:paraId="2897AF0A">
            <w:pPr>
              <w:pStyle w:val="4"/>
            </w:pPr>
          </w:p>
          <w:p w14:paraId="1D6734AB"/>
          <w:p w14:paraId="26738201">
            <w:pPr>
              <w:pStyle w:val="4"/>
            </w:pPr>
          </w:p>
          <w:p w14:paraId="045FBD9A"/>
          <w:p w14:paraId="43D8ED0E">
            <w:pPr>
              <w:pStyle w:val="4"/>
            </w:pPr>
          </w:p>
          <w:p w14:paraId="5672D8F1"/>
          <w:p w14:paraId="70676533">
            <w:pPr>
              <w:pStyle w:val="4"/>
            </w:pPr>
          </w:p>
          <w:p w14:paraId="2F9D2B4A"/>
          <w:p w14:paraId="0E480B1B">
            <w:pPr>
              <w:pStyle w:val="4"/>
            </w:pPr>
          </w:p>
        </w:tc>
        <w:tc>
          <w:tcPr>
            <w:tcW w:w="4937" w:type="dxa"/>
          </w:tcPr>
          <w:p w14:paraId="1BF1DEDB">
            <w:pPr>
              <w:adjustRightInd w:val="0"/>
              <w:snapToGrid w:val="0"/>
              <w:spacing w:line="440" w:lineRule="exact"/>
              <w:contextualSpacing/>
            </w:pPr>
          </w:p>
        </w:tc>
      </w:tr>
    </w:tbl>
    <w:p w14:paraId="5C60EC91">
      <w:pPr>
        <w:adjustRightInd w:val="0"/>
        <w:snapToGrid w:val="0"/>
        <w:spacing w:line="440" w:lineRule="exact"/>
        <w:contextualSpacing/>
      </w:pPr>
    </w:p>
    <w:p w14:paraId="5A54BE40"/>
    <w:p w14:paraId="0FF94AD5">
      <w:pPr>
        <w:pStyle w:val="8"/>
      </w:pPr>
    </w:p>
    <w:p w14:paraId="08C1455D">
      <w:pPr>
        <w:pStyle w:val="9"/>
      </w:pPr>
    </w:p>
    <w:p w14:paraId="434F6869">
      <w:pPr>
        <w:pStyle w:val="9"/>
      </w:pPr>
    </w:p>
    <w:p w14:paraId="5F522DFA">
      <w:pPr>
        <w:pStyle w:val="9"/>
      </w:pPr>
    </w:p>
    <w:p w14:paraId="0C633CE3">
      <w:pPr>
        <w:pStyle w:val="9"/>
      </w:pPr>
    </w:p>
    <w:p w14:paraId="177F420D">
      <w:pPr>
        <w:pStyle w:val="9"/>
      </w:pPr>
    </w:p>
    <w:p w14:paraId="7AC1460C">
      <w:pPr>
        <w:pStyle w:val="7"/>
      </w:pPr>
    </w:p>
    <w:p w14:paraId="7E6D0B7F">
      <w:pPr>
        <w:pStyle w:val="16"/>
        <w:rPr>
          <w:rFonts w:ascii="宋体" w:hAnsi="宋体" w:cs="宋体"/>
          <w:b/>
          <w:sz w:val="24"/>
        </w:rPr>
      </w:pPr>
      <w:r>
        <w:rPr>
          <w:rFonts w:hint="eastAsia" w:ascii="宋体" w:hAnsi="宋体"/>
          <w:kern w:val="0"/>
          <w:sz w:val="36"/>
          <w:szCs w:val="36"/>
        </w:rPr>
        <w:t>（六）具有履行合同所必需的设备和专业技术能力承诺书</w:t>
      </w:r>
    </w:p>
    <w:p w14:paraId="105F3EEC">
      <w:pPr>
        <w:spacing w:line="360" w:lineRule="auto"/>
        <w:ind w:firstLine="480" w:firstLineChars="200"/>
        <w:rPr>
          <w:rFonts w:ascii="宋体" w:hAnsi="宋体" w:cs="宋体"/>
          <w:sz w:val="24"/>
        </w:rPr>
      </w:pPr>
    </w:p>
    <w:p w14:paraId="73630A04">
      <w:pPr>
        <w:spacing w:line="480" w:lineRule="auto"/>
        <w:ind w:firstLine="480" w:firstLineChars="200"/>
        <w:rPr>
          <w:rFonts w:ascii="宋体" w:hAnsi="宋体" w:cs="宋体"/>
          <w:sz w:val="24"/>
          <w:u w:val="single"/>
        </w:rPr>
      </w:pPr>
      <w:r>
        <w:rPr>
          <w:rFonts w:hint="eastAsia" w:ascii="宋体" w:hAnsi="宋体" w:cs="宋体"/>
          <w:sz w:val="24"/>
        </w:rPr>
        <w:t>至：</w:t>
      </w:r>
      <w:r>
        <w:rPr>
          <w:rFonts w:hint="eastAsia" w:ascii="宋体" w:hAnsi="宋体" w:cs="宋体"/>
          <w:sz w:val="24"/>
          <w:u w:val="single"/>
        </w:rPr>
        <w:t>扬州大学附属医院</w:t>
      </w:r>
    </w:p>
    <w:p w14:paraId="010A0C44">
      <w:pPr>
        <w:spacing w:line="480" w:lineRule="auto"/>
        <w:ind w:firstLine="480" w:firstLineChars="200"/>
        <w:rPr>
          <w:rFonts w:ascii="宋体" w:hAnsi="宋体" w:cs="宋体"/>
          <w:sz w:val="24"/>
        </w:rPr>
      </w:pPr>
      <w:bookmarkStart w:id="1" w:name="_GoBack"/>
      <w:bookmarkEnd w:id="1"/>
      <w:r>
        <w:rPr>
          <w:rFonts w:hint="eastAsia" w:ascii="宋体" w:hAnsi="宋体" w:cs="宋体"/>
          <w:sz w:val="24"/>
        </w:rPr>
        <w:t>我单位参与你单位组织的</w:t>
      </w:r>
      <w:r>
        <w:rPr>
          <w:rFonts w:hint="eastAsia" w:ascii="宋体" w:hAnsi="宋体" w:cs="宋体"/>
          <w:sz w:val="24"/>
          <w:u w:val="single"/>
        </w:rPr>
        <w:t xml:space="preserve">                           </w:t>
      </w:r>
      <w:r>
        <w:rPr>
          <w:rFonts w:hint="eastAsia" w:ascii="宋体" w:hAnsi="宋体" w:cs="宋体"/>
          <w:sz w:val="24"/>
        </w:rPr>
        <w:t>项目采购活动，现承诺具有履行合同所必需的设备和专业技术能力，如有虚假承诺，愿承担一切法律责任。</w:t>
      </w:r>
    </w:p>
    <w:p w14:paraId="5C6BE74E">
      <w:pPr>
        <w:spacing w:line="480" w:lineRule="auto"/>
        <w:ind w:firstLine="480" w:firstLineChars="200"/>
        <w:rPr>
          <w:rFonts w:ascii="宋体" w:hAnsi="宋体" w:cs="宋体"/>
          <w:sz w:val="24"/>
        </w:rPr>
      </w:pPr>
      <w:r>
        <w:rPr>
          <w:rFonts w:hint="eastAsia" w:ascii="宋体" w:hAnsi="宋体" w:cs="宋体"/>
          <w:sz w:val="24"/>
        </w:rPr>
        <w:t>特此承诺。</w:t>
      </w:r>
    </w:p>
    <w:p w14:paraId="5A878135">
      <w:pPr>
        <w:spacing w:line="480" w:lineRule="auto"/>
        <w:ind w:firstLine="480" w:firstLineChars="200"/>
        <w:rPr>
          <w:rFonts w:ascii="宋体" w:hAnsi="宋体" w:cs="宋体"/>
          <w:sz w:val="24"/>
        </w:rPr>
      </w:pPr>
    </w:p>
    <w:p w14:paraId="5BAAE6AB">
      <w:pPr>
        <w:spacing w:line="480" w:lineRule="auto"/>
        <w:ind w:firstLine="3840" w:firstLineChars="1600"/>
        <w:rPr>
          <w:rFonts w:ascii="宋体" w:hAnsi="宋体" w:cs="宋体"/>
          <w:iCs/>
          <w:sz w:val="24"/>
        </w:rPr>
      </w:pPr>
      <w:r>
        <w:rPr>
          <w:rFonts w:hint="eastAsia" w:ascii="宋体" w:hAnsi="宋体" w:cs="宋体"/>
          <w:sz w:val="24"/>
        </w:rPr>
        <w:t xml:space="preserve">     供应商：（填写名称并盖章）</w:t>
      </w:r>
    </w:p>
    <w:p w14:paraId="0EA94109">
      <w:pPr>
        <w:tabs>
          <w:tab w:val="left" w:pos="5310"/>
        </w:tabs>
        <w:spacing w:line="480" w:lineRule="auto"/>
        <w:rPr>
          <w:rFonts w:ascii="宋体" w:hAnsi="宋体" w:cs="宋体"/>
          <w:sz w:val="24"/>
        </w:rPr>
      </w:pPr>
      <w:r>
        <w:rPr>
          <w:rFonts w:hint="eastAsia" w:ascii="宋体" w:hAnsi="宋体" w:cs="宋体"/>
          <w:sz w:val="24"/>
        </w:rPr>
        <w:t xml:space="preserve">                               法定代表人或其授权委托人：</w:t>
      </w:r>
      <w:r>
        <w:rPr>
          <w:rFonts w:hint="eastAsia" w:ascii="宋体" w:hAnsi="宋体" w:cs="宋体"/>
          <w:iCs/>
          <w:sz w:val="24"/>
        </w:rPr>
        <w:t>（签字或盖章）</w:t>
      </w:r>
    </w:p>
    <w:p w14:paraId="3A86FB17">
      <w:pPr>
        <w:spacing w:line="360" w:lineRule="exact"/>
        <w:rPr>
          <w:rFonts w:ascii="宋体" w:hAnsi="宋体" w:cs="宋体"/>
          <w:b/>
          <w:sz w:val="24"/>
        </w:rPr>
      </w:pPr>
      <w:r>
        <w:rPr>
          <w:rFonts w:hint="eastAsia" w:ascii="宋体" w:hAnsi="宋体" w:cs="宋体"/>
          <w:sz w:val="24"/>
        </w:rPr>
        <w:t xml:space="preserve">                                     日期：202</w:t>
      </w:r>
      <w:r>
        <w:rPr>
          <w:rFonts w:hint="eastAsia" w:ascii="宋体" w:hAnsi="宋体" w:cs="宋体"/>
          <w:sz w:val="24"/>
          <w:lang w:val="en-US" w:eastAsia="zh-CN"/>
        </w:rPr>
        <w:t>6</w:t>
      </w:r>
      <w:r>
        <w:rPr>
          <w:rFonts w:hint="eastAsia" w:ascii="宋体" w:hAnsi="宋体" w:cs="宋体"/>
          <w:sz w:val="24"/>
        </w:rPr>
        <w:t>年   月   日</w:t>
      </w:r>
    </w:p>
    <w:p w14:paraId="3D8A8540">
      <w:pPr>
        <w:rPr>
          <w:rFonts w:ascii="宋体" w:hAnsi="宋体" w:cs="宋体"/>
          <w:sz w:val="24"/>
        </w:rPr>
      </w:pPr>
    </w:p>
    <w:p w14:paraId="60F375A9">
      <w:pPr>
        <w:pStyle w:val="16"/>
        <w:keepNext w:val="0"/>
        <w:keepLines w:val="0"/>
        <w:pageBreakBefore w:val="0"/>
        <w:widowControl w:val="0"/>
        <w:kinsoku/>
        <w:wordWrap/>
        <w:overflowPunct/>
        <w:topLinePunct w:val="0"/>
        <w:autoSpaceDE/>
        <w:autoSpaceDN/>
        <w:bidi w:val="0"/>
        <w:adjustRightInd/>
        <w:snapToGrid/>
        <w:textAlignment w:val="auto"/>
        <w:outlineLvl w:val="9"/>
        <w:rPr>
          <w:rFonts w:ascii="宋体" w:hAnsi="宋体"/>
          <w:kern w:val="0"/>
          <w:sz w:val="36"/>
          <w:szCs w:val="36"/>
        </w:rPr>
      </w:pPr>
    </w:p>
    <w:p w14:paraId="320FFE60"/>
    <w:p w14:paraId="72564EDC">
      <w:pPr>
        <w:pStyle w:val="8"/>
      </w:pPr>
    </w:p>
    <w:p w14:paraId="5DF8979E">
      <w:pPr>
        <w:pStyle w:val="7"/>
      </w:pPr>
    </w:p>
    <w:p w14:paraId="1D3C977C"/>
    <w:p w14:paraId="47570CF7">
      <w:pPr>
        <w:pStyle w:val="8"/>
      </w:pPr>
    </w:p>
    <w:p w14:paraId="4EAA5A0F">
      <w:pPr>
        <w:pStyle w:val="7"/>
      </w:pPr>
    </w:p>
    <w:p w14:paraId="2D0DE137"/>
    <w:p w14:paraId="58B4AB16">
      <w:pPr>
        <w:pStyle w:val="8"/>
      </w:pPr>
    </w:p>
    <w:p w14:paraId="5A4D2B17">
      <w:pPr>
        <w:pStyle w:val="7"/>
      </w:pPr>
    </w:p>
    <w:p w14:paraId="1F0172B4">
      <w:pPr>
        <w:pStyle w:val="8"/>
      </w:pPr>
    </w:p>
    <w:p w14:paraId="3EFB4D5A">
      <w:pPr>
        <w:pStyle w:val="7"/>
      </w:pPr>
    </w:p>
    <w:p w14:paraId="53CAA190"/>
    <w:p w14:paraId="7B57E5E2"/>
    <w:p w14:paraId="1DB49224"/>
    <w:p w14:paraId="4B9F5E35"/>
    <w:p w14:paraId="127C5289"/>
    <w:p w14:paraId="6F21F520"/>
    <w:p w14:paraId="60C30B6D">
      <w:pPr>
        <w:pStyle w:val="16"/>
        <w:rPr>
          <w:rFonts w:ascii="宋体" w:hAnsi="宋体"/>
          <w:sz w:val="36"/>
          <w:szCs w:val="36"/>
        </w:rPr>
      </w:pPr>
      <w:r>
        <w:rPr>
          <w:rFonts w:hint="eastAsia" w:ascii="宋体" w:hAnsi="宋体"/>
          <w:kern w:val="0"/>
          <w:sz w:val="36"/>
          <w:szCs w:val="36"/>
        </w:rPr>
        <w:t>（七）投标函</w:t>
      </w:r>
    </w:p>
    <w:p w14:paraId="41E6A343">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14:paraId="783ABFD2">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w:t>
      </w:r>
      <w:r>
        <w:rPr>
          <w:rFonts w:hint="eastAsia" w:ascii="宋体" w:hAnsi="宋体" w:cs="宋体"/>
          <w:sz w:val="24"/>
        </w:rPr>
        <w:t>扬州大学附属医院</w:t>
      </w:r>
      <w:r>
        <w:rPr>
          <w:rFonts w:hint="eastAsia" w:ascii="宋体" w:hAnsi="宋体" w:cs="宋体"/>
          <w:sz w:val="24"/>
          <w:u w:val="single"/>
        </w:rPr>
        <w:t xml:space="preserve">                           </w:t>
      </w:r>
      <w:r>
        <w:rPr>
          <w:rFonts w:hint="eastAsia" w:ascii="宋体" w:hAnsi="宋体" w:cs="宋体"/>
          <w:sz w:val="24"/>
        </w:rPr>
        <w:t>项目</w:t>
      </w:r>
      <w:r>
        <w:rPr>
          <w:rFonts w:hint="eastAsia" w:ascii="宋体" w:hAnsi="宋体"/>
          <w:sz w:val="24"/>
        </w:rPr>
        <w:t>询价邀请，我方针对该项目的投标报价为</w:t>
      </w:r>
      <w:r>
        <w:rPr>
          <w:rFonts w:hint="eastAsia" w:ascii="宋体" w:hAnsi="宋体"/>
          <w:sz w:val="24"/>
          <w:u w:val="single"/>
        </w:rPr>
        <w:t>（大写：         ）</w:t>
      </w:r>
      <w:r>
        <w:rPr>
          <w:rFonts w:hint="eastAsia" w:ascii="宋体" w:hAnsi="宋体"/>
          <w:sz w:val="24"/>
        </w:rPr>
        <w:t>元人民币。并正式授权的下述签字人             （职务和职称）代表投标人          （投标人名称），提交招标文件要求的全套投标文件，包括：</w:t>
      </w:r>
    </w:p>
    <w:p w14:paraId="5083868C">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045F4F55">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3CBE46C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67665CDB">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6468009C">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协议书中规定的</w:t>
      </w:r>
      <w:r>
        <w:rPr>
          <w:rFonts w:hint="eastAsia" w:ascii="宋体" w:hAnsi="宋体"/>
          <w:kern w:val="20"/>
          <w:sz w:val="24"/>
        </w:rPr>
        <w:t>日期完成项目。</w:t>
      </w:r>
    </w:p>
    <w:p w14:paraId="29490C5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4B5C8D85">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350620DA">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51507961">
      <w:pPr>
        <w:adjustRightInd w:val="0"/>
        <w:snapToGrid w:val="0"/>
        <w:spacing w:line="440" w:lineRule="exact"/>
        <w:contextualSpacing/>
        <w:rPr>
          <w:rFonts w:ascii="宋体" w:hAnsi="宋体"/>
          <w:sz w:val="24"/>
        </w:rPr>
      </w:pPr>
    </w:p>
    <w:p w14:paraId="766AC3A6">
      <w:pPr>
        <w:spacing w:line="360" w:lineRule="auto"/>
        <w:rPr>
          <w:rFonts w:ascii="宋体" w:hAnsi="宋体"/>
          <w:sz w:val="22"/>
        </w:rPr>
      </w:pPr>
    </w:p>
    <w:p w14:paraId="332DAA92">
      <w:pPr>
        <w:adjustRightInd w:val="0"/>
        <w:snapToGrid w:val="0"/>
        <w:spacing w:line="500" w:lineRule="exact"/>
        <w:ind w:left="420" w:leftChars="200"/>
        <w:contextualSpacing/>
        <w:rPr>
          <w:rFonts w:ascii="宋体" w:hAnsi="宋体"/>
          <w:sz w:val="24"/>
        </w:rPr>
      </w:pPr>
      <w:r>
        <w:rPr>
          <w:rFonts w:hint="eastAsia" w:ascii="宋体" w:hAnsi="宋体"/>
          <w:sz w:val="24"/>
        </w:rPr>
        <w:t>地址：                    邮编：</w:t>
      </w:r>
    </w:p>
    <w:p w14:paraId="1F021D64">
      <w:pPr>
        <w:adjustRightInd w:val="0"/>
        <w:snapToGrid w:val="0"/>
        <w:spacing w:line="500" w:lineRule="exact"/>
        <w:ind w:left="420" w:leftChars="200"/>
        <w:contextualSpacing/>
        <w:rPr>
          <w:rFonts w:ascii="宋体" w:hAnsi="宋体"/>
          <w:sz w:val="24"/>
        </w:rPr>
      </w:pPr>
      <w:r>
        <w:rPr>
          <w:rFonts w:hint="eastAsia" w:ascii="宋体" w:hAnsi="宋体"/>
          <w:sz w:val="24"/>
        </w:rPr>
        <w:t>电话：                    传真：</w:t>
      </w:r>
    </w:p>
    <w:p w14:paraId="2F89A2B3">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14:paraId="4BF0DFC0">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p>
    <w:p w14:paraId="08D38EEC">
      <w:pPr>
        <w:adjustRightInd w:val="0"/>
        <w:snapToGrid w:val="0"/>
        <w:spacing w:line="500" w:lineRule="exact"/>
        <w:contextualSpacing/>
        <w:rPr>
          <w:rFonts w:ascii="宋体" w:hAnsi="宋体"/>
          <w:sz w:val="22"/>
        </w:rPr>
      </w:pPr>
    </w:p>
    <w:p w14:paraId="4745532C">
      <w:pPr>
        <w:spacing w:line="340" w:lineRule="exact"/>
        <w:jc w:val="left"/>
        <w:rPr>
          <w:rFonts w:ascii="宋体" w:hAnsi="宋体"/>
          <w:b/>
          <w:sz w:val="32"/>
        </w:rPr>
      </w:pPr>
    </w:p>
    <w:p w14:paraId="1655A192">
      <w:pPr>
        <w:adjustRightInd w:val="0"/>
        <w:snapToGrid w:val="0"/>
        <w:spacing w:line="440" w:lineRule="exact"/>
        <w:contextualSpacing/>
        <w:rPr>
          <w:rFonts w:ascii="宋体" w:hAnsi="宋体"/>
        </w:rPr>
      </w:pPr>
    </w:p>
    <w:p w14:paraId="188AACC5">
      <w:pPr>
        <w:pStyle w:val="4"/>
        <w:rPr>
          <w:rFonts w:ascii="宋体" w:hAnsi="宋体"/>
        </w:rPr>
      </w:pPr>
    </w:p>
    <w:p w14:paraId="7CE5D74E">
      <w:pPr>
        <w:rPr>
          <w:rFonts w:ascii="宋体" w:hAnsi="宋体"/>
        </w:rPr>
      </w:pPr>
    </w:p>
    <w:p w14:paraId="2A6BDD51">
      <w:pPr>
        <w:pStyle w:val="4"/>
      </w:pPr>
    </w:p>
    <w:p w14:paraId="601C5469"/>
    <w:p w14:paraId="2AFB163C">
      <w:pPr>
        <w:pStyle w:val="16"/>
        <w:rPr>
          <w:rFonts w:ascii="宋体" w:hAnsi="宋体"/>
          <w:kern w:val="0"/>
          <w:sz w:val="36"/>
          <w:szCs w:val="36"/>
        </w:rPr>
      </w:pPr>
      <w:r>
        <w:rPr>
          <w:rFonts w:hint="eastAsia" w:ascii="宋体" w:hAnsi="宋体"/>
          <w:kern w:val="0"/>
          <w:sz w:val="36"/>
          <w:szCs w:val="36"/>
        </w:rPr>
        <w:t>（八）投标报价表</w:t>
      </w:r>
    </w:p>
    <w:p w14:paraId="2C93F3DC">
      <w:pPr>
        <w:spacing w:line="340" w:lineRule="exact"/>
        <w:jc w:val="center"/>
        <w:rPr>
          <w:rFonts w:ascii="宋体" w:hAnsi="宋体" w:cs="宋体"/>
          <w:b/>
          <w:sz w:val="32"/>
        </w:rPr>
      </w:pPr>
    </w:p>
    <w:p w14:paraId="1CF624AA">
      <w:pPr>
        <w:spacing w:line="360" w:lineRule="auto"/>
        <w:rPr>
          <w:rFonts w:ascii="宋体" w:hAnsi="宋体" w:cs="宋体"/>
          <w:bCs/>
          <w:sz w:val="24"/>
        </w:rPr>
      </w:pPr>
      <w:r>
        <w:rPr>
          <w:rFonts w:hint="eastAsia" w:ascii="宋体" w:hAnsi="宋体" w:cs="宋体"/>
          <w:bCs/>
          <w:snapToGrid w:val="0"/>
          <w:kern w:val="0"/>
          <w:sz w:val="24"/>
        </w:rPr>
        <w:t xml:space="preserve">供应商名称（盖章）           </w:t>
      </w:r>
    </w:p>
    <w:tbl>
      <w:tblPr>
        <w:tblStyle w:val="19"/>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7FD6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17830340">
            <w:pPr>
              <w:pStyle w:val="8"/>
              <w:adjustRightInd w:val="0"/>
              <w:snapToGrid w:val="0"/>
              <w:spacing w:line="300" w:lineRule="auto"/>
              <w:jc w:val="center"/>
              <w:rPr>
                <w:rFonts w:ascii="宋体" w:hAnsi="宋体" w:eastAsia="宋体" w:cs="宋体"/>
                <w:b/>
                <w:kern w:val="2"/>
                <w:sz w:val="24"/>
                <w:szCs w:val="24"/>
              </w:rPr>
            </w:pPr>
            <w:r>
              <w:rPr>
                <w:rFonts w:hint="eastAsia" w:ascii="宋体" w:hAnsi="宋体" w:eastAsia="宋体" w:cs="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67884BCE">
            <w:pPr>
              <w:adjustRightInd w:val="0"/>
              <w:snapToGrid w:val="0"/>
              <w:spacing w:after="200" w:line="220" w:lineRule="atLeast"/>
              <w:jc w:val="center"/>
              <w:rPr>
                <w:rFonts w:ascii="宋体" w:hAnsi="宋体" w:cs="宋体"/>
                <w:b/>
                <w:sz w:val="24"/>
              </w:rPr>
            </w:pPr>
            <w:r>
              <w:rPr>
                <w:rFonts w:hint="eastAsia" w:ascii="宋体" w:hAnsi="宋体" w:cs="宋体"/>
                <w:b/>
                <w:sz w:val="24"/>
              </w:rPr>
              <w:t>响应总报价</w:t>
            </w:r>
          </w:p>
        </w:tc>
      </w:tr>
      <w:tr w14:paraId="0023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922" w:type="dxa"/>
            <w:tcBorders>
              <w:top w:val="single" w:color="auto" w:sz="4" w:space="0"/>
              <w:left w:val="single" w:color="auto" w:sz="4" w:space="0"/>
              <w:bottom w:val="single" w:color="auto" w:sz="4" w:space="0"/>
              <w:right w:val="single" w:color="auto" w:sz="4" w:space="0"/>
            </w:tcBorders>
            <w:vAlign w:val="center"/>
          </w:tcPr>
          <w:p w14:paraId="1EB3F0E8">
            <w:pPr>
              <w:pStyle w:val="8"/>
              <w:adjustRightInd w:val="0"/>
              <w:snapToGrid w:val="0"/>
              <w:spacing w:line="440" w:lineRule="exact"/>
              <w:contextualSpacing/>
              <w:rPr>
                <w:rFonts w:ascii="宋体" w:hAnsi="宋体" w:eastAsia="宋体" w:cs="宋体"/>
                <w:kern w:val="2"/>
                <w:sz w:val="24"/>
                <w:szCs w:val="24"/>
              </w:rPr>
            </w:pPr>
          </w:p>
        </w:tc>
        <w:tc>
          <w:tcPr>
            <w:tcW w:w="5412" w:type="dxa"/>
            <w:tcBorders>
              <w:top w:val="single" w:color="auto" w:sz="4" w:space="0"/>
              <w:left w:val="single" w:color="auto" w:sz="4" w:space="0"/>
              <w:bottom w:val="single" w:color="auto" w:sz="4" w:space="0"/>
              <w:right w:val="single" w:color="auto" w:sz="4" w:space="0"/>
            </w:tcBorders>
            <w:vAlign w:val="center"/>
          </w:tcPr>
          <w:p w14:paraId="1BE52E05">
            <w:pPr>
              <w:pStyle w:val="38"/>
              <w:spacing w:before="0" w:after="0" w:line="500" w:lineRule="exact"/>
              <w:ind w:firstLine="0"/>
              <w:rPr>
                <w:rFonts w:ascii="宋体" w:hAnsi="宋体" w:cs="宋体"/>
              </w:rPr>
            </w:pPr>
            <w:r>
              <w:rPr>
                <w:rFonts w:hint="eastAsia" w:ascii="宋体" w:hAnsi="宋体" w:cs="宋体"/>
              </w:rPr>
              <w:t>大写：</w:t>
            </w:r>
          </w:p>
          <w:p w14:paraId="6EFA45B9">
            <w:pPr>
              <w:pStyle w:val="38"/>
              <w:spacing w:before="0" w:after="0" w:line="500" w:lineRule="exact"/>
              <w:ind w:firstLine="0"/>
              <w:rPr>
                <w:rFonts w:ascii="宋体" w:hAnsi="宋体" w:cs="宋体"/>
                <w:kern w:val="2"/>
              </w:rPr>
            </w:pPr>
            <w:r>
              <w:rPr>
                <w:rFonts w:hint="eastAsia" w:ascii="宋体" w:hAnsi="宋体" w:cs="宋体"/>
              </w:rPr>
              <w:t>小写：                          （人民币）</w:t>
            </w:r>
          </w:p>
        </w:tc>
      </w:tr>
      <w:tr w14:paraId="32F8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14:paraId="7F1F28B9">
            <w:pPr>
              <w:pStyle w:val="8"/>
              <w:adjustRightInd w:val="0"/>
              <w:snapToGrid w:val="0"/>
              <w:spacing w:line="440" w:lineRule="exact"/>
              <w:contextualSpacing/>
              <w:jc w:val="center"/>
              <w:rPr>
                <w:rFonts w:ascii="宋体" w:hAnsi="宋体" w:eastAsia="宋体" w:cs="宋体"/>
                <w:kern w:val="2"/>
                <w:sz w:val="24"/>
                <w:szCs w:val="24"/>
              </w:rPr>
            </w:pPr>
            <w:r>
              <w:rPr>
                <w:rFonts w:hint="eastAsia" w:ascii="宋体" w:hAnsi="宋体" w:eastAsia="宋体" w:cs="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2D2325BD">
            <w:pPr>
              <w:pStyle w:val="8"/>
              <w:adjustRightInd w:val="0"/>
              <w:snapToGrid w:val="0"/>
              <w:spacing w:line="440" w:lineRule="exact"/>
              <w:contextualSpacing/>
              <w:rPr>
                <w:rFonts w:ascii="宋体" w:hAnsi="宋体" w:eastAsia="宋体" w:cs="宋体"/>
                <w:kern w:val="2"/>
                <w:sz w:val="24"/>
                <w:szCs w:val="24"/>
              </w:rPr>
            </w:pPr>
          </w:p>
        </w:tc>
      </w:tr>
    </w:tbl>
    <w:p w14:paraId="53236F56">
      <w:pPr>
        <w:adjustRightInd w:val="0"/>
        <w:snapToGrid w:val="0"/>
        <w:spacing w:line="500" w:lineRule="exact"/>
        <w:contextualSpacing/>
        <w:rPr>
          <w:rFonts w:ascii="宋体" w:hAnsi="宋体" w:cs="宋体"/>
          <w:bCs/>
          <w:snapToGrid w:val="0"/>
          <w:kern w:val="0"/>
          <w:sz w:val="24"/>
        </w:rPr>
      </w:pPr>
    </w:p>
    <w:p w14:paraId="2E7EF726">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282D16C4">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346A1D56">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448C448C">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法定代表人或授权委托人： (签字)</w:t>
      </w:r>
    </w:p>
    <w:p w14:paraId="028BC4A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07E5A88F">
      <w:pPr>
        <w:pStyle w:val="8"/>
      </w:pPr>
    </w:p>
    <w:p w14:paraId="30222955">
      <w:pPr>
        <w:pStyle w:val="7"/>
      </w:pPr>
    </w:p>
    <w:p w14:paraId="76A2D395"/>
    <w:p w14:paraId="2BE95D91">
      <w:pPr>
        <w:rPr>
          <w:rFonts w:hint="eastAsia" w:ascii="宋体" w:hAnsi="宋体"/>
          <w:kern w:val="0"/>
          <w:sz w:val="36"/>
          <w:szCs w:val="36"/>
        </w:rPr>
      </w:pPr>
      <w:r>
        <w:rPr>
          <w:rFonts w:hint="eastAsia" w:ascii="宋体" w:hAnsi="宋体"/>
          <w:kern w:val="0"/>
          <w:sz w:val="36"/>
          <w:szCs w:val="36"/>
        </w:rPr>
        <w:br w:type="page"/>
      </w:r>
    </w:p>
    <w:p w14:paraId="3C6D2828">
      <w:pPr>
        <w:pStyle w:val="16"/>
        <w:numPr>
          <w:ilvl w:val="0"/>
          <w:numId w:val="2"/>
        </w:numPr>
        <w:rPr>
          <w:rFonts w:hint="eastAsia" w:ascii="宋体" w:hAnsi="宋体"/>
          <w:kern w:val="0"/>
          <w:sz w:val="36"/>
          <w:szCs w:val="36"/>
        </w:rPr>
      </w:pPr>
      <w:r>
        <w:rPr>
          <w:rFonts w:hint="eastAsia" w:ascii="宋体" w:hAnsi="宋体"/>
          <w:kern w:val="0"/>
          <w:sz w:val="36"/>
          <w:szCs w:val="36"/>
        </w:rPr>
        <w:t>分项报价表</w:t>
      </w:r>
    </w:p>
    <w:p w14:paraId="70AF7221">
      <w:pPr>
        <w:spacing w:line="360" w:lineRule="auto"/>
      </w:pPr>
      <w:r>
        <w:rPr>
          <w:rFonts w:hint="eastAsia" w:ascii="宋体" w:hAnsi="宋体" w:eastAsia="宋体" w:cs="宋体"/>
          <w:bCs/>
          <w:snapToGrid w:val="0"/>
          <w:kern w:val="0"/>
          <w:sz w:val="24"/>
        </w:rPr>
        <w:t xml:space="preserve">供应商名称（盖章）           </w:t>
      </w:r>
    </w:p>
    <w:tbl>
      <w:tblPr>
        <w:tblStyle w:val="20"/>
        <w:tblW w:w="10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3"/>
        <w:gridCol w:w="930"/>
        <w:gridCol w:w="885"/>
        <w:gridCol w:w="2788"/>
        <w:gridCol w:w="2027"/>
        <w:gridCol w:w="1062"/>
        <w:gridCol w:w="1063"/>
      </w:tblGrid>
      <w:tr w14:paraId="6443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14:paraId="715922CF">
            <w:pPr>
              <w:pStyle w:val="42"/>
              <w:jc w:val="center"/>
              <w:rPr>
                <w:rFonts w:hint="eastAsia" w:ascii="宋体" w:hAnsi="宋体"/>
                <w:sz w:val="24"/>
                <w:lang w:val="en-US" w:eastAsia="zh-CN"/>
              </w:rPr>
            </w:pPr>
            <w:r>
              <w:rPr>
                <w:rFonts w:hint="eastAsia" w:ascii="宋体" w:hAnsi="宋体"/>
                <w:sz w:val="24"/>
                <w:lang w:val="en-US" w:eastAsia="zh-CN"/>
              </w:rPr>
              <w:t>序号</w:t>
            </w:r>
          </w:p>
        </w:tc>
        <w:tc>
          <w:tcPr>
            <w:tcW w:w="1243" w:type="dxa"/>
            <w:vAlign w:val="center"/>
          </w:tcPr>
          <w:p w14:paraId="006956C7">
            <w:pPr>
              <w:pStyle w:val="42"/>
              <w:jc w:val="center"/>
              <w:rPr>
                <w:rFonts w:hint="eastAsia" w:ascii="宋体" w:hAnsi="宋体"/>
                <w:sz w:val="24"/>
                <w:lang w:val="en-US" w:eastAsia="zh-CN"/>
              </w:rPr>
            </w:pPr>
            <w:r>
              <w:rPr>
                <w:rFonts w:hint="eastAsia" w:ascii="宋体" w:hAnsi="宋体"/>
                <w:sz w:val="24"/>
                <w:lang w:val="en-US" w:eastAsia="zh-CN"/>
              </w:rPr>
              <w:t>项目</w:t>
            </w:r>
          </w:p>
        </w:tc>
        <w:tc>
          <w:tcPr>
            <w:tcW w:w="930" w:type="dxa"/>
            <w:vAlign w:val="center"/>
          </w:tcPr>
          <w:p w14:paraId="7217DF88">
            <w:pPr>
              <w:pStyle w:val="42"/>
              <w:jc w:val="center"/>
              <w:rPr>
                <w:rFonts w:hint="eastAsia" w:ascii="宋体" w:hAnsi="宋体"/>
                <w:sz w:val="24"/>
                <w:lang w:val="en-US" w:eastAsia="zh-CN"/>
              </w:rPr>
            </w:pPr>
            <w:r>
              <w:rPr>
                <w:rFonts w:hint="eastAsia" w:ascii="宋体" w:hAnsi="宋体"/>
                <w:sz w:val="24"/>
                <w:lang w:val="en-US" w:eastAsia="zh-CN"/>
              </w:rPr>
              <w:t>单位</w:t>
            </w:r>
          </w:p>
        </w:tc>
        <w:tc>
          <w:tcPr>
            <w:tcW w:w="885" w:type="dxa"/>
            <w:vAlign w:val="center"/>
          </w:tcPr>
          <w:p w14:paraId="08B9E533">
            <w:pPr>
              <w:pStyle w:val="42"/>
              <w:jc w:val="center"/>
              <w:rPr>
                <w:rFonts w:hint="eastAsia" w:ascii="宋体" w:hAnsi="宋体"/>
                <w:sz w:val="24"/>
                <w:lang w:val="en-US" w:eastAsia="zh-CN"/>
              </w:rPr>
            </w:pPr>
            <w:r>
              <w:rPr>
                <w:rFonts w:hint="eastAsia" w:ascii="宋体" w:hAnsi="宋体"/>
                <w:sz w:val="24"/>
                <w:lang w:val="en-US" w:eastAsia="zh-CN"/>
              </w:rPr>
              <w:t>数量</w:t>
            </w:r>
          </w:p>
        </w:tc>
        <w:tc>
          <w:tcPr>
            <w:tcW w:w="2788" w:type="dxa"/>
            <w:vAlign w:val="center"/>
          </w:tcPr>
          <w:p w14:paraId="59BAC717">
            <w:pPr>
              <w:pStyle w:val="42"/>
              <w:jc w:val="center"/>
              <w:rPr>
                <w:rFonts w:hint="eastAsia" w:ascii="宋体" w:hAnsi="宋体"/>
                <w:sz w:val="24"/>
                <w:lang w:val="en-US" w:eastAsia="zh-CN"/>
              </w:rPr>
            </w:pPr>
            <w:r>
              <w:rPr>
                <w:rFonts w:hint="eastAsia" w:ascii="宋体" w:hAnsi="宋体"/>
                <w:sz w:val="24"/>
                <w:lang w:val="en-US" w:eastAsia="zh-CN"/>
              </w:rPr>
              <w:t>规格</w:t>
            </w:r>
          </w:p>
        </w:tc>
        <w:tc>
          <w:tcPr>
            <w:tcW w:w="2027" w:type="dxa"/>
            <w:vAlign w:val="center"/>
          </w:tcPr>
          <w:p w14:paraId="7805BC48">
            <w:pPr>
              <w:pStyle w:val="42"/>
              <w:jc w:val="center"/>
              <w:rPr>
                <w:rFonts w:hint="eastAsia" w:ascii="宋体" w:hAnsi="宋体"/>
                <w:sz w:val="24"/>
                <w:lang w:val="en-US" w:eastAsia="zh-CN"/>
              </w:rPr>
            </w:pPr>
            <w:r>
              <w:rPr>
                <w:rFonts w:hint="eastAsia" w:ascii="宋体" w:hAnsi="宋体"/>
                <w:sz w:val="24"/>
                <w:lang w:val="en-US" w:eastAsia="zh-CN"/>
              </w:rPr>
              <w:t>品牌</w:t>
            </w:r>
          </w:p>
        </w:tc>
        <w:tc>
          <w:tcPr>
            <w:tcW w:w="1062" w:type="dxa"/>
            <w:vAlign w:val="center"/>
          </w:tcPr>
          <w:p w14:paraId="0C95E405">
            <w:pPr>
              <w:pStyle w:val="42"/>
              <w:jc w:val="center"/>
              <w:rPr>
                <w:rFonts w:hint="default" w:ascii="宋体" w:hAnsi="宋体"/>
                <w:sz w:val="24"/>
                <w:lang w:val="en-US" w:eastAsia="zh-CN"/>
              </w:rPr>
            </w:pPr>
            <w:r>
              <w:rPr>
                <w:rFonts w:hint="eastAsia" w:ascii="宋体" w:hAnsi="宋体"/>
                <w:sz w:val="24"/>
                <w:lang w:val="en-US" w:eastAsia="zh-CN"/>
              </w:rPr>
              <w:t>单价</w:t>
            </w:r>
          </w:p>
        </w:tc>
        <w:tc>
          <w:tcPr>
            <w:tcW w:w="1063" w:type="dxa"/>
            <w:vAlign w:val="center"/>
          </w:tcPr>
          <w:p w14:paraId="49FF4CB2">
            <w:pPr>
              <w:pStyle w:val="42"/>
              <w:jc w:val="center"/>
              <w:rPr>
                <w:rFonts w:hint="default" w:ascii="宋体" w:hAnsi="宋体"/>
                <w:sz w:val="24"/>
                <w:lang w:val="en-US" w:eastAsia="zh-CN"/>
              </w:rPr>
            </w:pPr>
            <w:r>
              <w:rPr>
                <w:rFonts w:hint="eastAsia" w:ascii="宋体" w:hAnsi="宋体"/>
                <w:sz w:val="24"/>
                <w:lang w:val="en-US" w:eastAsia="zh-CN"/>
              </w:rPr>
              <w:t>合价</w:t>
            </w:r>
          </w:p>
        </w:tc>
      </w:tr>
      <w:tr w14:paraId="5D3D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C639730">
            <w:pPr>
              <w:pStyle w:val="42"/>
              <w:jc w:val="center"/>
              <w:rPr>
                <w:rFonts w:hint="eastAsia" w:ascii="宋体" w:hAnsi="宋体"/>
                <w:sz w:val="24"/>
                <w:lang w:val="en-US" w:eastAsia="zh-CN"/>
              </w:rPr>
            </w:pPr>
            <w:r>
              <w:rPr>
                <w:rFonts w:hint="eastAsia" w:ascii="宋体" w:hAnsi="宋体"/>
                <w:sz w:val="24"/>
                <w:lang w:val="en-US" w:eastAsia="zh-CN"/>
              </w:rPr>
              <w:t>1</w:t>
            </w:r>
          </w:p>
        </w:tc>
        <w:tc>
          <w:tcPr>
            <w:tcW w:w="1243" w:type="dxa"/>
            <w:vAlign w:val="center"/>
          </w:tcPr>
          <w:p w14:paraId="74044FA7">
            <w:pPr>
              <w:pStyle w:val="42"/>
              <w:jc w:val="center"/>
              <w:rPr>
                <w:rFonts w:hint="eastAsia" w:ascii="宋体" w:hAnsi="宋体"/>
                <w:sz w:val="24"/>
                <w:lang w:val="en-US" w:eastAsia="zh-CN"/>
              </w:rPr>
            </w:pPr>
            <w:r>
              <w:rPr>
                <w:rFonts w:hint="eastAsia" w:ascii="宋体" w:hAnsi="宋体"/>
                <w:sz w:val="24"/>
                <w:lang w:val="en-US" w:eastAsia="zh-CN"/>
              </w:rPr>
              <w:t>电箱</w:t>
            </w:r>
          </w:p>
        </w:tc>
        <w:tc>
          <w:tcPr>
            <w:tcW w:w="930" w:type="dxa"/>
            <w:vAlign w:val="center"/>
          </w:tcPr>
          <w:p w14:paraId="17D881B1">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22E551C2">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61655A55">
            <w:pPr>
              <w:pStyle w:val="42"/>
              <w:jc w:val="left"/>
              <w:rPr>
                <w:rFonts w:hint="eastAsia" w:ascii="宋体" w:hAnsi="宋体"/>
                <w:sz w:val="24"/>
                <w:lang w:eastAsia="zh-CN"/>
              </w:rPr>
            </w:pPr>
            <w:r>
              <w:rPr>
                <w:rFonts w:hint="eastAsia" w:ascii="宋体" w:hAnsi="宋体"/>
                <w:sz w:val="24"/>
                <w:lang w:eastAsia="zh-CN"/>
              </w:rPr>
              <w:t>JXF-700*900*200，厚2mm室内壁挂</w:t>
            </w:r>
          </w:p>
        </w:tc>
        <w:tc>
          <w:tcPr>
            <w:tcW w:w="2027" w:type="dxa"/>
            <w:vAlign w:val="center"/>
          </w:tcPr>
          <w:p w14:paraId="5F49DE07">
            <w:pPr>
              <w:pStyle w:val="42"/>
              <w:jc w:val="center"/>
              <w:rPr>
                <w:rFonts w:hint="eastAsia" w:ascii="宋体" w:hAnsi="宋体"/>
                <w:sz w:val="24"/>
                <w:lang w:eastAsia="zh-CN"/>
              </w:rPr>
            </w:pPr>
            <w:r>
              <w:rPr>
                <w:rFonts w:hint="eastAsia" w:ascii="宋体" w:hAnsi="宋体"/>
                <w:sz w:val="24"/>
                <w:lang w:eastAsia="zh-CN"/>
              </w:rPr>
              <w:t>西门子、施耐德、帝一</w:t>
            </w:r>
          </w:p>
        </w:tc>
        <w:tc>
          <w:tcPr>
            <w:tcW w:w="1062" w:type="dxa"/>
            <w:vAlign w:val="center"/>
          </w:tcPr>
          <w:p w14:paraId="20CD4A0B">
            <w:pPr>
              <w:pStyle w:val="42"/>
              <w:jc w:val="center"/>
              <w:rPr>
                <w:rFonts w:hint="eastAsia" w:ascii="宋体" w:hAnsi="宋体"/>
                <w:sz w:val="24"/>
                <w:lang w:eastAsia="zh-CN"/>
              </w:rPr>
            </w:pPr>
          </w:p>
        </w:tc>
        <w:tc>
          <w:tcPr>
            <w:tcW w:w="1063" w:type="dxa"/>
            <w:vAlign w:val="center"/>
          </w:tcPr>
          <w:p w14:paraId="2B0596A1">
            <w:pPr>
              <w:pStyle w:val="42"/>
              <w:jc w:val="center"/>
              <w:rPr>
                <w:rFonts w:hint="eastAsia" w:ascii="宋体" w:hAnsi="宋体"/>
                <w:sz w:val="24"/>
                <w:lang w:eastAsia="zh-CN"/>
              </w:rPr>
            </w:pPr>
          </w:p>
        </w:tc>
      </w:tr>
      <w:tr w14:paraId="28EA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1A726CDB">
            <w:pPr>
              <w:pStyle w:val="42"/>
              <w:jc w:val="center"/>
              <w:rPr>
                <w:rFonts w:hint="eastAsia" w:ascii="宋体" w:hAnsi="宋体"/>
                <w:sz w:val="24"/>
                <w:lang w:val="en-US" w:eastAsia="zh-CN"/>
              </w:rPr>
            </w:pPr>
            <w:r>
              <w:rPr>
                <w:rFonts w:hint="eastAsia" w:ascii="宋体" w:hAnsi="宋体"/>
                <w:sz w:val="24"/>
                <w:lang w:val="en-US" w:eastAsia="zh-CN"/>
              </w:rPr>
              <w:t>2</w:t>
            </w:r>
          </w:p>
        </w:tc>
        <w:tc>
          <w:tcPr>
            <w:tcW w:w="1243" w:type="dxa"/>
            <w:vAlign w:val="center"/>
          </w:tcPr>
          <w:p w14:paraId="0E1E769B">
            <w:pPr>
              <w:pStyle w:val="42"/>
              <w:jc w:val="center"/>
              <w:rPr>
                <w:rFonts w:hint="eastAsia" w:ascii="宋体" w:hAnsi="宋体"/>
                <w:sz w:val="24"/>
                <w:lang w:val="en-US" w:eastAsia="zh-CN"/>
              </w:rPr>
            </w:pPr>
            <w:r>
              <w:rPr>
                <w:rFonts w:hint="eastAsia" w:ascii="宋体" w:hAnsi="宋体"/>
                <w:sz w:val="24"/>
                <w:lang w:val="en-US" w:eastAsia="zh-CN"/>
              </w:rPr>
              <w:t>总开</w:t>
            </w:r>
          </w:p>
        </w:tc>
        <w:tc>
          <w:tcPr>
            <w:tcW w:w="930" w:type="dxa"/>
            <w:vAlign w:val="center"/>
          </w:tcPr>
          <w:p w14:paraId="581B0DC2">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06C53931">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12F48909">
            <w:pPr>
              <w:pStyle w:val="42"/>
              <w:jc w:val="left"/>
              <w:rPr>
                <w:rFonts w:hint="eastAsia" w:ascii="宋体" w:hAnsi="宋体"/>
                <w:sz w:val="24"/>
                <w:lang w:eastAsia="zh-CN"/>
              </w:rPr>
            </w:pPr>
            <w:r>
              <w:rPr>
                <w:rFonts w:hint="eastAsia" w:ascii="宋体" w:hAnsi="宋体"/>
                <w:sz w:val="24"/>
                <w:lang w:eastAsia="zh-CN"/>
              </w:rPr>
              <w:t>MCCB/3300/160A</w:t>
            </w:r>
          </w:p>
        </w:tc>
        <w:tc>
          <w:tcPr>
            <w:tcW w:w="2027" w:type="dxa"/>
            <w:vAlign w:val="center"/>
          </w:tcPr>
          <w:p w14:paraId="7FECD611">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04915C2C">
            <w:pPr>
              <w:pStyle w:val="42"/>
              <w:jc w:val="center"/>
              <w:rPr>
                <w:rFonts w:hint="eastAsia" w:ascii="宋体" w:hAnsi="宋体"/>
                <w:sz w:val="24"/>
                <w:lang w:eastAsia="zh-CN"/>
              </w:rPr>
            </w:pPr>
          </w:p>
        </w:tc>
        <w:tc>
          <w:tcPr>
            <w:tcW w:w="1063" w:type="dxa"/>
            <w:vAlign w:val="center"/>
          </w:tcPr>
          <w:p w14:paraId="02D8CE1F">
            <w:pPr>
              <w:pStyle w:val="42"/>
              <w:jc w:val="center"/>
              <w:rPr>
                <w:rFonts w:hint="eastAsia" w:ascii="宋体" w:hAnsi="宋体"/>
                <w:sz w:val="24"/>
                <w:lang w:eastAsia="zh-CN"/>
              </w:rPr>
            </w:pPr>
          </w:p>
        </w:tc>
      </w:tr>
      <w:tr w14:paraId="435E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35FE0CDB">
            <w:pPr>
              <w:pStyle w:val="42"/>
              <w:jc w:val="center"/>
              <w:rPr>
                <w:rFonts w:hint="eastAsia" w:ascii="宋体" w:hAnsi="宋体"/>
                <w:sz w:val="24"/>
                <w:lang w:val="en-US" w:eastAsia="zh-CN"/>
              </w:rPr>
            </w:pPr>
            <w:r>
              <w:rPr>
                <w:rFonts w:hint="eastAsia" w:ascii="宋体" w:hAnsi="宋体"/>
                <w:sz w:val="24"/>
                <w:lang w:val="en-US" w:eastAsia="zh-CN"/>
              </w:rPr>
              <w:t>3</w:t>
            </w:r>
          </w:p>
        </w:tc>
        <w:tc>
          <w:tcPr>
            <w:tcW w:w="1243" w:type="dxa"/>
            <w:vAlign w:val="center"/>
          </w:tcPr>
          <w:p w14:paraId="311D81F4">
            <w:pPr>
              <w:pStyle w:val="42"/>
              <w:jc w:val="center"/>
              <w:rPr>
                <w:rFonts w:hint="eastAsia" w:ascii="宋体" w:hAnsi="宋体"/>
                <w:sz w:val="24"/>
                <w:lang w:val="en-US" w:eastAsia="zh-CN"/>
              </w:rPr>
            </w:pPr>
            <w:r>
              <w:rPr>
                <w:rFonts w:hint="eastAsia" w:ascii="宋体" w:hAnsi="宋体"/>
                <w:sz w:val="24"/>
                <w:lang w:val="en-US" w:eastAsia="zh-CN"/>
              </w:rPr>
              <w:t>分开</w:t>
            </w:r>
          </w:p>
        </w:tc>
        <w:tc>
          <w:tcPr>
            <w:tcW w:w="930" w:type="dxa"/>
            <w:vAlign w:val="center"/>
          </w:tcPr>
          <w:p w14:paraId="7CC525F5">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1859B505">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14:paraId="26BDFD20">
            <w:pPr>
              <w:pStyle w:val="42"/>
              <w:jc w:val="left"/>
              <w:rPr>
                <w:rFonts w:hint="eastAsia" w:ascii="宋体" w:hAnsi="宋体"/>
                <w:sz w:val="24"/>
                <w:lang w:eastAsia="zh-CN"/>
              </w:rPr>
            </w:pPr>
            <w:r>
              <w:rPr>
                <w:rFonts w:hint="eastAsia" w:ascii="宋体" w:hAnsi="宋体"/>
                <w:sz w:val="24"/>
                <w:lang w:eastAsia="zh-CN"/>
              </w:rPr>
              <w:t>MCCB/3300/63A</w:t>
            </w:r>
          </w:p>
        </w:tc>
        <w:tc>
          <w:tcPr>
            <w:tcW w:w="2027" w:type="dxa"/>
            <w:vAlign w:val="center"/>
          </w:tcPr>
          <w:p w14:paraId="41545D9F">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06559B57">
            <w:pPr>
              <w:pStyle w:val="42"/>
              <w:jc w:val="center"/>
              <w:rPr>
                <w:rFonts w:hint="eastAsia" w:ascii="宋体" w:hAnsi="宋体"/>
                <w:sz w:val="24"/>
                <w:lang w:eastAsia="zh-CN"/>
              </w:rPr>
            </w:pPr>
          </w:p>
        </w:tc>
        <w:tc>
          <w:tcPr>
            <w:tcW w:w="1063" w:type="dxa"/>
            <w:vAlign w:val="center"/>
          </w:tcPr>
          <w:p w14:paraId="6C23CC56">
            <w:pPr>
              <w:pStyle w:val="42"/>
              <w:jc w:val="center"/>
              <w:rPr>
                <w:rFonts w:hint="eastAsia" w:ascii="宋体" w:hAnsi="宋体"/>
                <w:sz w:val="24"/>
                <w:lang w:eastAsia="zh-CN"/>
              </w:rPr>
            </w:pPr>
          </w:p>
        </w:tc>
      </w:tr>
      <w:tr w14:paraId="2D21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14:paraId="4B1A1A5D">
            <w:pPr>
              <w:pStyle w:val="42"/>
              <w:jc w:val="center"/>
              <w:rPr>
                <w:rFonts w:hint="eastAsia" w:ascii="宋体" w:hAnsi="宋体"/>
                <w:sz w:val="24"/>
                <w:lang w:val="en-US" w:eastAsia="zh-CN"/>
              </w:rPr>
            </w:pPr>
            <w:r>
              <w:rPr>
                <w:rFonts w:hint="eastAsia" w:ascii="宋体" w:hAnsi="宋体"/>
                <w:sz w:val="24"/>
                <w:lang w:val="en-US" w:eastAsia="zh-CN"/>
              </w:rPr>
              <w:t>4</w:t>
            </w:r>
          </w:p>
        </w:tc>
        <w:tc>
          <w:tcPr>
            <w:tcW w:w="1243" w:type="dxa"/>
            <w:vAlign w:val="center"/>
          </w:tcPr>
          <w:p w14:paraId="241014C1">
            <w:pPr>
              <w:pStyle w:val="42"/>
              <w:jc w:val="center"/>
              <w:rPr>
                <w:rFonts w:hint="eastAsia" w:ascii="宋体" w:hAnsi="宋体"/>
                <w:sz w:val="24"/>
                <w:lang w:val="en-US" w:eastAsia="zh-CN"/>
              </w:rPr>
            </w:pPr>
            <w:r>
              <w:rPr>
                <w:rFonts w:hint="eastAsia" w:ascii="宋体" w:hAnsi="宋体"/>
                <w:sz w:val="24"/>
                <w:lang w:val="en-US" w:eastAsia="zh-CN"/>
              </w:rPr>
              <w:t>电表</w:t>
            </w:r>
          </w:p>
        </w:tc>
        <w:tc>
          <w:tcPr>
            <w:tcW w:w="930" w:type="dxa"/>
            <w:vAlign w:val="center"/>
          </w:tcPr>
          <w:p w14:paraId="182B4C97">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60A0C952">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79B0C861">
            <w:pPr>
              <w:pStyle w:val="42"/>
              <w:jc w:val="left"/>
              <w:rPr>
                <w:rFonts w:hint="eastAsia" w:ascii="宋体" w:hAnsi="宋体"/>
                <w:sz w:val="24"/>
                <w:lang w:eastAsia="zh-CN"/>
              </w:rPr>
            </w:pPr>
            <w:r>
              <w:rPr>
                <w:rFonts w:hint="eastAsia" w:ascii="宋体" w:hAnsi="宋体"/>
                <w:sz w:val="24"/>
                <w:lang w:val="en-US" w:eastAsia="zh-CN"/>
              </w:rPr>
              <w:t>485接口，带通讯</w:t>
            </w:r>
          </w:p>
        </w:tc>
        <w:tc>
          <w:tcPr>
            <w:tcW w:w="2027" w:type="dxa"/>
            <w:vAlign w:val="center"/>
          </w:tcPr>
          <w:p w14:paraId="1A283A43">
            <w:pPr>
              <w:pStyle w:val="42"/>
              <w:jc w:val="center"/>
              <w:rPr>
                <w:rFonts w:hint="eastAsia" w:ascii="宋体" w:hAnsi="宋体"/>
                <w:sz w:val="24"/>
                <w:lang w:val="en-US" w:eastAsia="zh-CN"/>
              </w:rPr>
            </w:pPr>
            <w:r>
              <w:rPr>
                <w:rFonts w:hint="eastAsia" w:ascii="宋体" w:hAnsi="宋体"/>
                <w:sz w:val="24"/>
                <w:lang w:val="en-US" w:eastAsia="zh-CN"/>
              </w:rPr>
              <w:t>安科瑞、新晨、一五</w:t>
            </w:r>
          </w:p>
        </w:tc>
        <w:tc>
          <w:tcPr>
            <w:tcW w:w="1062" w:type="dxa"/>
            <w:vAlign w:val="center"/>
          </w:tcPr>
          <w:p w14:paraId="4DDDACEE">
            <w:pPr>
              <w:pStyle w:val="42"/>
              <w:jc w:val="center"/>
              <w:rPr>
                <w:rFonts w:hint="eastAsia" w:ascii="宋体" w:hAnsi="宋体"/>
                <w:sz w:val="24"/>
                <w:lang w:val="en-US" w:eastAsia="zh-CN"/>
              </w:rPr>
            </w:pPr>
          </w:p>
        </w:tc>
        <w:tc>
          <w:tcPr>
            <w:tcW w:w="1063" w:type="dxa"/>
            <w:vAlign w:val="center"/>
          </w:tcPr>
          <w:p w14:paraId="71D15EE2">
            <w:pPr>
              <w:pStyle w:val="42"/>
              <w:jc w:val="center"/>
              <w:rPr>
                <w:rFonts w:hint="eastAsia" w:ascii="宋体" w:hAnsi="宋体"/>
                <w:sz w:val="24"/>
                <w:lang w:val="en-US" w:eastAsia="zh-CN"/>
              </w:rPr>
            </w:pPr>
          </w:p>
        </w:tc>
      </w:tr>
      <w:tr w14:paraId="72F2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305D1F6">
            <w:pPr>
              <w:pStyle w:val="42"/>
              <w:jc w:val="center"/>
              <w:rPr>
                <w:rFonts w:hint="eastAsia" w:ascii="宋体" w:hAnsi="宋体"/>
                <w:sz w:val="24"/>
                <w:lang w:val="en-US" w:eastAsia="zh-CN"/>
              </w:rPr>
            </w:pPr>
            <w:r>
              <w:rPr>
                <w:rFonts w:hint="eastAsia" w:ascii="宋体" w:hAnsi="宋体"/>
                <w:sz w:val="24"/>
                <w:lang w:val="en-US" w:eastAsia="zh-CN"/>
              </w:rPr>
              <w:t>5</w:t>
            </w:r>
          </w:p>
        </w:tc>
        <w:tc>
          <w:tcPr>
            <w:tcW w:w="1243" w:type="dxa"/>
            <w:vAlign w:val="center"/>
          </w:tcPr>
          <w:p w14:paraId="2A0C01C9">
            <w:pPr>
              <w:pStyle w:val="42"/>
              <w:jc w:val="center"/>
              <w:rPr>
                <w:rFonts w:hint="eastAsia" w:ascii="宋体" w:hAnsi="宋体"/>
                <w:sz w:val="24"/>
                <w:lang w:val="en-US" w:eastAsia="zh-CN"/>
              </w:rPr>
            </w:pPr>
            <w:r>
              <w:rPr>
                <w:rFonts w:hint="eastAsia" w:ascii="宋体" w:hAnsi="宋体"/>
                <w:sz w:val="24"/>
                <w:lang w:val="en-US" w:eastAsia="zh-CN"/>
              </w:rPr>
              <w:t>电流互感器</w:t>
            </w:r>
          </w:p>
        </w:tc>
        <w:tc>
          <w:tcPr>
            <w:tcW w:w="930" w:type="dxa"/>
            <w:vAlign w:val="center"/>
          </w:tcPr>
          <w:p w14:paraId="6BB599EB">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14:paraId="03B106AF">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14:paraId="4B3E910F">
            <w:pPr>
              <w:pStyle w:val="42"/>
              <w:jc w:val="left"/>
              <w:rPr>
                <w:rFonts w:hint="eastAsia" w:ascii="宋体" w:hAnsi="宋体"/>
                <w:sz w:val="24"/>
                <w:lang w:eastAsia="zh-CN"/>
              </w:rPr>
            </w:pPr>
            <w:r>
              <w:rPr>
                <w:rFonts w:hint="eastAsia" w:ascii="宋体" w:hAnsi="宋体"/>
                <w:sz w:val="24"/>
                <w:lang w:eastAsia="zh-CN"/>
              </w:rPr>
              <w:t>BH-0.66 30 I 150/5A 0.5级</w:t>
            </w:r>
          </w:p>
        </w:tc>
        <w:tc>
          <w:tcPr>
            <w:tcW w:w="2027" w:type="dxa"/>
            <w:vAlign w:val="center"/>
          </w:tcPr>
          <w:p w14:paraId="34BA6A51">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14:paraId="3509A7B6">
            <w:pPr>
              <w:pStyle w:val="42"/>
              <w:jc w:val="center"/>
              <w:rPr>
                <w:rFonts w:hint="eastAsia" w:ascii="宋体" w:hAnsi="宋体"/>
                <w:sz w:val="24"/>
                <w:lang w:eastAsia="zh-CN"/>
              </w:rPr>
            </w:pPr>
          </w:p>
        </w:tc>
        <w:tc>
          <w:tcPr>
            <w:tcW w:w="1063" w:type="dxa"/>
            <w:vAlign w:val="center"/>
          </w:tcPr>
          <w:p w14:paraId="5A01C8DB">
            <w:pPr>
              <w:pStyle w:val="42"/>
              <w:jc w:val="center"/>
              <w:rPr>
                <w:rFonts w:hint="eastAsia" w:ascii="宋体" w:hAnsi="宋体"/>
                <w:sz w:val="24"/>
                <w:lang w:eastAsia="zh-CN"/>
              </w:rPr>
            </w:pPr>
          </w:p>
        </w:tc>
      </w:tr>
      <w:tr w14:paraId="2857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5028DC1B">
            <w:pPr>
              <w:pStyle w:val="42"/>
              <w:jc w:val="center"/>
              <w:rPr>
                <w:rFonts w:hint="eastAsia" w:ascii="宋体" w:hAnsi="宋体"/>
                <w:sz w:val="24"/>
                <w:lang w:val="en-US" w:eastAsia="zh-CN"/>
              </w:rPr>
            </w:pPr>
            <w:r>
              <w:rPr>
                <w:rFonts w:hint="eastAsia" w:ascii="宋体" w:hAnsi="宋体"/>
                <w:sz w:val="24"/>
                <w:lang w:val="en-US" w:eastAsia="zh-CN"/>
              </w:rPr>
              <w:t>6</w:t>
            </w:r>
          </w:p>
        </w:tc>
        <w:tc>
          <w:tcPr>
            <w:tcW w:w="1243" w:type="dxa"/>
            <w:vAlign w:val="center"/>
          </w:tcPr>
          <w:p w14:paraId="41CC69DF">
            <w:pPr>
              <w:pStyle w:val="42"/>
              <w:jc w:val="center"/>
              <w:rPr>
                <w:rFonts w:hint="eastAsia" w:ascii="宋体" w:hAnsi="宋体"/>
                <w:sz w:val="24"/>
                <w:lang w:val="en-US" w:eastAsia="zh-CN"/>
              </w:rPr>
            </w:pPr>
            <w:r>
              <w:rPr>
                <w:rFonts w:hint="eastAsia" w:ascii="宋体" w:hAnsi="宋体"/>
                <w:sz w:val="24"/>
                <w:lang w:val="en-US" w:eastAsia="zh-CN"/>
              </w:rPr>
              <w:t>线缆</w:t>
            </w:r>
          </w:p>
        </w:tc>
        <w:tc>
          <w:tcPr>
            <w:tcW w:w="930" w:type="dxa"/>
            <w:vAlign w:val="center"/>
          </w:tcPr>
          <w:p w14:paraId="13385BE0">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14:paraId="1CBDC71E">
            <w:pPr>
              <w:pStyle w:val="42"/>
              <w:jc w:val="center"/>
              <w:rPr>
                <w:rFonts w:hint="eastAsia" w:ascii="宋体" w:hAnsi="宋体"/>
                <w:sz w:val="24"/>
                <w:lang w:val="en-US" w:eastAsia="zh-CN"/>
              </w:rPr>
            </w:pPr>
            <w:r>
              <w:rPr>
                <w:rFonts w:hint="eastAsia" w:ascii="宋体" w:hAnsi="宋体"/>
                <w:sz w:val="24"/>
                <w:lang w:val="en-US" w:eastAsia="zh-CN"/>
              </w:rPr>
              <w:t>20</w:t>
            </w:r>
          </w:p>
        </w:tc>
        <w:tc>
          <w:tcPr>
            <w:tcW w:w="2788" w:type="dxa"/>
            <w:vAlign w:val="center"/>
          </w:tcPr>
          <w:p w14:paraId="20D562D5">
            <w:pPr>
              <w:pStyle w:val="42"/>
              <w:jc w:val="left"/>
              <w:rPr>
                <w:rFonts w:hint="eastAsia" w:ascii="宋体" w:hAnsi="宋体"/>
                <w:sz w:val="24"/>
                <w:lang w:eastAsia="zh-CN"/>
              </w:rPr>
            </w:pPr>
            <w:r>
              <w:rPr>
                <w:rFonts w:hint="eastAsia" w:ascii="宋体" w:hAnsi="宋体"/>
                <w:sz w:val="24"/>
                <w:lang w:eastAsia="zh-CN"/>
              </w:rPr>
              <w:t>Y</w:t>
            </w:r>
            <w:r>
              <w:rPr>
                <w:rFonts w:hint="eastAsia" w:ascii="宋体" w:hAnsi="宋体"/>
                <w:sz w:val="24"/>
                <w:lang w:val="en-US" w:eastAsia="zh-CN"/>
              </w:rPr>
              <w:t>J</w:t>
            </w:r>
            <w:r>
              <w:rPr>
                <w:rFonts w:hint="eastAsia" w:ascii="宋体" w:hAnsi="宋体"/>
                <w:sz w:val="24"/>
                <w:lang w:eastAsia="zh-CN"/>
              </w:rPr>
              <w:t>V-4*50</w:t>
            </w:r>
          </w:p>
        </w:tc>
        <w:tc>
          <w:tcPr>
            <w:tcW w:w="2027" w:type="dxa"/>
            <w:vAlign w:val="center"/>
          </w:tcPr>
          <w:p w14:paraId="3C3A5C8B">
            <w:pPr>
              <w:pStyle w:val="42"/>
              <w:jc w:val="center"/>
              <w:rPr>
                <w:rFonts w:hint="eastAsia" w:ascii="宋体" w:hAnsi="宋体"/>
                <w:sz w:val="24"/>
                <w:lang w:eastAsia="zh-CN"/>
              </w:rPr>
            </w:pPr>
            <w:r>
              <w:rPr>
                <w:rFonts w:hint="eastAsia" w:ascii="宋体" w:hAnsi="宋体"/>
                <w:sz w:val="24"/>
                <w:lang w:eastAsia="zh-CN"/>
              </w:rPr>
              <w:t>江扬、新远程、宝胜</w:t>
            </w:r>
          </w:p>
        </w:tc>
        <w:tc>
          <w:tcPr>
            <w:tcW w:w="1062" w:type="dxa"/>
            <w:vAlign w:val="center"/>
          </w:tcPr>
          <w:p w14:paraId="33B125ED">
            <w:pPr>
              <w:pStyle w:val="42"/>
              <w:jc w:val="center"/>
              <w:rPr>
                <w:rFonts w:hint="eastAsia" w:ascii="宋体" w:hAnsi="宋体"/>
                <w:sz w:val="24"/>
                <w:lang w:eastAsia="zh-CN"/>
              </w:rPr>
            </w:pPr>
          </w:p>
        </w:tc>
        <w:tc>
          <w:tcPr>
            <w:tcW w:w="1063" w:type="dxa"/>
            <w:vAlign w:val="center"/>
          </w:tcPr>
          <w:p w14:paraId="792C77F4">
            <w:pPr>
              <w:pStyle w:val="42"/>
              <w:jc w:val="center"/>
              <w:rPr>
                <w:rFonts w:hint="eastAsia" w:ascii="宋体" w:hAnsi="宋体"/>
                <w:sz w:val="24"/>
                <w:lang w:eastAsia="zh-CN"/>
              </w:rPr>
            </w:pPr>
          </w:p>
        </w:tc>
      </w:tr>
      <w:tr w14:paraId="084A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2E7C793A">
            <w:pPr>
              <w:pStyle w:val="42"/>
              <w:jc w:val="center"/>
              <w:rPr>
                <w:rFonts w:hint="eastAsia" w:ascii="宋体" w:hAnsi="宋体"/>
                <w:sz w:val="24"/>
                <w:lang w:val="en-US" w:eastAsia="zh-CN"/>
              </w:rPr>
            </w:pPr>
            <w:r>
              <w:rPr>
                <w:rFonts w:hint="eastAsia" w:ascii="宋体" w:hAnsi="宋体"/>
                <w:sz w:val="24"/>
                <w:lang w:val="en-US" w:eastAsia="zh-CN"/>
              </w:rPr>
              <w:t>7</w:t>
            </w:r>
          </w:p>
        </w:tc>
        <w:tc>
          <w:tcPr>
            <w:tcW w:w="1243" w:type="dxa"/>
            <w:vAlign w:val="center"/>
          </w:tcPr>
          <w:p w14:paraId="048039D0">
            <w:pPr>
              <w:pStyle w:val="42"/>
              <w:jc w:val="center"/>
              <w:rPr>
                <w:rFonts w:hint="eastAsia" w:ascii="宋体" w:hAnsi="宋体"/>
                <w:sz w:val="24"/>
                <w:lang w:val="en-US" w:eastAsia="zh-CN"/>
              </w:rPr>
            </w:pPr>
            <w:r>
              <w:rPr>
                <w:rFonts w:hint="eastAsia" w:ascii="宋体" w:hAnsi="宋体"/>
                <w:sz w:val="24"/>
                <w:lang w:val="en-US" w:eastAsia="zh-CN"/>
              </w:rPr>
              <w:t>桥架</w:t>
            </w:r>
          </w:p>
        </w:tc>
        <w:tc>
          <w:tcPr>
            <w:tcW w:w="930" w:type="dxa"/>
            <w:vAlign w:val="center"/>
          </w:tcPr>
          <w:p w14:paraId="20233A86">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14:paraId="2E1C907C">
            <w:pPr>
              <w:pStyle w:val="42"/>
              <w:jc w:val="center"/>
              <w:rPr>
                <w:rFonts w:hint="eastAsia" w:ascii="宋体" w:hAnsi="宋体"/>
                <w:sz w:val="24"/>
                <w:lang w:val="en-US" w:eastAsia="zh-CN"/>
              </w:rPr>
            </w:pPr>
            <w:r>
              <w:rPr>
                <w:rFonts w:hint="eastAsia" w:ascii="宋体" w:hAnsi="宋体"/>
                <w:sz w:val="24"/>
                <w:lang w:val="en-US" w:eastAsia="zh-CN"/>
              </w:rPr>
              <w:t>10</w:t>
            </w:r>
          </w:p>
        </w:tc>
        <w:tc>
          <w:tcPr>
            <w:tcW w:w="2788" w:type="dxa"/>
            <w:vAlign w:val="center"/>
          </w:tcPr>
          <w:p w14:paraId="51F87178">
            <w:pPr>
              <w:pStyle w:val="42"/>
              <w:jc w:val="left"/>
              <w:rPr>
                <w:rFonts w:hint="eastAsia" w:ascii="宋体" w:hAnsi="宋体"/>
                <w:sz w:val="24"/>
                <w:lang w:val="en-US" w:eastAsia="zh-CN"/>
              </w:rPr>
            </w:pPr>
            <w:r>
              <w:rPr>
                <w:rFonts w:hint="eastAsia" w:ascii="宋体" w:hAnsi="宋体"/>
                <w:sz w:val="24"/>
                <w:lang w:val="en-US" w:eastAsia="zh-CN"/>
              </w:rPr>
              <w:t>100*50，镀锌，厚度≥1.0mm</w:t>
            </w:r>
          </w:p>
        </w:tc>
        <w:tc>
          <w:tcPr>
            <w:tcW w:w="2027" w:type="dxa"/>
            <w:vAlign w:val="center"/>
          </w:tcPr>
          <w:p w14:paraId="69137A9D">
            <w:pPr>
              <w:pStyle w:val="42"/>
              <w:jc w:val="center"/>
              <w:rPr>
                <w:rFonts w:hint="eastAsia" w:ascii="宋体" w:hAnsi="宋体"/>
                <w:sz w:val="24"/>
                <w:lang w:val="en-US" w:eastAsia="zh-CN"/>
              </w:rPr>
            </w:pPr>
          </w:p>
        </w:tc>
        <w:tc>
          <w:tcPr>
            <w:tcW w:w="1062" w:type="dxa"/>
            <w:vAlign w:val="center"/>
          </w:tcPr>
          <w:p w14:paraId="53B00E66">
            <w:pPr>
              <w:pStyle w:val="42"/>
              <w:jc w:val="center"/>
              <w:rPr>
                <w:rFonts w:hint="eastAsia" w:ascii="宋体" w:hAnsi="宋体"/>
                <w:sz w:val="24"/>
                <w:lang w:val="en-US" w:eastAsia="zh-CN"/>
              </w:rPr>
            </w:pPr>
          </w:p>
        </w:tc>
        <w:tc>
          <w:tcPr>
            <w:tcW w:w="1063" w:type="dxa"/>
            <w:vAlign w:val="center"/>
          </w:tcPr>
          <w:p w14:paraId="0707BDC9">
            <w:pPr>
              <w:pStyle w:val="42"/>
              <w:jc w:val="center"/>
              <w:rPr>
                <w:rFonts w:hint="eastAsia" w:ascii="宋体" w:hAnsi="宋体"/>
                <w:sz w:val="24"/>
                <w:lang w:val="en-US" w:eastAsia="zh-CN"/>
              </w:rPr>
            </w:pPr>
          </w:p>
        </w:tc>
      </w:tr>
      <w:tr w14:paraId="7C5F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16D3DD0">
            <w:pPr>
              <w:pStyle w:val="42"/>
              <w:jc w:val="center"/>
              <w:rPr>
                <w:rFonts w:hint="eastAsia" w:ascii="宋体" w:hAnsi="宋体"/>
                <w:sz w:val="24"/>
                <w:lang w:val="en-US" w:eastAsia="zh-CN"/>
              </w:rPr>
            </w:pPr>
            <w:r>
              <w:rPr>
                <w:rFonts w:hint="eastAsia" w:ascii="宋体" w:hAnsi="宋体"/>
                <w:sz w:val="24"/>
                <w:lang w:val="en-US" w:eastAsia="zh-CN"/>
              </w:rPr>
              <w:t>8</w:t>
            </w:r>
          </w:p>
        </w:tc>
        <w:tc>
          <w:tcPr>
            <w:tcW w:w="1243" w:type="dxa"/>
            <w:vAlign w:val="center"/>
          </w:tcPr>
          <w:p w14:paraId="045DC81C">
            <w:pPr>
              <w:pStyle w:val="42"/>
              <w:jc w:val="center"/>
              <w:rPr>
                <w:rFonts w:hint="eastAsia" w:ascii="宋体" w:hAnsi="宋体"/>
                <w:sz w:val="24"/>
                <w:lang w:val="en-US" w:eastAsia="zh-CN"/>
              </w:rPr>
            </w:pPr>
            <w:r>
              <w:rPr>
                <w:rFonts w:hint="eastAsia" w:ascii="宋体" w:hAnsi="宋体"/>
                <w:sz w:val="24"/>
                <w:lang w:val="en-US" w:eastAsia="zh-CN"/>
              </w:rPr>
              <w:t>辅材费</w:t>
            </w:r>
          </w:p>
        </w:tc>
        <w:tc>
          <w:tcPr>
            <w:tcW w:w="930" w:type="dxa"/>
            <w:vAlign w:val="center"/>
          </w:tcPr>
          <w:p w14:paraId="6429890D">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14:paraId="63202119">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759A8E14">
            <w:pPr>
              <w:pStyle w:val="42"/>
              <w:jc w:val="left"/>
              <w:rPr>
                <w:rFonts w:hint="eastAsia" w:ascii="宋体" w:hAnsi="宋体"/>
                <w:sz w:val="24"/>
                <w:lang w:eastAsia="zh-CN"/>
              </w:rPr>
            </w:pPr>
            <w:r>
              <w:rPr>
                <w:rFonts w:hint="eastAsia" w:ascii="宋体" w:hAnsi="宋体"/>
                <w:sz w:val="24"/>
                <w:lang w:val="en-US" w:eastAsia="zh-CN"/>
              </w:rPr>
              <w:t>接线端子排、N零线端子排、PE接地端子排、指示灯、标识等</w:t>
            </w:r>
          </w:p>
        </w:tc>
        <w:tc>
          <w:tcPr>
            <w:tcW w:w="2027" w:type="dxa"/>
            <w:vAlign w:val="center"/>
          </w:tcPr>
          <w:p w14:paraId="6AF587FC">
            <w:pPr>
              <w:pStyle w:val="42"/>
              <w:jc w:val="center"/>
              <w:rPr>
                <w:rFonts w:hint="eastAsia" w:ascii="宋体" w:hAnsi="宋体"/>
                <w:sz w:val="24"/>
                <w:lang w:val="en-US" w:eastAsia="zh-CN"/>
              </w:rPr>
            </w:pPr>
          </w:p>
        </w:tc>
        <w:tc>
          <w:tcPr>
            <w:tcW w:w="1062" w:type="dxa"/>
            <w:vAlign w:val="center"/>
          </w:tcPr>
          <w:p w14:paraId="7E8A2C19">
            <w:pPr>
              <w:pStyle w:val="42"/>
              <w:jc w:val="center"/>
              <w:rPr>
                <w:rFonts w:hint="eastAsia" w:ascii="宋体" w:hAnsi="宋体"/>
                <w:sz w:val="24"/>
                <w:lang w:val="en-US" w:eastAsia="zh-CN"/>
              </w:rPr>
            </w:pPr>
          </w:p>
        </w:tc>
        <w:tc>
          <w:tcPr>
            <w:tcW w:w="1063" w:type="dxa"/>
            <w:vAlign w:val="center"/>
          </w:tcPr>
          <w:p w14:paraId="6338EF96">
            <w:pPr>
              <w:pStyle w:val="42"/>
              <w:jc w:val="center"/>
              <w:rPr>
                <w:rFonts w:hint="eastAsia" w:ascii="宋体" w:hAnsi="宋体"/>
                <w:sz w:val="24"/>
                <w:lang w:val="en-US" w:eastAsia="zh-CN"/>
              </w:rPr>
            </w:pPr>
          </w:p>
        </w:tc>
      </w:tr>
      <w:tr w14:paraId="6E6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80" w:type="dxa"/>
            <w:vAlign w:val="center"/>
          </w:tcPr>
          <w:p w14:paraId="040F7B09">
            <w:pPr>
              <w:pStyle w:val="42"/>
              <w:jc w:val="center"/>
              <w:rPr>
                <w:rFonts w:hint="eastAsia" w:ascii="宋体" w:hAnsi="宋体"/>
                <w:sz w:val="24"/>
                <w:lang w:val="en-US" w:eastAsia="zh-CN"/>
              </w:rPr>
            </w:pPr>
            <w:r>
              <w:rPr>
                <w:rFonts w:hint="eastAsia" w:ascii="宋体" w:hAnsi="宋体"/>
                <w:sz w:val="24"/>
                <w:lang w:val="en-US" w:eastAsia="zh-CN"/>
              </w:rPr>
              <w:t>9</w:t>
            </w:r>
          </w:p>
        </w:tc>
        <w:tc>
          <w:tcPr>
            <w:tcW w:w="1243" w:type="dxa"/>
            <w:vAlign w:val="center"/>
          </w:tcPr>
          <w:p w14:paraId="19DC07E0">
            <w:pPr>
              <w:pStyle w:val="42"/>
              <w:jc w:val="center"/>
              <w:rPr>
                <w:rFonts w:hint="eastAsia" w:ascii="宋体" w:hAnsi="宋体"/>
                <w:sz w:val="24"/>
                <w:lang w:val="en-US" w:eastAsia="zh-CN"/>
              </w:rPr>
            </w:pPr>
            <w:r>
              <w:rPr>
                <w:rFonts w:hint="eastAsia" w:ascii="宋体" w:hAnsi="宋体"/>
                <w:sz w:val="24"/>
                <w:lang w:val="en-US" w:eastAsia="zh-CN"/>
              </w:rPr>
              <w:t>安装费</w:t>
            </w:r>
          </w:p>
        </w:tc>
        <w:tc>
          <w:tcPr>
            <w:tcW w:w="930" w:type="dxa"/>
            <w:vAlign w:val="center"/>
          </w:tcPr>
          <w:p w14:paraId="2C6865C3">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14:paraId="7A474746">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14:paraId="3EBF7676">
            <w:pPr>
              <w:pStyle w:val="42"/>
              <w:jc w:val="center"/>
              <w:rPr>
                <w:rFonts w:hint="eastAsia" w:ascii="宋体" w:hAnsi="宋体"/>
                <w:sz w:val="24"/>
                <w:lang w:val="en-US" w:eastAsia="zh-CN"/>
              </w:rPr>
            </w:pPr>
            <w:r>
              <w:rPr>
                <w:rFonts w:hint="eastAsia" w:ascii="宋体" w:hAnsi="宋体"/>
                <w:sz w:val="24"/>
                <w:lang w:val="en-US" w:eastAsia="zh-CN"/>
              </w:rPr>
              <w:t>/</w:t>
            </w:r>
          </w:p>
        </w:tc>
        <w:tc>
          <w:tcPr>
            <w:tcW w:w="2027" w:type="dxa"/>
            <w:vAlign w:val="center"/>
          </w:tcPr>
          <w:p w14:paraId="294A4B85">
            <w:pPr>
              <w:pStyle w:val="42"/>
              <w:jc w:val="center"/>
              <w:rPr>
                <w:rFonts w:hint="eastAsia" w:ascii="宋体" w:hAnsi="宋体"/>
                <w:sz w:val="24"/>
                <w:lang w:val="en-US" w:eastAsia="zh-CN"/>
              </w:rPr>
            </w:pPr>
          </w:p>
        </w:tc>
        <w:tc>
          <w:tcPr>
            <w:tcW w:w="1062" w:type="dxa"/>
            <w:vAlign w:val="center"/>
          </w:tcPr>
          <w:p w14:paraId="73E63D9D">
            <w:pPr>
              <w:pStyle w:val="42"/>
              <w:jc w:val="center"/>
              <w:rPr>
                <w:rFonts w:hint="eastAsia" w:ascii="宋体" w:hAnsi="宋体"/>
                <w:sz w:val="24"/>
                <w:lang w:val="en-US" w:eastAsia="zh-CN"/>
              </w:rPr>
            </w:pPr>
          </w:p>
        </w:tc>
        <w:tc>
          <w:tcPr>
            <w:tcW w:w="1063" w:type="dxa"/>
            <w:vAlign w:val="center"/>
          </w:tcPr>
          <w:p w14:paraId="2FA9C12B">
            <w:pPr>
              <w:pStyle w:val="42"/>
              <w:jc w:val="center"/>
              <w:rPr>
                <w:rFonts w:hint="eastAsia" w:ascii="宋体" w:hAnsi="宋体"/>
                <w:sz w:val="24"/>
                <w:lang w:val="en-US" w:eastAsia="zh-CN"/>
              </w:rPr>
            </w:pPr>
          </w:p>
        </w:tc>
      </w:tr>
      <w:tr w14:paraId="4A86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80" w:type="dxa"/>
            <w:vAlign w:val="center"/>
          </w:tcPr>
          <w:p w14:paraId="46DC26DF">
            <w:pPr>
              <w:pStyle w:val="42"/>
              <w:rPr>
                <w:rFonts w:hint="eastAsia" w:ascii="宋体" w:hAnsi="宋体"/>
                <w:sz w:val="24"/>
                <w:lang w:val="en-US" w:eastAsia="zh-CN"/>
              </w:rPr>
            </w:pPr>
            <w:r>
              <w:rPr>
                <w:rFonts w:hint="eastAsia" w:ascii="宋体" w:hAnsi="宋体"/>
                <w:sz w:val="24"/>
                <w:lang w:val="en-US" w:eastAsia="zh-CN"/>
              </w:rPr>
              <w:t>合计</w:t>
            </w:r>
          </w:p>
        </w:tc>
        <w:tc>
          <w:tcPr>
            <w:tcW w:w="7873" w:type="dxa"/>
            <w:gridSpan w:val="5"/>
            <w:vAlign w:val="center"/>
          </w:tcPr>
          <w:p w14:paraId="4245CE1C">
            <w:pPr>
              <w:pStyle w:val="42"/>
              <w:rPr>
                <w:rFonts w:hint="eastAsia" w:ascii="宋体" w:hAnsi="宋体"/>
                <w:sz w:val="24"/>
                <w:lang w:val="en-US" w:eastAsia="zh-CN"/>
              </w:rPr>
            </w:pPr>
          </w:p>
        </w:tc>
        <w:tc>
          <w:tcPr>
            <w:tcW w:w="1062" w:type="dxa"/>
            <w:vAlign w:val="center"/>
          </w:tcPr>
          <w:p w14:paraId="261D96DC">
            <w:pPr>
              <w:pStyle w:val="42"/>
              <w:rPr>
                <w:rFonts w:hint="eastAsia" w:ascii="宋体" w:hAnsi="宋体"/>
                <w:sz w:val="24"/>
                <w:lang w:val="en-US" w:eastAsia="zh-CN"/>
              </w:rPr>
            </w:pPr>
          </w:p>
        </w:tc>
        <w:tc>
          <w:tcPr>
            <w:tcW w:w="1063" w:type="dxa"/>
            <w:vAlign w:val="center"/>
          </w:tcPr>
          <w:p w14:paraId="1AB05FE3">
            <w:pPr>
              <w:pStyle w:val="42"/>
              <w:rPr>
                <w:rFonts w:hint="eastAsia" w:ascii="宋体" w:hAnsi="宋体"/>
                <w:sz w:val="24"/>
                <w:lang w:val="en-US" w:eastAsia="zh-CN"/>
              </w:rPr>
            </w:pPr>
          </w:p>
        </w:tc>
      </w:tr>
      <w:tr w14:paraId="47F7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0778" w:type="dxa"/>
            <w:gridSpan w:val="8"/>
            <w:vAlign w:val="center"/>
          </w:tcPr>
          <w:p w14:paraId="0CCE235E">
            <w:pPr>
              <w:pStyle w:val="42"/>
              <w:spacing w:line="360" w:lineRule="auto"/>
              <w:rPr>
                <w:rFonts w:hint="default" w:ascii="宋体" w:hAnsi="宋体"/>
                <w:sz w:val="24"/>
                <w:lang w:val="en-US" w:eastAsia="zh-CN"/>
              </w:rPr>
            </w:pPr>
            <w:r>
              <w:rPr>
                <w:rFonts w:hint="eastAsia" w:ascii="宋体" w:hAnsi="宋体"/>
                <w:sz w:val="24"/>
                <w:lang w:val="en-US" w:eastAsia="zh-CN"/>
              </w:rPr>
              <w:t>备注：包含所产生的一切费用，包括但不限于运输费、装卸费、保险费、材料费、包装费、杂费、加工费、增值税及其它税费、各种规费等直至完全交付甲方使用的所有费用、保修期内费用和利润。</w:t>
            </w:r>
          </w:p>
        </w:tc>
      </w:tr>
    </w:tbl>
    <w:p w14:paraId="48A69F5B">
      <w:pPr>
        <w:adjustRightInd w:val="0"/>
        <w:snapToGrid w:val="0"/>
        <w:spacing w:line="600" w:lineRule="exact"/>
        <w:ind w:firstLine="482" w:firstLineChars="200"/>
        <w:rPr>
          <w:rFonts w:hint="eastAsia" w:ascii="宋体" w:hAnsi="宋体" w:eastAsia="宋体" w:cs="宋体"/>
          <w:b/>
          <w:snapToGrid w:val="0"/>
          <w:kern w:val="0"/>
          <w:sz w:val="24"/>
        </w:rPr>
      </w:pPr>
    </w:p>
    <w:p w14:paraId="4150959D">
      <w:pPr>
        <w:adjustRightInd w:val="0"/>
        <w:snapToGrid w:val="0"/>
        <w:spacing w:line="600" w:lineRule="exact"/>
        <w:ind w:firstLine="482" w:firstLineChars="200"/>
        <w:rPr>
          <w:rFonts w:ascii="宋体" w:hAnsi="宋体" w:eastAsia="宋体" w:cs="宋体"/>
          <w:b/>
          <w:snapToGrid w:val="0"/>
          <w:kern w:val="0"/>
          <w:sz w:val="24"/>
        </w:rPr>
      </w:pPr>
      <w:r>
        <w:rPr>
          <w:rFonts w:hint="eastAsia" w:ascii="宋体" w:hAnsi="宋体" w:eastAsia="宋体" w:cs="宋体"/>
          <w:b/>
          <w:snapToGrid w:val="0"/>
          <w:kern w:val="0"/>
          <w:sz w:val="24"/>
        </w:rPr>
        <w:t>上述报价一次报出不再更改。</w:t>
      </w:r>
    </w:p>
    <w:p w14:paraId="5D073FBB">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投标人： (盖单位公章)</w:t>
      </w:r>
    </w:p>
    <w:p w14:paraId="7E79F209">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地址：                       邮编：</w:t>
      </w:r>
    </w:p>
    <w:p w14:paraId="44CC00BC">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电话：                       传真：</w:t>
      </w:r>
    </w:p>
    <w:p w14:paraId="238F5267">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法定代表人或授权委托人： (签字)</w:t>
      </w:r>
    </w:p>
    <w:p w14:paraId="46CD2E68">
      <w:pPr>
        <w:pStyle w:val="42"/>
        <w:ind w:firstLine="480" w:firstLineChars="200"/>
        <w:rPr>
          <w:rFonts w:ascii="宋体" w:hAnsi="宋体" w:cs="宋体"/>
          <w:b/>
          <w:sz w:val="72"/>
          <w:szCs w:val="52"/>
        </w:rPr>
      </w:pPr>
      <w:r>
        <w:rPr>
          <w:rFonts w:hint="eastAsia" w:ascii="宋体" w:hAnsi="宋体" w:eastAsia="宋体" w:cs="宋体"/>
          <w:bCs/>
          <w:snapToGrid w:val="0"/>
          <w:kern w:val="0"/>
          <w:sz w:val="24"/>
        </w:rPr>
        <w:t>日期：</w:t>
      </w:r>
      <w:r>
        <w:rPr>
          <w:rFonts w:hint="eastAsia" w:ascii="宋体" w:hAnsi="宋体" w:cs="宋体"/>
          <w:b/>
          <w:sz w:val="72"/>
          <w:szCs w:val="52"/>
        </w:rPr>
        <w:br w:type="page"/>
      </w:r>
    </w:p>
    <w:p w14:paraId="5133E978">
      <w:pPr>
        <w:pStyle w:val="42"/>
        <w:jc w:val="center"/>
        <w:rPr>
          <w:rFonts w:ascii="宋体" w:hAnsi="宋体" w:cs="宋体"/>
          <w:b/>
          <w:kern w:val="2"/>
          <w:sz w:val="52"/>
          <w:szCs w:val="52"/>
        </w:rPr>
      </w:pPr>
      <w:r>
        <w:rPr>
          <w:rFonts w:hint="eastAsia" w:ascii="宋体" w:hAnsi="宋体" w:cs="宋体"/>
          <w:b/>
          <w:kern w:val="2"/>
          <w:sz w:val="72"/>
          <w:szCs w:val="52"/>
        </w:rPr>
        <w:t>建设工程施工合同</w:t>
      </w:r>
    </w:p>
    <w:p w14:paraId="018E8B76">
      <w:pPr>
        <w:pStyle w:val="42"/>
        <w:rPr>
          <w:rFonts w:ascii="宋体" w:hAnsi="宋体" w:cs="宋体"/>
          <w:b/>
          <w:kern w:val="2"/>
          <w:sz w:val="52"/>
          <w:szCs w:val="52"/>
        </w:rPr>
      </w:pPr>
    </w:p>
    <w:p w14:paraId="46756735">
      <w:pPr>
        <w:pStyle w:val="42"/>
        <w:rPr>
          <w:rFonts w:ascii="宋体" w:hAnsi="宋体" w:cs="宋体"/>
          <w:b/>
          <w:kern w:val="2"/>
          <w:sz w:val="72"/>
          <w:szCs w:val="72"/>
        </w:rPr>
      </w:pPr>
    </w:p>
    <w:p w14:paraId="00A3CF1A">
      <w:pPr>
        <w:pStyle w:val="42"/>
        <w:rPr>
          <w:rFonts w:ascii="宋体" w:hAnsi="宋体" w:cs="宋体"/>
          <w:b/>
          <w:kern w:val="2"/>
          <w:sz w:val="28"/>
          <w:szCs w:val="28"/>
        </w:rPr>
      </w:pPr>
    </w:p>
    <w:p w14:paraId="5C556782">
      <w:pPr>
        <w:tabs>
          <w:tab w:val="left" w:pos="0"/>
          <w:tab w:val="left" w:pos="1002"/>
          <w:tab w:val="left" w:pos="1134"/>
        </w:tabs>
        <w:adjustRightInd w:val="0"/>
        <w:snapToGrid w:val="0"/>
        <w:spacing w:line="440" w:lineRule="exact"/>
        <w:rPr>
          <w:rFonts w:ascii="宋体" w:hAnsi="宋体" w:cs="宋体"/>
          <w:b/>
          <w:snapToGrid w:val="0"/>
          <w:sz w:val="36"/>
          <w:szCs w:val="36"/>
        </w:rPr>
      </w:pPr>
    </w:p>
    <w:p w14:paraId="14DC4D2B">
      <w:pPr>
        <w:tabs>
          <w:tab w:val="left" w:pos="0"/>
          <w:tab w:val="left" w:pos="1134"/>
        </w:tabs>
        <w:adjustRightInd w:val="0"/>
        <w:snapToGrid w:val="0"/>
        <w:spacing w:line="440" w:lineRule="exact"/>
        <w:rPr>
          <w:rFonts w:ascii="宋体" w:hAnsi="宋体" w:cs="宋体"/>
          <w:b/>
          <w:snapToGrid w:val="0"/>
          <w:sz w:val="28"/>
          <w:szCs w:val="28"/>
        </w:rPr>
      </w:pPr>
    </w:p>
    <w:p w14:paraId="0BF9AAF8">
      <w:pPr>
        <w:tabs>
          <w:tab w:val="left" w:pos="0"/>
          <w:tab w:val="left" w:pos="1134"/>
        </w:tabs>
        <w:adjustRightInd w:val="0"/>
        <w:snapToGrid w:val="0"/>
        <w:spacing w:line="440" w:lineRule="exact"/>
        <w:rPr>
          <w:rFonts w:ascii="宋体" w:hAnsi="宋体" w:cs="宋体"/>
          <w:b/>
          <w:snapToGrid w:val="0"/>
          <w:sz w:val="28"/>
          <w:szCs w:val="28"/>
        </w:rPr>
      </w:pPr>
    </w:p>
    <w:p w14:paraId="0A14DE86">
      <w:pPr>
        <w:tabs>
          <w:tab w:val="left" w:pos="0"/>
          <w:tab w:val="left" w:pos="1134"/>
        </w:tabs>
        <w:adjustRightInd w:val="0"/>
        <w:snapToGrid w:val="0"/>
        <w:spacing w:line="440" w:lineRule="exact"/>
        <w:rPr>
          <w:rFonts w:ascii="宋体" w:hAnsi="宋体" w:cs="宋体"/>
          <w:b/>
          <w:snapToGrid w:val="0"/>
          <w:sz w:val="28"/>
          <w:szCs w:val="28"/>
        </w:rPr>
      </w:pPr>
    </w:p>
    <w:p w14:paraId="72F17DFA">
      <w:pPr>
        <w:tabs>
          <w:tab w:val="left" w:pos="0"/>
          <w:tab w:val="left" w:pos="1134"/>
        </w:tabs>
        <w:adjustRightInd w:val="0"/>
        <w:snapToGrid w:val="0"/>
        <w:spacing w:line="440" w:lineRule="exact"/>
        <w:jc w:val="center"/>
        <w:rPr>
          <w:rFonts w:ascii="宋体" w:hAnsi="宋体" w:cs="宋体"/>
          <w:b/>
          <w:snapToGrid w:val="0"/>
          <w:sz w:val="36"/>
          <w:szCs w:val="36"/>
        </w:rPr>
      </w:pPr>
    </w:p>
    <w:p w14:paraId="1CAFCB78">
      <w:pPr>
        <w:tabs>
          <w:tab w:val="left" w:pos="0"/>
          <w:tab w:val="left" w:pos="1134"/>
        </w:tabs>
        <w:adjustRightInd w:val="0"/>
        <w:snapToGrid w:val="0"/>
        <w:spacing w:line="440" w:lineRule="exact"/>
        <w:jc w:val="center"/>
        <w:rPr>
          <w:rFonts w:ascii="宋体" w:hAnsi="宋体" w:cs="宋体"/>
          <w:b/>
          <w:snapToGrid w:val="0"/>
          <w:sz w:val="36"/>
          <w:szCs w:val="36"/>
        </w:rPr>
      </w:pPr>
    </w:p>
    <w:p w14:paraId="4FDF9338">
      <w:pPr>
        <w:tabs>
          <w:tab w:val="left" w:pos="0"/>
          <w:tab w:val="left" w:pos="1134"/>
        </w:tabs>
        <w:adjustRightInd w:val="0"/>
        <w:snapToGrid w:val="0"/>
        <w:spacing w:line="440" w:lineRule="exact"/>
        <w:jc w:val="center"/>
        <w:rPr>
          <w:rFonts w:ascii="宋体" w:hAnsi="宋体" w:cs="宋体"/>
          <w:b/>
          <w:snapToGrid w:val="0"/>
          <w:sz w:val="36"/>
          <w:szCs w:val="36"/>
        </w:rPr>
      </w:pPr>
    </w:p>
    <w:p w14:paraId="78D16916">
      <w:pPr>
        <w:tabs>
          <w:tab w:val="left" w:pos="0"/>
          <w:tab w:val="left" w:pos="1134"/>
        </w:tabs>
        <w:adjustRightInd w:val="0"/>
        <w:snapToGrid w:val="0"/>
        <w:spacing w:line="440" w:lineRule="exact"/>
        <w:jc w:val="center"/>
        <w:rPr>
          <w:rFonts w:ascii="宋体" w:hAnsi="宋体" w:cs="宋体"/>
          <w:b/>
          <w:snapToGrid w:val="0"/>
          <w:sz w:val="36"/>
          <w:szCs w:val="36"/>
        </w:rPr>
      </w:pPr>
    </w:p>
    <w:p w14:paraId="57F30FC1">
      <w:pPr>
        <w:tabs>
          <w:tab w:val="left" w:pos="0"/>
          <w:tab w:val="left" w:pos="1134"/>
        </w:tabs>
        <w:adjustRightInd w:val="0"/>
        <w:snapToGrid w:val="0"/>
        <w:spacing w:line="480" w:lineRule="auto"/>
        <w:jc w:val="center"/>
        <w:outlineLvl w:val="0"/>
        <w:rPr>
          <w:rFonts w:ascii="宋体" w:hAnsi="宋体" w:cs="仿宋"/>
          <w:b/>
          <w:snapToGrid w:val="0"/>
          <w:sz w:val="28"/>
          <w:szCs w:val="28"/>
        </w:rPr>
      </w:pPr>
      <w:r>
        <w:rPr>
          <w:rFonts w:hint="eastAsia" w:ascii="宋体" w:hAnsi="宋体" w:cs="宋体"/>
          <w:b/>
          <w:snapToGrid w:val="0"/>
          <w:sz w:val="36"/>
          <w:szCs w:val="36"/>
        </w:rPr>
        <w:br w:type="page"/>
      </w:r>
      <w:r>
        <w:rPr>
          <w:rFonts w:hint="eastAsia" w:ascii="宋体" w:hAnsi="宋体" w:cs="仿宋"/>
          <w:b/>
          <w:snapToGrid w:val="0"/>
          <w:sz w:val="28"/>
          <w:szCs w:val="28"/>
        </w:rPr>
        <w:t>第一部分协议书</w:t>
      </w:r>
    </w:p>
    <w:p w14:paraId="0136E416">
      <w:pPr>
        <w:tabs>
          <w:tab w:val="left" w:pos="426"/>
          <w:tab w:val="left" w:pos="1134"/>
        </w:tabs>
        <w:adjustRightInd w:val="0"/>
        <w:snapToGrid w:val="0"/>
        <w:spacing w:line="360" w:lineRule="auto"/>
        <w:ind w:firstLine="420" w:firstLineChars="200"/>
        <w:contextualSpacing/>
        <w:rPr>
          <w:rFonts w:ascii="宋体" w:hAnsi="宋体"/>
          <w:szCs w:val="21"/>
        </w:rPr>
      </w:pPr>
      <w:r>
        <w:rPr>
          <w:rFonts w:hint="eastAsia" w:ascii="宋体" w:hAnsi="宋体"/>
          <w:szCs w:val="21"/>
        </w:rPr>
        <w:t>合同编号:</w:t>
      </w:r>
    </w:p>
    <w:p w14:paraId="75E556CE">
      <w:pPr>
        <w:tabs>
          <w:tab w:val="left" w:pos="426"/>
          <w:tab w:val="left" w:pos="1134"/>
        </w:tabs>
        <w:adjustRightInd w:val="0"/>
        <w:snapToGrid w:val="0"/>
        <w:spacing w:line="360" w:lineRule="auto"/>
        <w:ind w:firstLine="420" w:firstLineChars="200"/>
        <w:contextualSpacing/>
        <w:rPr>
          <w:rFonts w:ascii="宋体" w:hAnsi="宋体" w:cs="仿宋"/>
          <w:b/>
          <w:snapToGrid w:val="0"/>
          <w:szCs w:val="21"/>
        </w:rPr>
      </w:pPr>
      <w:r>
        <w:rPr>
          <w:rFonts w:hint="eastAsia" w:ascii="宋体" w:hAnsi="宋体"/>
          <w:szCs w:val="21"/>
        </w:rPr>
        <w:t>发包人：</w:t>
      </w:r>
      <w:r>
        <w:rPr>
          <w:rFonts w:hint="eastAsia"/>
          <w:b/>
          <w:bCs/>
          <w:szCs w:val="21"/>
        </w:rPr>
        <w:t>扬州大学附属医院</w:t>
      </w:r>
    </w:p>
    <w:p w14:paraId="67406D8C">
      <w:pPr>
        <w:tabs>
          <w:tab w:val="left" w:pos="426"/>
        </w:tabs>
        <w:snapToGrid w:val="0"/>
        <w:spacing w:line="360" w:lineRule="auto"/>
        <w:ind w:firstLine="420" w:firstLineChars="200"/>
        <w:contextualSpacing/>
        <w:rPr>
          <w:rFonts w:ascii="宋体" w:hAnsi="宋体"/>
          <w:szCs w:val="21"/>
        </w:rPr>
      </w:pPr>
      <w:r>
        <w:rPr>
          <w:rFonts w:hint="eastAsia" w:ascii="宋体" w:hAnsi="宋体"/>
          <w:szCs w:val="21"/>
        </w:rPr>
        <w:t>承包人：</w:t>
      </w:r>
      <w:r>
        <w:rPr>
          <w:rFonts w:ascii="宋体" w:hAnsi="宋体"/>
          <w:szCs w:val="21"/>
        </w:rPr>
        <w:t xml:space="preserve"> </w:t>
      </w:r>
    </w:p>
    <w:p w14:paraId="7EDA078F">
      <w:pPr>
        <w:tabs>
          <w:tab w:val="left" w:pos="426"/>
        </w:tabs>
        <w:adjustRightInd w:val="0"/>
        <w:snapToGrid w:val="0"/>
        <w:spacing w:line="360" w:lineRule="auto"/>
        <w:ind w:firstLine="420" w:firstLineChars="200"/>
        <w:contextualSpacing/>
        <w:rPr>
          <w:rFonts w:ascii="宋体" w:hAnsi="宋体" w:cs="仿宋"/>
          <w:bCs/>
          <w:snapToGrid w:val="0"/>
          <w:szCs w:val="21"/>
        </w:rPr>
      </w:pPr>
      <w:r>
        <w:rPr>
          <w:rFonts w:hint="eastAsia" w:ascii="宋体" w:hAnsi="宋体"/>
          <w:szCs w:val="21"/>
        </w:rPr>
        <w:t>发包人承包人双方根据《中华人民共和国民法典》等相关法律法规，遵循平等、自愿、公平、诚实信用的原则，就</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szCs w:val="21"/>
        </w:rPr>
        <w:t>，经发包人承包人双方友好协商签订以下合同：</w:t>
      </w:r>
    </w:p>
    <w:p w14:paraId="57551532">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一、工程概况</w:t>
      </w:r>
    </w:p>
    <w:p w14:paraId="1D8FDD08">
      <w:pPr>
        <w:tabs>
          <w:tab w:val="left" w:pos="426"/>
        </w:tabs>
        <w:adjustRightInd w:val="0"/>
        <w:snapToGrid w:val="0"/>
        <w:spacing w:line="360" w:lineRule="auto"/>
        <w:ind w:firstLine="420" w:firstLineChars="200"/>
        <w:contextualSpacing/>
        <w:rPr>
          <w:rFonts w:ascii="宋体" w:hAnsi="宋体" w:cs="仿宋" w:eastAsiaTheme="minorEastAsia"/>
          <w:b/>
          <w:bCs/>
          <w:snapToGrid w:val="0"/>
          <w:szCs w:val="21"/>
        </w:rPr>
      </w:pPr>
      <w:r>
        <w:rPr>
          <w:rFonts w:hint="eastAsia" w:ascii="宋体" w:hAnsi="宋体"/>
          <w:szCs w:val="21"/>
        </w:rPr>
        <w:t xml:space="preserve">1.1工程名称：        </w:t>
      </w:r>
    </w:p>
    <w:p w14:paraId="01A603CE">
      <w:pPr>
        <w:tabs>
          <w:tab w:val="left" w:pos="426"/>
        </w:tabs>
        <w:spacing w:line="360" w:lineRule="auto"/>
        <w:ind w:firstLine="420" w:firstLineChars="200"/>
        <w:contextualSpacing/>
        <w:rPr>
          <w:rFonts w:ascii="宋体" w:hAnsi="宋体"/>
          <w:szCs w:val="21"/>
        </w:rPr>
      </w:pPr>
      <w:r>
        <w:rPr>
          <w:rFonts w:hint="eastAsia" w:ascii="宋体" w:hAnsi="宋体"/>
          <w:szCs w:val="21"/>
        </w:rPr>
        <w:t xml:space="preserve">1.2工程地点：     </w:t>
      </w:r>
    </w:p>
    <w:p w14:paraId="25C2F529">
      <w:pPr>
        <w:tabs>
          <w:tab w:val="left" w:pos="426"/>
        </w:tabs>
        <w:adjustRightInd w:val="0"/>
        <w:snapToGrid w:val="0"/>
        <w:spacing w:line="360" w:lineRule="auto"/>
        <w:ind w:firstLine="420" w:firstLineChars="200"/>
        <w:contextualSpacing/>
        <w:rPr>
          <w:rFonts w:ascii="宋体" w:hAnsi="宋体" w:cs="仿宋"/>
          <w:snapToGrid w:val="0"/>
          <w:szCs w:val="21"/>
        </w:rPr>
      </w:pPr>
      <w:r>
        <w:rPr>
          <w:rFonts w:hint="eastAsia" w:ascii="宋体" w:hAnsi="宋体"/>
          <w:szCs w:val="21"/>
        </w:rPr>
        <w:t>1.3主要工程项目和内容：</w:t>
      </w:r>
      <w:r>
        <w:rPr>
          <w:rFonts w:hint="eastAsia" w:ascii="宋体" w:hAnsi="宋体" w:cs="仿宋"/>
          <w:snapToGrid w:val="0"/>
          <w:szCs w:val="21"/>
        </w:rPr>
        <w:t xml:space="preserve"> </w:t>
      </w:r>
    </w:p>
    <w:p w14:paraId="0F42B36A">
      <w:pPr>
        <w:tabs>
          <w:tab w:val="left" w:pos="426"/>
        </w:tabs>
        <w:adjustRightInd w:val="0"/>
        <w:snapToGrid w:val="0"/>
        <w:spacing w:line="360" w:lineRule="auto"/>
        <w:ind w:firstLine="422" w:firstLineChars="200"/>
        <w:contextualSpacing/>
        <w:rPr>
          <w:rFonts w:ascii="宋体" w:hAnsi="宋体"/>
          <w:szCs w:val="21"/>
        </w:rPr>
      </w:pPr>
      <w:r>
        <w:rPr>
          <w:rFonts w:hint="eastAsia" w:ascii="宋体" w:hAnsi="宋体" w:cs="仿宋"/>
          <w:b/>
          <w:snapToGrid w:val="0"/>
          <w:szCs w:val="21"/>
        </w:rPr>
        <w:t>详见图纸及本施工要求。</w:t>
      </w:r>
    </w:p>
    <w:p w14:paraId="54AC8129">
      <w:pPr>
        <w:pStyle w:val="33"/>
        <w:tabs>
          <w:tab w:val="left" w:pos="426"/>
        </w:tabs>
        <w:spacing w:line="360" w:lineRule="auto"/>
        <w:contextualSpacing/>
        <w:jc w:val="left"/>
        <w:rPr>
          <w:rFonts w:ascii="宋体" w:hAnsi="宋体"/>
          <w:szCs w:val="21"/>
        </w:rPr>
      </w:pPr>
      <w:r>
        <w:rPr>
          <w:rFonts w:hint="eastAsia" w:ascii="宋体" w:hAnsi="宋体"/>
          <w:szCs w:val="21"/>
        </w:rPr>
        <w:t>1.4资金来源：自筹。</w:t>
      </w:r>
    </w:p>
    <w:p w14:paraId="21A170B2">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二、合同工期</w:t>
      </w:r>
    </w:p>
    <w:p w14:paraId="5CA7D629">
      <w:pPr>
        <w:pStyle w:val="33"/>
        <w:tabs>
          <w:tab w:val="left" w:pos="426"/>
        </w:tabs>
        <w:spacing w:line="360" w:lineRule="auto"/>
        <w:contextualSpacing/>
        <w:jc w:val="left"/>
        <w:rPr>
          <w:rFonts w:ascii="宋体" w:hAnsi="宋体"/>
          <w:szCs w:val="21"/>
        </w:rPr>
      </w:pPr>
      <w:r>
        <w:rPr>
          <w:rFonts w:hint="eastAsia" w:ascii="宋体" w:hAnsi="宋体"/>
          <w:szCs w:val="21"/>
        </w:rPr>
        <w:t>2.1</w:t>
      </w:r>
      <w:r>
        <w:rPr>
          <w:rFonts w:hint="eastAsia" w:ascii="宋体" w:hAnsi="宋体" w:cs="宋体"/>
          <w:b/>
          <w:bCs/>
          <w:snapToGrid w:val="0"/>
          <w:szCs w:val="21"/>
        </w:rPr>
        <w:t>总工期  日历天。</w:t>
      </w:r>
    </w:p>
    <w:p w14:paraId="3635B918">
      <w:pPr>
        <w:pStyle w:val="33"/>
        <w:tabs>
          <w:tab w:val="left" w:pos="426"/>
        </w:tabs>
        <w:spacing w:line="360" w:lineRule="auto"/>
        <w:ind w:firstLine="452"/>
        <w:contextualSpacing/>
        <w:jc w:val="left"/>
        <w:rPr>
          <w:rFonts w:ascii="宋体" w:hAnsi="宋体"/>
          <w:szCs w:val="21"/>
        </w:rPr>
      </w:pPr>
      <w:r>
        <w:rPr>
          <w:rFonts w:hint="eastAsia" w:ascii="宋体" w:hAnsi="宋体"/>
          <w:spacing w:val="8"/>
          <w:szCs w:val="21"/>
        </w:rPr>
        <w:t xml:space="preserve">2.2开工日期为    </w:t>
      </w:r>
      <w:r>
        <w:rPr>
          <w:rFonts w:ascii="宋体" w:hAnsi="宋体"/>
          <w:spacing w:val="8"/>
          <w:szCs w:val="21"/>
        </w:rPr>
        <w:t>年  月  日</w:t>
      </w:r>
      <w:r>
        <w:rPr>
          <w:rFonts w:hint="eastAsia" w:ascii="宋体" w:hAnsi="宋体"/>
          <w:spacing w:val="8"/>
          <w:szCs w:val="21"/>
        </w:rPr>
        <w:t>（以发包人开工令为准）。</w:t>
      </w:r>
    </w:p>
    <w:p w14:paraId="1355B1B5">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三、质量标准</w:t>
      </w:r>
    </w:p>
    <w:p w14:paraId="048EA8C7">
      <w:pPr>
        <w:pStyle w:val="40"/>
        <w:tabs>
          <w:tab w:val="left" w:pos="426"/>
        </w:tabs>
        <w:snapToGrid w:val="0"/>
        <w:spacing w:before="0" w:after="0" w:line="360" w:lineRule="auto"/>
        <w:ind w:left="0" w:right="0" w:firstLine="420" w:firstLineChars="200"/>
        <w:contextualSpacing/>
        <w:rPr>
          <w:rFonts w:ascii="宋体" w:hAnsi="宋体"/>
          <w:sz w:val="21"/>
          <w:szCs w:val="21"/>
        </w:rPr>
      </w:pPr>
      <w:r>
        <w:rPr>
          <w:rFonts w:hint="eastAsia" w:ascii="宋体" w:hAnsi="宋体"/>
          <w:sz w:val="21"/>
          <w:szCs w:val="21"/>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0C85A6BA">
      <w:pPr>
        <w:pStyle w:val="40"/>
        <w:tabs>
          <w:tab w:val="left" w:pos="426"/>
        </w:tabs>
        <w:snapToGrid w:val="0"/>
        <w:spacing w:before="0" w:after="0" w:line="360" w:lineRule="auto"/>
        <w:ind w:left="0" w:right="0" w:firstLine="422" w:firstLineChars="200"/>
        <w:contextualSpacing/>
        <w:rPr>
          <w:rFonts w:ascii="宋体" w:hAnsi="宋体"/>
          <w:b/>
          <w:sz w:val="21"/>
          <w:szCs w:val="21"/>
        </w:rPr>
      </w:pPr>
      <w:r>
        <w:rPr>
          <w:rFonts w:hint="eastAsia" w:ascii="宋体" w:hAnsi="宋体"/>
          <w:b/>
          <w:sz w:val="21"/>
          <w:szCs w:val="21"/>
        </w:rPr>
        <w:t>四、合同价款</w:t>
      </w:r>
    </w:p>
    <w:p w14:paraId="50A65896">
      <w:pPr>
        <w:tabs>
          <w:tab w:val="left" w:pos="426"/>
        </w:tabs>
        <w:snapToGrid w:val="0"/>
        <w:spacing w:line="360" w:lineRule="auto"/>
        <w:ind w:firstLine="422" w:firstLineChars="200"/>
        <w:contextualSpacing/>
        <w:rPr>
          <w:rFonts w:ascii="宋体" w:hAnsi="宋体"/>
          <w:b/>
          <w:szCs w:val="21"/>
        </w:rPr>
      </w:pPr>
      <w:r>
        <w:rPr>
          <w:rFonts w:ascii="宋体" w:hAnsi="宋体"/>
          <w:b/>
          <w:szCs w:val="21"/>
        </w:rPr>
        <w:t>4.1</w:t>
      </w:r>
      <w:r>
        <w:rPr>
          <w:rFonts w:hint="eastAsia" w:ascii="宋体" w:hAnsi="宋体"/>
          <w:b/>
          <w:szCs w:val="21"/>
        </w:rPr>
        <w:t>合同</w:t>
      </w:r>
      <w:r>
        <w:rPr>
          <w:rFonts w:ascii="宋体" w:hAnsi="宋体"/>
          <w:b/>
          <w:szCs w:val="21"/>
        </w:rPr>
        <w:t>价为：人民币（大写）</w:t>
      </w:r>
      <w:r>
        <w:rPr>
          <w:rFonts w:hint="eastAsia" w:ascii="宋体" w:hAnsi="宋体"/>
          <w:b/>
          <w:szCs w:val="21"/>
        </w:rPr>
        <w:t>:</w:t>
      </w:r>
      <w:r>
        <w:rPr>
          <w:rFonts w:ascii="宋体" w:hAnsi="宋体"/>
          <w:b/>
          <w:szCs w:val="21"/>
        </w:rPr>
        <w:t xml:space="preserve"> </w:t>
      </w:r>
    </w:p>
    <w:p w14:paraId="7C01F760">
      <w:pPr>
        <w:tabs>
          <w:tab w:val="left" w:pos="426"/>
        </w:tabs>
        <w:snapToGrid w:val="0"/>
        <w:spacing w:line="360" w:lineRule="auto"/>
        <w:ind w:firstLine="422" w:firstLineChars="200"/>
        <w:contextualSpacing/>
        <w:rPr>
          <w:rFonts w:ascii="宋体" w:hAnsi="宋体" w:cs="Arial"/>
          <w:b/>
          <w:szCs w:val="21"/>
          <w:u w:val="single"/>
        </w:rPr>
      </w:pPr>
      <w:r>
        <w:rPr>
          <w:rFonts w:hint="eastAsia" w:ascii="宋体" w:hAnsi="宋体"/>
          <w:b/>
          <w:szCs w:val="21"/>
        </w:rPr>
        <w:t xml:space="preserve">               </w:t>
      </w:r>
      <w:r>
        <w:rPr>
          <w:rFonts w:ascii="宋体" w:hAnsi="宋体"/>
          <w:b/>
          <w:szCs w:val="21"/>
        </w:rPr>
        <w:t xml:space="preserve"> </w:t>
      </w:r>
      <w:r>
        <w:rPr>
          <w:rFonts w:hint="eastAsia" w:ascii="宋体" w:hAnsi="宋体"/>
          <w:b/>
          <w:szCs w:val="21"/>
        </w:rPr>
        <w:t xml:space="preserve">     (小写)：</w:t>
      </w:r>
      <w:r>
        <w:rPr>
          <w:rFonts w:ascii="宋体" w:hAnsi="宋体" w:cs="Arial"/>
          <w:b/>
          <w:szCs w:val="21"/>
          <w:u w:val="single"/>
        </w:rPr>
        <w:t xml:space="preserve"> </w:t>
      </w:r>
    </w:p>
    <w:p w14:paraId="3AE94109">
      <w:pPr>
        <w:tabs>
          <w:tab w:val="left" w:pos="426"/>
        </w:tabs>
        <w:snapToGrid w:val="0"/>
        <w:spacing w:line="360" w:lineRule="auto"/>
        <w:ind w:firstLine="422" w:firstLineChars="200"/>
        <w:contextualSpacing/>
        <w:rPr>
          <w:rFonts w:ascii="宋体" w:hAnsi="宋体"/>
          <w:b/>
          <w:szCs w:val="21"/>
        </w:rPr>
      </w:pPr>
      <w:r>
        <w:rPr>
          <w:rFonts w:hint="eastAsia" w:ascii="宋体" w:hAnsi="宋体"/>
          <w:b/>
          <w:szCs w:val="21"/>
        </w:rPr>
        <w:t>（最终造价按审计部门审计造价进行结算。）</w:t>
      </w:r>
    </w:p>
    <w:p w14:paraId="3AFB8353">
      <w:pPr>
        <w:tabs>
          <w:tab w:val="left" w:pos="426"/>
        </w:tabs>
        <w:spacing w:line="360" w:lineRule="auto"/>
        <w:ind w:firstLine="422" w:firstLineChars="200"/>
        <w:contextualSpacing/>
        <w:outlineLvl w:val="1"/>
        <w:rPr>
          <w:rFonts w:ascii="宋体" w:hAnsi="宋体"/>
          <w:szCs w:val="21"/>
        </w:rPr>
      </w:pPr>
      <w:r>
        <w:rPr>
          <w:rFonts w:hint="eastAsia" w:ascii="宋体" w:hAnsi="宋体"/>
          <w:b/>
          <w:szCs w:val="21"/>
        </w:rPr>
        <w:t>五、组成本合同的文件包括：</w:t>
      </w:r>
      <w:r>
        <w:rPr>
          <w:rFonts w:hint="eastAsia" w:ascii="宋体" w:hAnsi="宋体"/>
          <w:szCs w:val="21"/>
        </w:rPr>
        <w:t>是合同不可分割的组成部分，与合同具有同样的法律效力。</w:t>
      </w:r>
    </w:p>
    <w:p w14:paraId="623CBD9A">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5.1合同协议书</w:t>
      </w:r>
      <w:r>
        <w:rPr>
          <w:rFonts w:hint="eastAsia" w:hAnsi="宋体"/>
          <w:snapToGrid w:val="0"/>
          <w:szCs w:val="21"/>
        </w:rPr>
        <w:t>；</w:t>
      </w:r>
    </w:p>
    <w:p w14:paraId="53EABD7C">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5.2合同专用条款</w:t>
      </w:r>
      <w:r>
        <w:rPr>
          <w:rFonts w:hint="eastAsia" w:hAnsi="宋体"/>
          <w:snapToGrid w:val="0"/>
          <w:szCs w:val="21"/>
        </w:rPr>
        <w:t>；</w:t>
      </w:r>
    </w:p>
    <w:p w14:paraId="1FE9777F">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5.3合同通用条款</w:t>
      </w:r>
      <w:r>
        <w:rPr>
          <w:rFonts w:hint="eastAsia" w:hAnsi="宋体"/>
          <w:snapToGrid w:val="0"/>
          <w:szCs w:val="21"/>
        </w:rPr>
        <w:t>；</w:t>
      </w:r>
    </w:p>
    <w:p w14:paraId="22421818">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5.4招标文件及补遗书及澄清答疑文件</w:t>
      </w:r>
      <w:r>
        <w:rPr>
          <w:rFonts w:hint="eastAsia" w:hAnsi="宋体"/>
          <w:snapToGrid w:val="0"/>
          <w:szCs w:val="21"/>
        </w:rPr>
        <w:t>；</w:t>
      </w:r>
    </w:p>
    <w:p w14:paraId="024B05AD">
      <w:pPr>
        <w:spacing w:line="360" w:lineRule="auto"/>
        <w:ind w:firstLine="420" w:firstLineChars="200"/>
        <w:contextualSpacing/>
        <w:rPr>
          <w:rFonts w:ascii="宋体" w:hAnsi="宋体"/>
          <w:szCs w:val="21"/>
        </w:rPr>
      </w:pPr>
      <w:r>
        <w:rPr>
          <w:rFonts w:hint="eastAsia" w:ascii="宋体" w:hAnsi="宋体"/>
          <w:szCs w:val="21"/>
        </w:rPr>
        <w:t>5.5投标文件</w:t>
      </w:r>
      <w:r>
        <w:rPr>
          <w:rFonts w:hint="eastAsia" w:hAnsi="宋体"/>
          <w:snapToGrid w:val="0"/>
          <w:szCs w:val="21"/>
        </w:rPr>
        <w:t>；</w:t>
      </w:r>
    </w:p>
    <w:p w14:paraId="2AF38DCB">
      <w:pPr>
        <w:spacing w:line="360" w:lineRule="auto"/>
        <w:ind w:firstLine="420" w:firstLineChars="200"/>
        <w:contextualSpacing/>
        <w:rPr>
          <w:rFonts w:ascii="宋体" w:hAnsi="宋体"/>
          <w:szCs w:val="21"/>
        </w:rPr>
      </w:pPr>
      <w:r>
        <w:rPr>
          <w:rFonts w:hint="eastAsia" w:ascii="宋体" w:hAnsi="宋体"/>
          <w:szCs w:val="21"/>
        </w:rPr>
        <w:t>5.6投标人投标时所作的申明、承诺、澄清及答复资料等</w:t>
      </w:r>
      <w:r>
        <w:rPr>
          <w:rFonts w:hint="eastAsia" w:hAnsi="宋体"/>
          <w:snapToGrid w:val="0"/>
          <w:szCs w:val="21"/>
        </w:rPr>
        <w:t>；</w:t>
      </w:r>
    </w:p>
    <w:p w14:paraId="6DE6C537">
      <w:pPr>
        <w:spacing w:line="360" w:lineRule="auto"/>
        <w:ind w:firstLine="420" w:firstLineChars="200"/>
        <w:contextualSpacing/>
        <w:rPr>
          <w:rFonts w:ascii="宋体" w:hAnsi="宋体"/>
          <w:szCs w:val="21"/>
        </w:rPr>
      </w:pPr>
      <w:r>
        <w:rPr>
          <w:rFonts w:hint="eastAsia" w:ascii="宋体" w:hAnsi="宋体"/>
          <w:szCs w:val="21"/>
        </w:rPr>
        <w:t>5.7国家及行业规范标准、</w:t>
      </w:r>
      <w:r>
        <w:rPr>
          <w:rFonts w:hint="eastAsia" w:ascii="宋体" w:hAnsi="宋体"/>
          <w:snapToGrid w:val="0"/>
          <w:szCs w:val="21"/>
        </w:rPr>
        <w:t>有关技术文件</w:t>
      </w:r>
      <w:r>
        <w:rPr>
          <w:rFonts w:hint="eastAsia" w:hAnsi="宋体"/>
          <w:snapToGrid w:val="0"/>
          <w:szCs w:val="21"/>
        </w:rPr>
        <w:t>；</w:t>
      </w:r>
    </w:p>
    <w:p w14:paraId="54381780">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5.8施工图纸</w:t>
      </w:r>
      <w:r>
        <w:rPr>
          <w:rFonts w:hint="eastAsia" w:hAnsi="宋体"/>
          <w:snapToGrid w:val="0"/>
          <w:szCs w:val="21"/>
        </w:rPr>
        <w:t>；</w:t>
      </w:r>
    </w:p>
    <w:p w14:paraId="57067646">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5.9</w:t>
      </w:r>
      <w:r>
        <w:rPr>
          <w:rFonts w:hint="eastAsia" w:hAnsi="宋体"/>
          <w:snapToGrid w:val="0"/>
          <w:szCs w:val="21"/>
        </w:rPr>
        <w:t>工程报价单及预算书；</w:t>
      </w:r>
    </w:p>
    <w:p w14:paraId="26E70F38">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5.10经双方确认的工程量清单</w:t>
      </w:r>
      <w:r>
        <w:rPr>
          <w:rFonts w:hint="eastAsia" w:hAnsi="宋体"/>
          <w:snapToGrid w:val="0"/>
          <w:szCs w:val="21"/>
        </w:rPr>
        <w:t>；</w:t>
      </w:r>
    </w:p>
    <w:p w14:paraId="61038162">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5.11投标报价</w:t>
      </w:r>
      <w:r>
        <w:rPr>
          <w:rFonts w:hint="eastAsia" w:hAnsi="宋体"/>
          <w:snapToGrid w:val="0"/>
          <w:szCs w:val="21"/>
        </w:rPr>
        <w:t>；</w:t>
      </w:r>
    </w:p>
    <w:p w14:paraId="4651904B">
      <w:pPr>
        <w:spacing w:line="360" w:lineRule="auto"/>
        <w:ind w:firstLine="420" w:firstLineChars="200"/>
        <w:contextualSpacing/>
        <w:rPr>
          <w:rFonts w:ascii="宋体" w:hAnsi="宋体"/>
          <w:szCs w:val="21"/>
        </w:rPr>
      </w:pPr>
      <w:r>
        <w:rPr>
          <w:rFonts w:hint="eastAsia" w:hAnsi="宋体"/>
          <w:snapToGrid w:val="0"/>
          <w:szCs w:val="21"/>
        </w:rPr>
        <w:t>合同履行中，</w:t>
      </w:r>
      <w:r>
        <w:rPr>
          <w:rFonts w:hint="eastAsia" w:ascii="宋体" w:hAnsi="宋体"/>
          <w:szCs w:val="21"/>
        </w:rPr>
        <w:t>双方有关工程的洽商、变更等书面协议或文件视为本合同的组成部分。</w:t>
      </w:r>
    </w:p>
    <w:p w14:paraId="1639D584">
      <w:pPr>
        <w:spacing w:line="360" w:lineRule="auto"/>
        <w:ind w:firstLine="422" w:firstLineChars="200"/>
        <w:contextualSpacing/>
        <w:outlineLvl w:val="1"/>
        <w:rPr>
          <w:rFonts w:ascii="宋体" w:hAnsi="宋体"/>
          <w:b/>
          <w:szCs w:val="21"/>
        </w:rPr>
      </w:pPr>
      <w:r>
        <w:rPr>
          <w:rFonts w:hint="eastAsia" w:ascii="宋体" w:hAnsi="宋体"/>
          <w:b/>
          <w:szCs w:val="21"/>
        </w:rPr>
        <w:t>六、本合同书中有关词语含义与本合同《通用条款》中分别赋予它们的定义相同。</w:t>
      </w:r>
    </w:p>
    <w:p w14:paraId="3B6C6980">
      <w:pPr>
        <w:spacing w:line="360" w:lineRule="auto"/>
        <w:ind w:firstLine="422" w:firstLineChars="200"/>
        <w:contextualSpacing/>
        <w:outlineLvl w:val="1"/>
        <w:rPr>
          <w:rFonts w:ascii="宋体" w:hAnsi="宋体"/>
          <w:b/>
          <w:szCs w:val="21"/>
        </w:rPr>
      </w:pPr>
      <w:r>
        <w:rPr>
          <w:rFonts w:hint="eastAsia" w:ascii="宋体" w:hAnsi="宋体"/>
          <w:b/>
          <w:szCs w:val="21"/>
        </w:rPr>
        <w:t>七、承包人向发包人承诺按照合同约定进行施工，并在质量保修期内承担工程质量的保修责任。</w:t>
      </w:r>
    </w:p>
    <w:p w14:paraId="42D444FF">
      <w:pPr>
        <w:spacing w:line="360" w:lineRule="auto"/>
        <w:ind w:firstLine="422" w:firstLineChars="200"/>
        <w:contextualSpacing/>
        <w:outlineLvl w:val="1"/>
        <w:rPr>
          <w:rFonts w:ascii="宋体" w:hAnsi="宋体"/>
          <w:b/>
          <w:szCs w:val="21"/>
        </w:rPr>
      </w:pPr>
      <w:r>
        <w:rPr>
          <w:rFonts w:hint="eastAsia" w:ascii="宋体" w:hAnsi="宋体"/>
          <w:b/>
          <w:szCs w:val="21"/>
        </w:rPr>
        <w:t>八、发包人向承包人承诺按照合同约定的期限和方式支付合同价款及其他应当支付的款项。</w:t>
      </w:r>
    </w:p>
    <w:p w14:paraId="01A927B3">
      <w:pPr>
        <w:spacing w:line="360" w:lineRule="auto"/>
        <w:ind w:firstLine="422" w:firstLineChars="200"/>
        <w:contextualSpacing/>
        <w:outlineLvl w:val="1"/>
        <w:rPr>
          <w:rFonts w:ascii="宋体" w:hAnsi="宋体"/>
          <w:b/>
          <w:szCs w:val="21"/>
        </w:rPr>
      </w:pPr>
      <w:r>
        <w:rPr>
          <w:rFonts w:hint="eastAsia" w:ascii="宋体" w:hAnsi="宋体"/>
          <w:b/>
          <w:szCs w:val="21"/>
        </w:rPr>
        <w:t>九、合同生效</w:t>
      </w:r>
    </w:p>
    <w:p w14:paraId="577C80F9">
      <w:pPr>
        <w:spacing w:line="360" w:lineRule="auto"/>
        <w:ind w:firstLine="420" w:firstLineChars="200"/>
        <w:contextualSpacing/>
        <w:rPr>
          <w:rFonts w:ascii="宋体" w:hAnsi="宋体"/>
          <w:szCs w:val="21"/>
        </w:rPr>
      </w:pPr>
      <w:r>
        <w:rPr>
          <w:rFonts w:hint="eastAsia" w:ascii="宋体" w:hAnsi="宋体"/>
          <w:szCs w:val="21"/>
        </w:rPr>
        <w:t>9.1合同订立时间：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CCC0413">
      <w:pPr>
        <w:spacing w:line="360" w:lineRule="auto"/>
        <w:ind w:firstLine="420" w:firstLineChars="200"/>
        <w:contextualSpacing/>
        <w:rPr>
          <w:rFonts w:ascii="宋体" w:hAnsi="宋体"/>
          <w:szCs w:val="21"/>
        </w:rPr>
      </w:pPr>
      <w:r>
        <w:rPr>
          <w:rFonts w:hint="eastAsia" w:ascii="宋体" w:hAnsi="宋体"/>
          <w:szCs w:val="21"/>
        </w:rPr>
        <w:t>9.2合同订立地点：扬州大学附属医院。</w:t>
      </w:r>
    </w:p>
    <w:p w14:paraId="75B59D7D">
      <w:pPr>
        <w:spacing w:line="360" w:lineRule="auto"/>
        <w:ind w:firstLine="420" w:firstLineChars="200"/>
        <w:contextualSpacing/>
        <w:rPr>
          <w:rFonts w:ascii="宋体" w:hAnsi="宋体"/>
          <w:szCs w:val="21"/>
        </w:rPr>
      </w:pPr>
      <w:r>
        <w:rPr>
          <w:rFonts w:hint="eastAsia" w:ascii="宋体" w:hAnsi="宋体"/>
          <w:szCs w:val="21"/>
        </w:rPr>
        <w:t>9.3本合同双方约定双方签字盖章后生效。</w:t>
      </w:r>
    </w:p>
    <w:p w14:paraId="24585F64">
      <w:pPr>
        <w:tabs>
          <w:tab w:val="left" w:pos="567"/>
        </w:tabs>
        <w:snapToGrid w:val="0"/>
        <w:spacing w:line="360" w:lineRule="auto"/>
        <w:ind w:firstLine="420" w:firstLineChars="200"/>
        <w:contextualSpacing/>
        <w:rPr>
          <w:rFonts w:ascii="宋体" w:hAnsi="宋体" w:cs="宋体"/>
          <w:bCs/>
          <w:szCs w:val="21"/>
        </w:rPr>
      </w:pPr>
      <w:r>
        <w:rPr>
          <w:rFonts w:hint="eastAsia" w:ascii="宋体" w:hAnsi="宋体" w:cs="宋体"/>
          <w:bCs/>
          <w:szCs w:val="21"/>
        </w:rPr>
        <w:t>9.4</w:t>
      </w:r>
      <w:r>
        <w:rPr>
          <w:rFonts w:hint="eastAsia" w:ascii="宋体" w:hAnsi="宋体" w:cs="宋体"/>
          <w:szCs w:val="21"/>
        </w:rPr>
        <w:t>本合同一式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w:t>
      </w:r>
    </w:p>
    <w:p w14:paraId="4E297677">
      <w:pPr>
        <w:tabs>
          <w:tab w:val="left" w:pos="567"/>
        </w:tabs>
        <w:snapToGrid w:val="0"/>
        <w:spacing w:line="360" w:lineRule="auto"/>
        <w:ind w:firstLine="420" w:firstLineChars="200"/>
        <w:contextualSpacing/>
        <w:rPr>
          <w:rFonts w:ascii="宋体" w:hAnsi="宋体" w:cs="宋体"/>
          <w:bCs/>
          <w:szCs w:val="21"/>
        </w:rPr>
      </w:pPr>
    </w:p>
    <w:p w14:paraId="1523B64E">
      <w:pPr>
        <w:tabs>
          <w:tab w:val="left" w:pos="567"/>
        </w:tabs>
        <w:snapToGrid w:val="0"/>
        <w:spacing w:line="360" w:lineRule="auto"/>
        <w:ind w:firstLine="420" w:firstLineChars="200"/>
        <w:contextualSpacing/>
        <w:rPr>
          <w:rFonts w:ascii="宋体" w:hAnsi="宋体" w:cs="宋体"/>
          <w:bCs/>
          <w:szCs w:val="21"/>
        </w:rPr>
      </w:pPr>
    </w:p>
    <w:p w14:paraId="61767B9E">
      <w:pPr>
        <w:tabs>
          <w:tab w:val="left" w:pos="567"/>
        </w:tabs>
        <w:snapToGrid w:val="0"/>
        <w:spacing w:line="360" w:lineRule="auto"/>
        <w:ind w:firstLine="420" w:firstLineChars="200"/>
        <w:contextualSpacing/>
        <w:rPr>
          <w:rFonts w:ascii="宋体" w:hAnsi="宋体" w:cs="宋体"/>
          <w:bCs/>
          <w:szCs w:val="21"/>
        </w:rPr>
      </w:pPr>
    </w:p>
    <w:p w14:paraId="058FFDFF">
      <w:pPr>
        <w:tabs>
          <w:tab w:val="left" w:pos="567"/>
        </w:tabs>
        <w:snapToGrid w:val="0"/>
        <w:spacing w:line="360" w:lineRule="auto"/>
        <w:ind w:firstLine="420" w:firstLineChars="200"/>
        <w:contextualSpacing/>
        <w:rPr>
          <w:rFonts w:ascii="宋体" w:hAnsi="宋体"/>
          <w:b/>
          <w:szCs w:val="21"/>
        </w:rPr>
      </w:pPr>
      <w:r>
        <w:rPr>
          <w:rFonts w:hint="eastAsia" w:ascii="宋体" w:hAnsi="宋体" w:cs="宋体"/>
          <w:bCs/>
          <w:szCs w:val="21"/>
        </w:rPr>
        <w:t>发包人：</w:t>
      </w:r>
      <w:r>
        <w:rPr>
          <w:rFonts w:hint="eastAsia" w:ascii="宋体" w:hAnsi="宋体" w:cs="宋体"/>
          <w:b/>
          <w:bCs/>
          <w:szCs w:val="21"/>
        </w:rPr>
        <w:t xml:space="preserve">扬州大学附属医院                </w:t>
      </w:r>
      <w:r>
        <w:rPr>
          <w:rFonts w:hint="eastAsia" w:ascii="宋体" w:hAnsi="宋体" w:cs="宋体"/>
          <w:bCs/>
          <w:szCs w:val="21"/>
        </w:rPr>
        <w:t>承包人：</w:t>
      </w:r>
      <w:r>
        <w:rPr>
          <w:rFonts w:hint="eastAsia" w:ascii="宋体" w:hAnsi="宋体"/>
          <w:b/>
          <w:szCs w:val="21"/>
        </w:rPr>
        <w:t xml:space="preserve"> </w:t>
      </w:r>
    </w:p>
    <w:p w14:paraId="67823013">
      <w:pPr>
        <w:tabs>
          <w:tab w:val="left" w:pos="-235"/>
        </w:tabs>
        <w:spacing w:line="360" w:lineRule="auto"/>
        <w:ind w:firstLine="420" w:firstLineChars="200"/>
        <w:rPr>
          <w:rFonts w:ascii="宋体" w:hAnsi="宋体" w:cs="宋体"/>
          <w:bCs/>
          <w:szCs w:val="21"/>
        </w:rPr>
      </w:pPr>
      <w:r>
        <w:rPr>
          <w:rFonts w:hint="eastAsia" w:ascii="宋体" w:hAnsi="宋体" w:cs="宋体"/>
          <w:bCs/>
          <w:szCs w:val="21"/>
        </w:rPr>
        <w:t xml:space="preserve">            （盖章）                                （盖章）</w:t>
      </w:r>
    </w:p>
    <w:p w14:paraId="185EBFD7">
      <w:pPr>
        <w:tabs>
          <w:tab w:val="left" w:pos="-235"/>
        </w:tabs>
        <w:spacing w:line="360" w:lineRule="auto"/>
        <w:ind w:firstLine="420" w:firstLineChars="200"/>
        <w:rPr>
          <w:rFonts w:ascii="宋体" w:hAnsi="宋体" w:cs="宋体"/>
          <w:bCs/>
          <w:szCs w:val="21"/>
        </w:rPr>
      </w:pPr>
      <w:r>
        <w:rPr>
          <w:rFonts w:hint="eastAsia" w:ascii="宋体" w:hAnsi="宋体" w:cs="宋体"/>
          <w:bCs/>
          <w:szCs w:val="21"/>
        </w:rPr>
        <w:t>法定代表人：                            法定代表人：</w:t>
      </w:r>
    </w:p>
    <w:p w14:paraId="4C8DFD8E">
      <w:pPr>
        <w:tabs>
          <w:tab w:val="left" w:pos="-235"/>
        </w:tabs>
        <w:spacing w:line="360" w:lineRule="auto"/>
        <w:ind w:firstLine="420" w:firstLineChars="200"/>
        <w:rPr>
          <w:rFonts w:ascii="宋体" w:hAnsi="宋体" w:cs="宋体"/>
          <w:bCs/>
          <w:szCs w:val="21"/>
        </w:rPr>
      </w:pPr>
      <w:r>
        <w:rPr>
          <w:rFonts w:hint="eastAsia" w:ascii="宋体" w:hAnsi="宋体" w:cs="宋体"/>
          <w:bCs/>
          <w:szCs w:val="21"/>
        </w:rPr>
        <w:t>（或授权签约人）：                      （或授权签约人）：</w:t>
      </w:r>
    </w:p>
    <w:p w14:paraId="2D42A5B4">
      <w:pPr>
        <w:tabs>
          <w:tab w:val="left" w:pos="-235"/>
        </w:tabs>
        <w:spacing w:line="360" w:lineRule="auto"/>
        <w:ind w:firstLine="420" w:firstLineChars="200"/>
        <w:rPr>
          <w:rFonts w:ascii="宋体" w:hAnsi="宋体" w:cs="宋体"/>
          <w:bCs/>
          <w:szCs w:val="21"/>
        </w:rPr>
      </w:pPr>
      <w:r>
        <w:rPr>
          <w:rFonts w:hint="eastAsia" w:ascii="宋体" w:hAnsi="宋体" w:cs="宋体"/>
          <w:bCs/>
          <w:szCs w:val="21"/>
        </w:rPr>
        <w:t>电话：                                  电话：</w:t>
      </w:r>
    </w:p>
    <w:p w14:paraId="4E17BAF2">
      <w:pPr>
        <w:tabs>
          <w:tab w:val="left" w:pos="-235"/>
        </w:tabs>
        <w:spacing w:line="360" w:lineRule="auto"/>
        <w:ind w:firstLine="420" w:firstLineChars="200"/>
        <w:rPr>
          <w:rFonts w:ascii="宋体" w:hAnsi="宋体" w:cs="宋体"/>
          <w:bCs/>
          <w:szCs w:val="21"/>
        </w:rPr>
      </w:pPr>
      <w:r>
        <w:rPr>
          <w:rFonts w:hint="eastAsia" w:ascii="宋体" w:hAnsi="宋体" w:cs="宋体"/>
          <w:bCs/>
          <w:szCs w:val="21"/>
        </w:rPr>
        <w:t>传真：                                  传真：</w:t>
      </w:r>
    </w:p>
    <w:p w14:paraId="6C1F34EF">
      <w:pPr>
        <w:tabs>
          <w:tab w:val="left" w:pos="-235"/>
        </w:tabs>
        <w:spacing w:line="360" w:lineRule="auto"/>
        <w:ind w:firstLine="420" w:firstLineChars="200"/>
        <w:rPr>
          <w:rFonts w:ascii="宋体" w:hAnsi="宋体" w:cs="宋体"/>
          <w:bCs/>
          <w:szCs w:val="21"/>
        </w:rPr>
      </w:pPr>
      <w:r>
        <w:rPr>
          <w:rFonts w:hint="eastAsia" w:ascii="宋体" w:hAnsi="宋体" w:cs="宋体"/>
          <w:bCs/>
          <w:szCs w:val="21"/>
        </w:rPr>
        <w:t>地址：                                  地址：</w:t>
      </w:r>
    </w:p>
    <w:p w14:paraId="5E289F82">
      <w:pPr>
        <w:tabs>
          <w:tab w:val="left" w:pos="-235"/>
        </w:tabs>
        <w:spacing w:line="360" w:lineRule="auto"/>
        <w:ind w:firstLine="420" w:firstLineChars="200"/>
        <w:rPr>
          <w:rFonts w:ascii="宋体" w:hAnsi="宋体" w:cs="宋体"/>
          <w:bCs/>
          <w:szCs w:val="21"/>
        </w:rPr>
      </w:pPr>
      <w:r>
        <w:rPr>
          <w:rFonts w:hint="eastAsia" w:ascii="宋体" w:hAnsi="宋体" w:cs="宋体"/>
          <w:bCs/>
          <w:szCs w:val="21"/>
        </w:rPr>
        <w:t>开户银行：                              开户银行：</w:t>
      </w:r>
    </w:p>
    <w:p w14:paraId="0559590D">
      <w:pPr>
        <w:tabs>
          <w:tab w:val="left" w:pos="-235"/>
        </w:tabs>
        <w:spacing w:line="360" w:lineRule="auto"/>
        <w:ind w:firstLine="420" w:firstLineChars="200"/>
        <w:rPr>
          <w:rFonts w:ascii="宋体" w:hAnsi="宋体" w:cs="宋体"/>
          <w:bCs/>
          <w:szCs w:val="21"/>
        </w:rPr>
      </w:pPr>
      <w:r>
        <w:rPr>
          <w:rFonts w:hint="eastAsia" w:ascii="宋体" w:hAnsi="宋体" w:cs="宋体"/>
          <w:bCs/>
          <w:szCs w:val="21"/>
        </w:rPr>
        <w:t>账号：                                  账号：</w:t>
      </w:r>
    </w:p>
    <w:p w14:paraId="4FB11324">
      <w:pPr>
        <w:tabs>
          <w:tab w:val="left" w:pos="0"/>
          <w:tab w:val="left" w:pos="1134"/>
        </w:tabs>
        <w:adjustRightInd w:val="0"/>
        <w:snapToGrid w:val="0"/>
        <w:spacing w:line="360" w:lineRule="auto"/>
        <w:ind w:firstLine="422" w:firstLineChars="200"/>
        <w:jc w:val="center"/>
        <w:outlineLvl w:val="0"/>
        <w:rPr>
          <w:rFonts w:ascii="宋体" w:hAnsi="宋体" w:cs="仿宋"/>
          <w:b/>
          <w:snapToGrid w:val="0"/>
          <w:sz w:val="36"/>
          <w:szCs w:val="36"/>
        </w:rPr>
      </w:pPr>
      <w:r>
        <w:rPr>
          <w:rFonts w:ascii="宋体" w:hAnsi="宋体" w:cs="仿宋"/>
          <w:b/>
          <w:snapToGrid w:val="0"/>
          <w:szCs w:val="21"/>
        </w:rPr>
        <w:br w:type="page"/>
      </w:r>
      <w:r>
        <w:rPr>
          <w:rFonts w:hint="eastAsia" w:ascii="宋体" w:hAnsi="宋体" w:cs="仿宋"/>
          <w:b/>
          <w:snapToGrid w:val="0"/>
          <w:sz w:val="36"/>
          <w:szCs w:val="36"/>
        </w:rPr>
        <w:t>第二部分  通用条款</w:t>
      </w:r>
    </w:p>
    <w:p w14:paraId="397C259C">
      <w:pPr>
        <w:pStyle w:val="40"/>
        <w:snapToGrid w:val="0"/>
        <w:spacing w:before="0" w:after="0" w:line="500" w:lineRule="exact"/>
        <w:ind w:left="0" w:right="0" w:firstLine="562"/>
        <w:jc w:val="center"/>
        <w:rPr>
          <w:rFonts w:ascii="宋体"/>
          <w:b/>
          <w:sz w:val="28"/>
          <w:szCs w:val="28"/>
        </w:rPr>
      </w:pPr>
      <w:r>
        <w:rPr>
          <w:rFonts w:hint="eastAsia" w:ascii="宋体" w:hAnsi="宋体"/>
          <w:b/>
          <w:sz w:val="28"/>
          <w:szCs w:val="28"/>
        </w:rPr>
        <w:t>【按照建设工程施工合同（GF-2017-0201）】</w:t>
      </w:r>
    </w:p>
    <w:p w14:paraId="23368943">
      <w:pPr>
        <w:pStyle w:val="40"/>
        <w:snapToGrid w:val="0"/>
        <w:spacing w:before="0" w:after="0" w:line="500" w:lineRule="exact"/>
        <w:ind w:left="0" w:right="720" w:firstLine="726"/>
        <w:jc w:val="center"/>
        <w:outlineLvl w:val="0"/>
        <w:rPr>
          <w:rFonts w:ascii="宋体" w:hAnsi="宋体"/>
          <w:b/>
          <w:snapToGrid w:val="0"/>
          <w:sz w:val="36"/>
          <w:szCs w:val="36"/>
        </w:rPr>
      </w:pPr>
      <w:r>
        <w:rPr>
          <w:rFonts w:hint="eastAsia" w:ascii="宋体" w:hAnsi="宋体"/>
          <w:b/>
          <w:snapToGrid w:val="0"/>
          <w:sz w:val="36"/>
          <w:szCs w:val="36"/>
        </w:rPr>
        <w:br w:type="page"/>
      </w:r>
      <w:r>
        <w:rPr>
          <w:rFonts w:hint="eastAsia" w:ascii="宋体" w:hAnsi="宋体"/>
          <w:b/>
          <w:snapToGrid w:val="0"/>
          <w:sz w:val="36"/>
          <w:szCs w:val="36"/>
        </w:rPr>
        <w:t>第三部分专用条款</w:t>
      </w:r>
    </w:p>
    <w:p w14:paraId="5754CC08">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一、词语定义及合同文件</w:t>
      </w:r>
    </w:p>
    <w:p w14:paraId="1F11F6C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1.合同文件及解释顺序</w:t>
      </w:r>
    </w:p>
    <w:p w14:paraId="1977C64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合同履行中，发包人承包人有关工程的洽商、变更等书面协议或文件视为本合同的组成部分。合同文件组成及解释顺序：(1).本合同协议书；(2).中标通知书； (3). 投标书及其附件； (4). 本合同专用条款； (5). 本合同通用条款； (6). 标准规范及有关技术文件； (7). 图纸； (8) .招标文件及答疑文书、工程量清单； (9). 工程报价单及预算书；（10）合同履行中，发包人承包人有关工程的洽商、变更等书面协议或文件视为本合同的组成部分；</w:t>
      </w:r>
    </w:p>
    <w:p w14:paraId="5C63359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2.语言文字和适用法律、标准及规范</w:t>
      </w:r>
    </w:p>
    <w:p w14:paraId="7CB5C9D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2.1本合同除使用汉语外，还使用</w:t>
      </w:r>
      <w:r>
        <w:rPr>
          <w:rFonts w:hint="eastAsia" w:hAnsi="宋体" w:cs="仿宋"/>
          <w:b w:val="0"/>
          <w:bCs/>
          <w:snapToGrid w:val="0"/>
          <w:sz w:val="21"/>
          <w:szCs w:val="21"/>
          <w:u w:val="single"/>
        </w:rPr>
        <w:t>∕</w:t>
      </w:r>
      <w:r>
        <w:rPr>
          <w:rFonts w:hint="eastAsia" w:hAnsi="宋体" w:cs="仿宋"/>
          <w:b w:val="0"/>
          <w:bCs/>
          <w:snapToGrid w:val="0"/>
          <w:sz w:val="21"/>
          <w:szCs w:val="21"/>
        </w:rPr>
        <w:t>语言文字。</w:t>
      </w:r>
    </w:p>
    <w:p w14:paraId="1F27FB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2.2适用法律和法规</w:t>
      </w:r>
    </w:p>
    <w:p w14:paraId="22EA104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需要明示的法律、行政法规：</w:t>
      </w:r>
      <w:r>
        <w:rPr>
          <w:rFonts w:hint="eastAsia" w:hAnsi="宋体" w:cs="仿宋"/>
          <w:b w:val="0"/>
          <w:bCs/>
          <w:snapToGrid w:val="0"/>
          <w:sz w:val="21"/>
          <w:szCs w:val="21"/>
          <w:u w:val="single"/>
        </w:rPr>
        <w:t>《中华人民共和国民法典》、《中华人民共和国建筑法》、《中华人民共和国招标投标法》、《建设工程质量管理条例》、《建设工程价款结算暂行办法》等以及江苏省、扬州市现行相关法律法规</w:t>
      </w:r>
      <w:r>
        <w:rPr>
          <w:rFonts w:hint="eastAsia" w:hAnsi="宋体" w:cs="仿宋"/>
          <w:b w:val="0"/>
          <w:bCs/>
          <w:snapToGrid w:val="0"/>
          <w:sz w:val="21"/>
          <w:szCs w:val="21"/>
        </w:rPr>
        <w:t>。</w:t>
      </w:r>
    </w:p>
    <w:p w14:paraId="421241A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2.3适用标准、规范</w:t>
      </w:r>
    </w:p>
    <w:p w14:paraId="5A42F8A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适用标准、规范的名称：</w:t>
      </w:r>
      <w:r>
        <w:rPr>
          <w:rFonts w:hint="eastAsia" w:hAnsi="宋体" w:cs="仿宋"/>
          <w:b w:val="0"/>
          <w:bCs/>
          <w:snapToGrid w:val="0"/>
          <w:sz w:val="21"/>
          <w:szCs w:val="21"/>
          <w:u w:val="single"/>
        </w:rPr>
        <w:t>（1）与工程相关的现行图集、施工说明；（2）现行国家施工规范及验收标准</w:t>
      </w:r>
      <w:r>
        <w:rPr>
          <w:rFonts w:hint="eastAsia" w:hAnsi="宋体" w:cs="仿宋"/>
          <w:b w:val="0"/>
          <w:bCs/>
          <w:snapToGrid w:val="0"/>
          <w:sz w:val="21"/>
          <w:szCs w:val="21"/>
        </w:rPr>
        <w:t>。</w:t>
      </w:r>
    </w:p>
    <w:p w14:paraId="4327E4F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发包人提供标准、规范的时间：</w:t>
      </w:r>
      <w:r>
        <w:rPr>
          <w:rFonts w:hint="eastAsia" w:hAnsi="宋体" w:cs="仿宋"/>
          <w:b w:val="0"/>
          <w:bCs/>
          <w:snapToGrid w:val="0"/>
          <w:sz w:val="21"/>
          <w:szCs w:val="21"/>
          <w:u w:val="single"/>
        </w:rPr>
        <w:t>发包人不提供，凡涉及到的相关技术标准、规范均由承包人自备</w:t>
      </w:r>
      <w:r>
        <w:rPr>
          <w:rFonts w:hint="eastAsia" w:hAnsi="宋体" w:cs="仿宋"/>
          <w:b w:val="0"/>
          <w:bCs/>
          <w:snapToGrid w:val="0"/>
          <w:sz w:val="21"/>
          <w:szCs w:val="21"/>
        </w:rPr>
        <w:t>。</w:t>
      </w:r>
    </w:p>
    <w:p w14:paraId="572AC7F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3.图纸</w:t>
      </w:r>
    </w:p>
    <w:p w14:paraId="2C618B6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发包人向承包人提供图纸日期和套数：；</w:t>
      </w:r>
    </w:p>
    <w:p w14:paraId="4F41239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发包人对图纸的保密要求: 施工图纸要求承包人保密，保密费用承包人自行承担。</w:t>
      </w:r>
    </w:p>
    <w:p w14:paraId="26A1C520">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二、双方一般权利和义务</w:t>
      </w:r>
    </w:p>
    <w:p w14:paraId="7EF935A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4.工程师</w:t>
      </w:r>
    </w:p>
    <w:p w14:paraId="609ED2E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4.1监理单位委派的工程师</w:t>
      </w:r>
    </w:p>
    <w:p w14:paraId="0AF217C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w:t>
      </w:r>
      <w:r>
        <w:rPr>
          <w:rFonts w:hAnsi="宋体" w:cs="仿宋"/>
          <w:b w:val="0"/>
          <w:bCs/>
          <w:snapToGrid w:val="0"/>
          <w:sz w:val="21"/>
          <w:szCs w:val="21"/>
        </w:rPr>
        <w:t xml:space="preserve"> </w:t>
      </w:r>
      <w:r>
        <w:rPr>
          <w:rFonts w:hint="eastAsia" w:hAnsi="宋体" w:cs="仿宋"/>
          <w:b w:val="0"/>
          <w:bCs/>
          <w:snapToGrid w:val="0"/>
          <w:sz w:val="21"/>
          <w:szCs w:val="21"/>
        </w:rPr>
        <w:t xml:space="preserve">  职务:总监理工程师</w:t>
      </w:r>
    </w:p>
    <w:p w14:paraId="6D030D55">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4F9C577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4.2发包人派驻的工程师</w:t>
      </w:r>
    </w:p>
    <w:p w14:paraId="74FB0A6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职务:现场代表         </w:t>
      </w:r>
    </w:p>
    <w:p w14:paraId="200ED8B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职权:（1）监督检查承包人、监理执行合同情况，（</w:t>
      </w:r>
      <w:r>
        <w:rPr>
          <w:rFonts w:hAnsi="宋体" w:cs="仿宋"/>
          <w:b w:val="0"/>
          <w:bCs/>
          <w:snapToGrid w:val="0"/>
          <w:sz w:val="21"/>
          <w:szCs w:val="21"/>
        </w:rPr>
        <w:t>2）协同</w:t>
      </w:r>
      <w:r>
        <w:rPr>
          <w:rFonts w:hint="eastAsia" w:hAnsi="宋体" w:cs="仿宋"/>
          <w:b w:val="0"/>
          <w:bCs/>
          <w:snapToGrid w:val="0"/>
          <w:sz w:val="21"/>
          <w:szCs w:val="21"/>
        </w:rPr>
        <w:t>监理做好工程质量控制、进度控制、安全生产等工作；（3）发出经发包人同意的工程指令；（4）对支付工程款进行审核等。</w:t>
      </w:r>
    </w:p>
    <w:p w14:paraId="0EDC16C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5.项目经理</w:t>
      </w:r>
    </w:p>
    <w:p w14:paraId="48117AB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姓名:</w:t>
      </w:r>
      <w:r>
        <w:rPr>
          <w:rFonts w:hint="eastAsia"/>
          <w:b w:val="0"/>
          <w:bCs/>
          <w:sz w:val="21"/>
          <w:szCs w:val="21"/>
        </w:rPr>
        <w:t xml:space="preserve">           </w:t>
      </w:r>
      <w:r>
        <w:rPr>
          <w:b w:val="0"/>
          <w:bCs/>
          <w:sz w:val="21"/>
          <w:szCs w:val="21"/>
        </w:rPr>
        <w:t xml:space="preserve">    </w:t>
      </w:r>
      <w:r>
        <w:rPr>
          <w:rFonts w:hint="eastAsia"/>
          <w:b w:val="0"/>
          <w:bCs/>
          <w:sz w:val="21"/>
          <w:szCs w:val="21"/>
        </w:rPr>
        <w:t xml:space="preserve">    </w:t>
      </w:r>
      <w:r>
        <w:rPr>
          <w:rFonts w:hint="eastAsia" w:hAnsi="宋体" w:cs="仿宋"/>
          <w:b w:val="0"/>
          <w:bCs/>
          <w:snapToGrid w:val="0"/>
          <w:sz w:val="21"/>
          <w:szCs w:val="21"/>
        </w:rPr>
        <w:t>职务:项目经理</w:t>
      </w:r>
    </w:p>
    <w:p w14:paraId="2909303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职权：按照国家相关规定和合同约定，作为承包方施工现场负责人，全面负责本工地施工现场进度、质量、安全工作，负责本合同的全面履行。</w:t>
      </w:r>
    </w:p>
    <w:p w14:paraId="120B8E4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6.发包人工作</w:t>
      </w:r>
    </w:p>
    <w:p w14:paraId="261E82C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6.1发包人应按约定的时间和要求及完成以下工作:</w:t>
      </w:r>
    </w:p>
    <w:p w14:paraId="1EEA978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4AF8F14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（2）将施工所需的水、电、电讯线路接至施工场地的时间、地点和供应要求：水电接口已提供至施工现场，其位置承包人在踏勘现场时确认，水电在场内接线一切费用包含在总报价中，发包人不再另外支付。</w:t>
      </w:r>
    </w:p>
    <w:p w14:paraId="0747CB2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（3）施工场地与公共道路的通道开通时间和要求：主要公共道路开通，施工区道路由承包人承担。</w:t>
      </w:r>
    </w:p>
    <w:p w14:paraId="13B76C5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（4）工程地质和地下管线资料的提供时间：</w:t>
      </w:r>
      <w:r>
        <w:rPr>
          <w:rFonts w:hint="eastAsia" w:hAnsi="宋体" w:cs="仿宋"/>
          <w:b w:val="0"/>
          <w:bCs/>
          <w:snapToGrid w:val="0"/>
          <w:sz w:val="21"/>
          <w:szCs w:val="21"/>
          <w:u w:val="single"/>
        </w:rPr>
        <w:t>开工前5天提供</w:t>
      </w:r>
      <w:r>
        <w:rPr>
          <w:rFonts w:hint="eastAsia" w:hAnsi="宋体" w:cs="仿宋"/>
          <w:b w:val="0"/>
          <w:bCs/>
          <w:snapToGrid w:val="0"/>
          <w:sz w:val="21"/>
          <w:szCs w:val="21"/>
        </w:rPr>
        <w:t>。</w:t>
      </w:r>
    </w:p>
    <w:p w14:paraId="39FA05A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（5）由发包人办理的施工所需证件、批件的名称和完成时间：</w:t>
      </w:r>
      <w:r>
        <w:rPr>
          <w:rFonts w:hint="eastAsia" w:hAnsi="宋体" w:cs="仿宋"/>
          <w:b w:val="0"/>
          <w:bCs/>
          <w:snapToGrid w:val="0"/>
          <w:sz w:val="21"/>
          <w:szCs w:val="21"/>
          <w:u w:val="single"/>
        </w:rPr>
        <w:t>开工前由承包人协助发包人办理，不能影响开工</w:t>
      </w:r>
      <w:r>
        <w:rPr>
          <w:rFonts w:hint="eastAsia" w:hAnsi="宋体" w:cs="仿宋"/>
          <w:b w:val="0"/>
          <w:bCs/>
          <w:snapToGrid w:val="0"/>
          <w:sz w:val="21"/>
          <w:szCs w:val="21"/>
        </w:rPr>
        <w:t>。</w:t>
      </w:r>
    </w:p>
    <w:p w14:paraId="461FB82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（6）水准点与坐标控制点交验要求：</w:t>
      </w:r>
      <w:r>
        <w:rPr>
          <w:rFonts w:hint="eastAsia" w:hAnsi="宋体" w:cs="仿宋"/>
          <w:b w:val="0"/>
          <w:bCs/>
          <w:snapToGrid w:val="0"/>
          <w:sz w:val="21"/>
          <w:szCs w:val="21"/>
          <w:u w:val="single"/>
        </w:rPr>
        <w:t>开工前现场交验，承包人负责做好保护工作。施工过程中若水准基点出现遗失或损坏，承包人应立即汇报工程师，重新布点的费用由承包人承担</w:t>
      </w:r>
      <w:r>
        <w:rPr>
          <w:rFonts w:hint="eastAsia" w:hAnsi="宋体" w:cs="仿宋"/>
          <w:b w:val="0"/>
          <w:bCs/>
          <w:snapToGrid w:val="0"/>
          <w:sz w:val="21"/>
          <w:szCs w:val="21"/>
        </w:rPr>
        <w:t>。</w:t>
      </w:r>
    </w:p>
    <w:p w14:paraId="27E09C5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（7）图纸会审和设计交底时间：</w:t>
      </w:r>
      <w:r>
        <w:rPr>
          <w:rFonts w:hint="eastAsia" w:hAnsi="宋体" w:cs="仿宋"/>
          <w:b w:val="0"/>
          <w:bCs/>
          <w:snapToGrid w:val="0"/>
          <w:sz w:val="21"/>
          <w:szCs w:val="21"/>
          <w:u w:val="single"/>
        </w:rPr>
        <w:t>双方约定时间</w:t>
      </w:r>
      <w:r>
        <w:rPr>
          <w:rFonts w:hint="eastAsia" w:hAnsi="宋体" w:cs="仿宋"/>
          <w:b w:val="0"/>
          <w:bCs/>
          <w:snapToGrid w:val="0"/>
          <w:sz w:val="21"/>
          <w:szCs w:val="21"/>
        </w:rPr>
        <w:t>。</w:t>
      </w:r>
    </w:p>
    <w:p w14:paraId="6D714ED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（8）协调处理施工场地周围地下管线和邻近建筑、构筑物（含文物保护建筑）、古树名木的保护工作：</w:t>
      </w:r>
      <w:r>
        <w:rPr>
          <w:rFonts w:hint="eastAsia" w:hAnsi="宋体" w:cs="仿宋"/>
          <w:b w:val="0"/>
          <w:bCs/>
          <w:snapToGrid w:val="0"/>
          <w:sz w:val="21"/>
          <w:szCs w:val="21"/>
          <w:u w:val="single"/>
        </w:rPr>
        <w:t>执行通用条款</w:t>
      </w:r>
      <w:r>
        <w:rPr>
          <w:rFonts w:hint="eastAsia" w:hAnsi="宋体" w:cs="仿宋"/>
          <w:b w:val="0"/>
          <w:bCs/>
          <w:snapToGrid w:val="0"/>
          <w:sz w:val="21"/>
          <w:szCs w:val="21"/>
        </w:rPr>
        <w:t>。</w:t>
      </w:r>
    </w:p>
    <w:p w14:paraId="77C6D0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（9）双方约定发包人做的其他工作：</w:t>
      </w:r>
      <w:r>
        <w:rPr>
          <w:rFonts w:hint="eastAsia" w:hAnsi="宋体" w:cs="仿宋"/>
          <w:b w:val="0"/>
          <w:bCs/>
          <w:snapToGrid w:val="0"/>
          <w:sz w:val="21"/>
          <w:szCs w:val="21"/>
          <w:u w:val="single"/>
        </w:rPr>
        <w:t xml:space="preserve">  /。 </w:t>
      </w:r>
    </w:p>
    <w:p w14:paraId="3E9A035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（10）发包人委托承包人办理的工作：按发包人的布置要求，承包人有配合与该工程建设有关工作的义务，包括协助办理有关施工所需证件、批件等手续。</w:t>
      </w:r>
    </w:p>
    <w:p w14:paraId="03BCC0F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7.承包人工作</w:t>
      </w:r>
    </w:p>
    <w:p w14:paraId="7FBD1E6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7.1承包人应按约定时间和要求,完成以下工作:</w:t>
      </w:r>
    </w:p>
    <w:p w14:paraId="1D3B774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（1）需由设计资质等级和业务范围允许的承包人完成的设计文件提交时间:</w:t>
      </w:r>
      <w:r>
        <w:rPr>
          <w:rFonts w:hint="eastAsia" w:hAnsi="宋体" w:cs="仿宋"/>
          <w:b w:val="0"/>
          <w:bCs/>
          <w:snapToGrid w:val="0"/>
          <w:sz w:val="21"/>
          <w:szCs w:val="21"/>
          <w:u w:val="single"/>
        </w:rPr>
        <w:t>∕</w:t>
      </w:r>
      <w:r>
        <w:rPr>
          <w:rFonts w:hint="eastAsia" w:hAnsi="宋体" w:cs="仿宋"/>
          <w:b w:val="0"/>
          <w:bCs/>
          <w:snapToGrid w:val="0"/>
          <w:sz w:val="21"/>
          <w:szCs w:val="21"/>
        </w:rPr>
        <w:t>；</w:t>
      </w:r>
    </w:p>
    <w:p w14:paraId="559C00B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（2）应提供计划、报表的名称及完成时间：</w:t>
      </w:r>
      <w:r>
        <w:rPr>
          <w:rFonts w:hint="eastAsia" w:hAnsi="宋体" w:cs="仿宋"/>
          <w:b w:val="0"/>
          <w:bCs/>
          <w:snapToGrid w:val="0"/>
          <w:sz w:val="21"/>
          <w:szCs w:val="21"/>
          <w:u w:val="single"/>
        </w:rPr>
        <w:t>开工前5天内提供切实可行的进度表以及相对应的人机配置情况、材料供应情况</w:t>
      </w:r>
      <w:r>
        <w:rPr>
          <w:rFonts w:hint="eastAsia" w:hAnsi="宋体" w:cs="仿宋"/>
          <w:b w:val="0"/>
          <w:bCs/>
          <w:snapToGrid w:val="0"/>
          <w:sz w:val="21"/>
          <w:szCs w:val="21"/>
        </w:rPr>
        <w:t>；</w:t>
      </w:r>
    </w:p>
    <w:p w14:paraId="31F67665">
      <w:pPr>
        <w:pStyle w:val="10"/>
        <w:tabs>
          <w:tab w:val="left" w:pos="284"/>
          <w:tab w:val="left" w:pos="993"/>
          <w:tab w:val="left" w:pos="1134"/>
        </w:tabs>
        <w:adjustRightInd w:val="0"/>
        <w:snapToGrid w:val="0"/>
        <w:spacing w:line="360" w:lineRule="auto"/>
        <w:ind w:firstLine="420" w:firstLineChars="200"/>
        <w:contextualSpacing/>
        <w:jc w:val="left"/>
        <w:rPr>
          <w:rFonts w:hAnsi="宋体"/>
          <w:b w:val="0"/>
          <w:bCs/>
          <w:snapToGrid w:val="0"/>
          <w:sz w:val="21"/>
          <w:szCs w:val="21"/>
        </w:rPr>
      </w:pPr>
      <w:r>
        <w:rPr>
          <w:rFonts w:hint="eastAsia" w:hAnsi="宋体" w:cs="仿宋"/>
          <w:b w:val="0"/>
          <w:bCs/>
          <w:snapToGrid w:val="0"/>
          <w:sz w:val="21"/>
          <w:szCs w:val="21"/>
        </w:rPr>
        <w:t>（3）承担施工安全保卫工作及非夜间施工照明的责任和要求：</w:t>
      </w:r>
    </w:p>
    <w:p w14:paraId="11BE3B7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hAnsi="宋体" w:cs="仿宋"/>
          <w:b w:val="0"/>
          <w:bCs/>
          <w:snapToGrid w:val="0"/>
          <w:sz w:val="21"/>
          <w:szCs w:val="21"/>
        </w:rPr>
        <w:t>；</w:t>
      </w:r>
    </w:p>
    <w:p w14:paraId="45ED1B5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（4）向发包人提供的办公和生活房屋及设施和要求：</w:t>
      </w:r>
      <w:r>
        <w:rPr>
          <w:rFonts w:hint="eastAsia" w:hAnsi="宋体" w:cs="仿宋"/>
          <w:b w:val="0"/>
          <w:bCs/>
          <w:snapToGrid w:val="0"/>
          <w:sz w:val="21"/>
          <w:szCs w:val="21"/>
          <w:u w:val="single"/>
        </w:rPr>
        <w:t>∕</w:t>
      </w:r>
      <w:r>
        <w:rPr>
          <w:rFonts w:hint="eastAsia" w:hAnsi="宋体" w:cs="仿宋"/>
          <w:b w:val="0"/>
          <w:bCs/>
          <w:snapToGrid w:val="0"/>
          <w:sz w:val="21"/>
          <w:szCs w:val="21"/>
        </w:rPr>
        <w:t>；</w:t>
      </w:r>
    </w:p>
    <w:p w14:paraId="43BC0F8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（5）需承包人办理的有关施工场地交通、环卫和施工噪音管理等手续：</w:t>
      </w:r>
    </w:p>
    <w:p w14:paraId="2E8446C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承包人自行办理有关施工场地交通、城管、环卫和施工噪音管理等手续，不得影响施工工期，并严格按照扬州市城市管理的有关规定以及安全文明施工要求进行施工</w:t>
      </w:r>
      <w:r>
        <w:rPr>
          <w:rFonts w:hint="eastAsia" w:hAnsi="宋体" w:cs="仿宋"/>
          <w:b w:val="0"/>
          <w:bCs/>
          <w:snapToGrid w:val="0"/>
          <w:sz w:val="21"/>
          <w:szCs w:val="21"/>
        </w:rPr>
        <w:t>；</w:t>
      </w:r>
    </w:p>
    <w:p w14:paraId="2421746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（6）已完成工程成品保护的特殊要求及费用承担：</w:t>
      </w:r>
    </w:p>
    <w:p w14:paraId="6150CEC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工程交付使用前承包人自己发生的损坏或因承包人保护实施不当而产生的第三方对成品（半成品）的损坏均由承包人自己负责</w:t>
      </w:r>
      <w:r>
        <w:rPr>
          <w:rFonts w:hint="eastAsia" w:hAnsi="宋体" w:cs="仿宋"/>
          <w:b w:val="0"/>
          <w:bCs/>
          <w:snapToGrid w:val="0"/>
          <w:sz w:val="21"/>
          <w:szCs w:val="21"/>
        </w:rPr>
        <w:t>；</w:t>
      </w:r>
    </w:p>
    <w:p w14:paraId="5E7DED0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（7）施工场地周围地下管线和邻近建筑物、构筑物（含文物保护建筑）、古树名木的保护要求及费用承担：</w:t>
      </w:r>
      <w:r>
        <w:rPr>
          <w:rFonts w:hint="eastAsia" w:hAnsi="宋体" w:cs="仿宋"/>
          <w:b w:val="0"/>
          <w:bCs/>
          <w:snapToGrid w:val="0"/>
          <w:sz w:val="21"/>
          <w:szCs w:val="21"/>
          <w:u w:val="single"/>
        </w:rPr>
        <w:t>承包人自行负责承担施工场地周围地下管线和邻近建筑物、构筑物（含文物保护建筑）、古树名木的保护要求及费用</w:t>
      </w:r>
      <w:r>
        <w:rPr>
          <w:rFonts w:hint="eastAsia" w:hAnsi="宋体" w:cs="仿宋"/>
          <w:b w:val="0"/>
          <w:bCs/>
          <w:snapToGrid w:val="0"/>
          <w:sz w:val="21"/>
          <w:szCs w:val="21"/>
        </w:rPr>
        <w:t>；</w:t>
      </w:r>
    </w:p>
    <w:p w14:paraId="76FE18A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（8）施工场地清洁卫生的要求：</w:t>
      </w:r>
      <w:r>
        <w:rPr>
          <w:rFonts w:hint="eastAsia" w:hAnsi="宋体" w:cs="仿宋"/>
          <w:b w:val="0"/>
          <w:bCs/>
          <w:snapToGrid w:val="0"/>
          <w:sz w:val="21"/>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hAnsi="宋体" w:cs="仿宋"/>
          <w:b w:val="0"/>
          <w:bCs/>
          <w:snapToGrid w:val="0"/>
          <w:sz w:val="21"/>
          <w:szCs w:val="21"/>
        </w:rPr>
        <w:t>；</w:t>
      </w:r>
    </w:p>
    <w:p w14:paraId="5A4EC68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int="eastAsia" w:hAnsi="宋体" w:cs="仿宋"/>
          <w:b w:val="0"/>
          <w:bCs/>
          <w:snapToGrid w:val="0"/>
          <w:sz w:val="21"/>
          <w:szCs w:val="21"/>
          <w:u w:val="single"/>
        </w:rPr>
        <w:t>施工过程中承包人应服从现场统一管理，做到安全、文明、有序施工，一切安全责任自行负责</w:t>
      </w:r>
      <w:r>
        <w:rPr>
          <w:rFonts w:hint="eastAsia" w:hAnsi="宋体" w:cs="仿宋"/>
          <w:b w:val="0"/>
          <w:bCs/>
          <w:snapToGrid w:val="0"/>
          <w:sz w:val="21"/>
          <w:szCs w:val="21"/>
        </w:rPr>
        <w:t>；</w:t>
      </w:r>
    </w:p>
    <w:p w14:paraId="541DBA2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（10）施工过程中，</w:t>
      </w:r>
      <w:r>
        <w:rPr>
          <w:rFonts w:hint="eastAsia" w:hAnsi="宋体" w:cs="仿宋"/>
          <w:b w:val="0"/>
          <w:bCs/>
          <w:snapToGrid w:val="0"/>
          <w:sz w:val="21"/>
          <w:szCs w:val="21"/>
          <w:u w:val="single"/>
        </w:rPr>
        <w:t>承包人应主动与上、下工序相关单位进行协调对接，避免产生矛盾，做到有序科学衔接，配合其他相关单位，费用已在投标报价中考虑发包人不再另行支付</w:t>
      </w:r>
      <w:r>
        <w:rPr>
          <w:rFonts w:hint="eastAsia" w:hAnsi="宋体" w:cs="仿宋"/>
          <w:b w:val="0"/>
          <w:bCs/>
          <w:snapToGrid w:val="0"/>
          <w:sz w:val="21"/>
          <w:szCs w:val="21"/>
        </w:rPr>
        <w:t>；</w:t>
      </w:r>
    </w:p>
    <w:p w14:paraId="1DFBD111">
      <w:pPr>
        <w:pStyle w:val="10"/>
        <w:tabs>
          <w:tab w:val="left" w:pos="0"/>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（11）双方约定承包人应做的其他工作：</w:t>
      </w:r>
    </w:p>
    <w:p w14:paraId="0B726C7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hAnsi="宋体" w:cs="仿宋"/>
          <w:b w:val="0"/>
          <w:bCs/>
          <w:snapToGrid w:val="0"/>
          <w:sz w:val="21"/>
          <w:szCs w:val="21"/>
        </w:rPr>
        <w:t>；</w:t>
      </w:r>
    </w:p>
    <w:p w14:paraId="2052E8ED">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三、施工组织设计和工期</w:t>
      </w:r>
    </w:p>
    <w:p w14:paraId="552BA62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8.进度计划</w:t>
      </w:r>
    </w:p>
    <w:p w14:paraId="487FFD8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8.1承包人提供施工组织设计(施工方案)和进度计划的时间:</w:t>
      </w:r>
    </w:p>
    <w:p w14:paraId="105F85D8">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u w:val="single"/>
        </w:rPr>
        <w:t>开工前5天以书面形式向发包人和监理提交施工组织设计和进度计划，经发包人和监理方审核同意后的施工组织设计作为施工中发包人与监理方进行监督受理的依据</w:t>
      </w:r>
      <w:r>
        <w:rPr>
          <w:rFonts w:hint="eastAsia" w:hAnsi="宋体" w:cs="仿宋"/>
          <w:b w:val="0"/>
          <w:bCs/>
          <w:snapToGrid w:val="0"/>
          <w:sz w:val="21"/>
          <w:szCs w:val="21"/>
        </w:rPr>
        <w:t>；</w:t>
      </w:r>
    </w:p>
    <w:p w14:paraId="22FA3B52">
      <w:pPr>
        <w:pStyle w:val="10"/>
        <w:tabs>
          <w:tab w:val="left" w:pos="284"/>
          <w:tab w:val="left" w:pos="993"/>
          <w:tab w:val="left" w:pos="1134"/>
        </w:tabs>
        <w:adjustRightInd w:val="0"/>
        <w:snapToGrid w:val="0"/>
        <w:spacing w:line="360" w:lineRule="auto"/>
        <w:ind w:firstLine="420" w:firstLineChars="200"/>
        <w:jc w:val="left"/>
        <w:rPr>
          <w:rFonts w:hAnsi="宋体"/>
          <w:b w:val="0"/>
          <w:bCs/>
          <w:snapToGrid w:val="0"/>
          <w:sz w:val="21"/>
          <w:szCs w:val="21"/>
        </w:rPr>
      </w:pPr>
      <w:r>
        <w:rPr>
          <w:rFonts w:hint="eastAsia" w:hAnsi="宋体" w:cs="仿宋"/>
          <w:b w:val="0"/>
          <w:bCs/>
          <w:snapToGrid w:val="0"/>
          <w:sz w:val="21"/>
          <w:szCs w:val="21"/>
        </w:rPr>
        <w:t>工程师确认的时间:</w:t>
      </w:r>
      <w:r>
        <w:rPr>
          <w:rFonts w:hint="eastAsia" w:hAnsi="宋体" w:cs="仿宋"/>
          <w:b w:val="0"/>
          <w:bCs/>
          <w:snapToGrid w:val="0"/>
          <w:sz w:val="21"/>
          <w:szCs w:val="21"/>
          <w:u w:val="single"/>
        </w:rPr>
        <w:t>送达后7日历天内</w:t>
      </w:r>
      <w:r>
        <w:rPr>
          <w:rFonts w:hint="eastAsia" w:hAnsi="宋体" w:cs="仿宋"/>
          <w:b w:val="0"/>
          <w:bCs/>
          <w:snapToGrid w:val="0"/>
          <w:sz w:val="21"/>
          <w:szCs w:val="21"/>
        </w:rPr>
        <w:t>。</w:t>
      </w:r>
    </w:p>
    <w:p w14:paraId="564F8C5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9、工期延误</w:t>
      </w:r>
    </w:p>
    <w:p w14:paraId="2A09B250">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9.1合同工期按承包人中标工期执行，如因承包人原因延误工期的，承包人应承担违约责任，详见第21.2条款。</w:t>
      </w:r>
    </w:p>
    <w:p w14:paraId="4AEB132F">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9.2双方约定工期顺延的其他情况:</w:t>
      </w:r>
    </w:p>
    <w:p w14:paraId="7B2423B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若出现以下情况造成工期延误的发包人不承担费用，只认可工期顺延，顺延时间双方另行协商。</w:t>
      </w:r>
    </w:p>
    <w:p w14:paraId="310C2FE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（1）不可抗力（战争以及地震、水灾、暴风雪等严重自然灾害）；</w:t>
      </w:r>
    </w:p>
    <w:p w14:paraId="157FD8F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（2）因发包人设计变更在结构形式、设计标准作重大调整，增加的工程量使承包人工程进度无法按原计划实施进行的；</w:t>
      </w:r>
    </w:p>
    <w:p w14:paraId="4583D03B">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（3）非因承包人原因停水、停电连续24小时以上的；</w:t>
      </w:r>
    </w:p>
    <w:p w14:paraId="4DC79E6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（4）政府行为：政府强制要求停工（非承包人原因引起，如全市性的安全整顿，要求建设工地停工等）。</w:t>
      </w:r>
    </w:p>
    <w:p w14:paraId="70CC527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9.3承包人不得以任何理由停工，包括由于变更引起价格改变，发生分歧等，如有争议应协商解决，如因停工造成工期延误，承包人承担违约责任。</w:t>
      </w:r>
    </w:p>
    <w:p w14:paraId="4967D7C6">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四、质量与验收</w:t>
      </w:r>
    </w:p>
    <w:p w14:paraId="3881D539">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质量要求：符合合格标准。</w:t>
      </w:r>
    </w:p>
    <w:p w14:paraId="4737ADDC">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5CC3021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10.隐蔽工程和中间验收</w:t>
      </w:r>
    </w:p>
    <w:p w14:paraId="642BC31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10.1双方约定中间验收部位: 按规定及监理认为确有必要进行验收的分部。</w:t>
      </w:r>
    </w:p>
    <w:p w14:paraId="30F3424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10.2验收前承包人首先进行自检，在隐蔽工程验收和中间验收前应提前</w:t>
      </w:r>
      <w:r>
        <w:rPr>
          <w:rFonts w:hAnsi="宋体" w:cs="仿宋"/>
          <w:b w:val="0"/>
          <w:bCs/>
          <w:snapToGrid w:val="0"/>
          <w:sz w:val="21"/>
          <w:szCs w:val="21"/>
        </w:rPr>
        <w:t>24小时通知发包人、</w:t>
      </w:r>
      <w:r>
        <w:rPr>
          <w:rFonts w:hint="eastAsia" w:hAnsi="宋体" w:cs="仿宋"/>
          <w:b w:val="0"/>
          <w:bCs/>
          <w:snapToGrid w:val="0"/>
          <w:sz w:val="21"/>
          <w:szCs w:val="21"/>
        </w:rPr>
        <w:t>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74CEE7E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2D225F9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005D645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10.5验收时间：除质检站、设计院等其他部门参加验收，承包人需提前72小时书面报告以便及时联系和安排外，其余均提前24小时即可。</w:t>
      </w:r>
    </w:p>
    <w:p w14:paraId="3F7F247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11工程试车</w:t>
      </w:r>
    </w:p>
    <w:p w14:paraId="7718AFD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11.1试车费用的承担: 安排相关的技术人员无条件配合联合试车工作。</w:t>
      </w:r>
    </w:p>
    <w:p w14:paraId="0D9F5BA6">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五、安全文明施工要求</w:t>
      </w:r>
    </w:p>
    <w:p w14:paraId="62AA188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（1）承包人对现场作业和现有施工方法的安全承担全部责任，执行通用条款第20条规定，并赔偿因承包人责任给发包人造成的一切损失；</w:t>
      </w:r>
    </w:p>
    <w:p w14:paraId="3FF6E04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（2）承包人应采取控制措施使施工现场达到市环保和政府其它部门对建筑工地的要求，避免伤害或妨碍公众及周围环境。如因妨碍或伤害造成的行政处罚等其它赔偿均由承包人承担；</w:t>
      </w:r>
    </w:p>
    <w:p w14:paraId="02FC7C7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（3）承包人负责现场保卫和管理；</w:t>
      </w:r>
    </w:p>
    <w:p w14:paraId="1A006CB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（4）承包人应遵守工程建设安全生产有关管理规定，严格按安全标准组织施工，随时接受行业、监理方的安全检查和监督，并针对该工程特点</w:t>
      </w:r>
      <w:r>
        <w:rPr>
          <w:rFonts w:hAnsi="宋体" w:cs="仿宋"/>
          <w:b w:val="0"/>
          <w:bCs/>
          <w:snapToGrid w:val="0"/>
          <w:sz w:val="21"/>
          <w:szCs w:val="21"/>
        </w:rPr>
        <w:t>,采取一切必要的安全防护措施，消除事故隐患，承担施工中的全部安全责任及费用（包括承包人和承包人原因造成的第三方）；</w:t>
      </w:r>
    </w:p>
    <w:p w14:paraId="33B47BE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5）施工单位进场后必须签署</w:t>
      </w:r>
      <w:r>
        <w:rPr>
          <w:rFonts w:hint="eastAsia" w:hAnsi="宋体" w:cs="仿宋"/>
          <w:b w:val="0"/>
          <w:bCs/>
          <w:snapToGrid w:val="0"/>
          <w:sz w:val="21"/>
          <w:szCs w:val="21"/>
        </w:rPr>
        <w:t>《建设工程安全责任协议书》，并遵守《工程施工现场管理规定》、《建设工程施工安全管理规定》以及《建设工程文明施工管理规定》，不得影响发包人单位正常工作运行，并达到市级安全文明工地要求；</w:t>
      </w:r>
    </w:p>
    <w:p w14:paraId="17BA473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6）严格遵守施工现场总平面的规划，服从</w:t>
      </w:r>
      <w:r>
        <w:rPr>
          <w:rFonts w:hint="eastAsia" w:hAnsi="宋体" w:cs="仿宋"/>
          <w:b w:val="0"/>
          <w:bCs/>
          <w:snapToGrid w:val="0"/>
          <w:sz w:val="21"/>
          <w:szCs w:val="21"/>
        </w:rPr>
        <w:t>监理与发包人统一指挥，发包人与监理将组织定期检查，对于出现的问题，发包人及监理有权要求总包单位进行整改，否则视承包人为违约；</w:t>
      </w:r>
    </w:p>
    <w:p w14:paraId="0384F49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（7）若发生安全事故，承包人承担全部责任，与发包人无关。承包人应按规定立即报告建设主管部门并通知发包人和监理。如因此造成发包人承担责任的，发包人有权向承包人索赔；</w:t>
      </w:r>
    </w:p>
    <w:p w14:paraId="30F2E4B7">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六、合同价款与支付</w:t>
      </w:r>
    </w:p>
    <w:p w14:paraId="29AD89D9">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12.投标报价采用固定单价方式，合同价款中包括的风险范围：全部风险已包含在投标报价中，承包人投标时已充分考虑风险范围，并计算风险系数。</w:t>
      </w:r>
    </w:p>
    <w:p w14:paraId="22BD58A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 xml:space="preserve">13.工程预付款、发包人向承包人预付工程款的时间和金额或占合同价款总额的比例: </w:t>
      </w:r>
      <w:r>
        <w:rPr>
          <w:rFonts w:hint="eastAsia" w:hAnsi="宋体" w:cs="仿宋"/>
          <w:b w:val="0"/>
          <w:bCs/>
          <w:snapToGrid w:val="0"/>
          <w:sz w:val="21"/>
          <w:szCs w:val="21"/>
          <w:u w:val="single"/>
        </w:rPr>
        <w:t xml:space="preserve"> / </w:t>
      </w:r>
    </w:p>
    <w:p w14:paraId="09F6F58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14.工程量确认</w:t>
      </w:r>
    </w:p>
    <w:p w14:paraId="44C8078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15.工程款(进度款)支付：</w:t>
      </w:r>
    </w:p>
    <w:p w14:paraId="745EFE0A">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七、材料设备供应</w:t>
      </w:r>
    </w:p>
    <w:p w14:paraId="1294B6B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16.发包人供应材料设备：</w:t>
      </w:r>
    </w:p>
    <w:p w14:paraId="3B3C013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16.1发包人供应的材料设备与一览表不符时,双方约定发包人承担责任如下:</w:t>
      </w:r>
    </w:p>
    <w:p w14:paraId="39CFACD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（1）材料设备单价与一览表不符:</w:t>
      </w:r>
      <w:r>
        <w:rPr>
          <w:rFonts w:hint="eastAsia" w:hAnsi="宋体" w:cs="仿宋"/>
          <w:b w:val="0"/>
          <w:bCs/>
          <w:snapToGrid w:val="0"/>
          <w:sz w:val="21"/>
          <w:szCs w:val="21"/>
          <w:u w:val="single"/>
        </w:rPr>
        <w:t xml:space="preserve">   /  </w:t>
      </w:r>
    </w:p>
    <w:p w14:paraId="727BB27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（2）材料设备的品种、规格、型号、质量等级与一览表不符：承包人有权拒收，发包人负责调换，承包人可代为调剂串换的材料：设计院批准，监理认可，并报发包人同意后方可串换；</w:t>
      </w:r>
    </w:p>
    <w:p w14:paraId="7CD6A292">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（3）到货地点与一览表不符：发包人运至规定的供货地点，承包人应予积极配合；</w:t>
      </w:r>
    </w:p>
    <w:p w14:paraId="7AE5595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（4）供货数量与一览表不符：发包人补足；</w:t>
      </w:r>
    </w:p>
    <w:p w14:paraId="12731B0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（5）到货时间与一览表不符；</w:t>
      </w:r>
    </w:p>
    <w:p w14:paraId="5882A28D">
      <w:pPr>
        <w:pStyle w:val="10"/>
        <w:tabs>
          <w:tab w:val="left" w:pos="284"/>
          <w:tab w:val="left" w:pos="993"/>
          <w:tab w:val="left" w:pos="1134"/>
        </w:tabs>
        <w:adjustRightInd w:val="0"/>
        <w:snapToGrid w:val="0"/>
        <w:spacing w:line="360" w:lineRule="auto"/>
        <w:ind w:firstLine="420" w:firstLineChars="200"/>
        <w:contextualSpacing/>
        <w:jc w:val="left"/>
        <w:rPr>
          <w:rFonts w:hAnsi="宋体" w:cs="宋体"/>
          <w:b w:val="0"/>
          <w:bCs/>
          <w:snapToGrid w:val="0"/>
          <w:sz w:val="21"/>
          <w:szCs w:val="21"/>
        </w:rPr>
      </w:pPr>
      <w:r>
        <w:rPr>
          <w:rFonts w:hint="eastAsia" w:hAnsi="宋体" w:cs="宋体"/>
          <w:b w:val="0"/>
          <w:bCs/>
          <w:snapToGrid w:val="0"/>
          <w:sz w:val="21"/>
          <w:szCs w:val="21"/>
        </w:rPr>
        <w:t>开工前承包人须书面通知发包人，因发包人原因延迟供货的，可以延期；如承包人未在开工前书面通知的，发包人不承担相应责任。</w:t>
      </w:r>
    </w:p>
    <w:p w14:paraId="2829C23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16.2发包人供应材料设备的结算方法:/</w:t>
      </w:r>
    </w:p>
    <w:p w14:paraId="62F0837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17．承包人采购材料设备</w:t>
      </w:r>
    </w:p>
    <w:p w14:paraId="0B6F012D">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17.1购材料设备的约定：</w:t>
      </w:r>
    </w:p>
    <w:p w14:paraId="109D7B0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w:t>
      </w:r>
      <w:r>
        <w:rPr>
          <w:rFonts w:hAnsi="宋体" w:cs="仿宋"/>
          <w:b w:val="0"/>
          <w:bCs/>
          <w:snapToGrid w:val="0"/>
          <w:sz w:val="21"/>
          <w:szCs w:val="21"/>
        </w:rPr>
        <w:t>24小时通知发包人和</w:t>
      </w:r>
      <w:r>
        <w:rPr>
          <w:rFonts w:hint="eastAsia" w:hAnsi="宋体" w:cs="仿宋"/>
          <w:b w:val="0"/>
          <w:bCs/>
          <w:snapToGrid w:val="0"/>
          <w:sz w:val="21"/>
          <w:szCs w:val="21"/>
        </w:rPr>
        <w:t>监理工程师验收。</w:t>
      </w:r>
    </w:p>
    <w:p w14:paraId="65CAF52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（2）设备与设计标准不符时，承包人应按工程师要求的时间运出施工场地，重新采购符合要求的产品，承担由此产生的费用，由此延误的工期不予顺延。</w:t>
      </w:r>
    </w:p>
    <w:p w14:paraId="7216CDE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477A2AB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5B4FDBE8">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4A41D4D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（6）由承包人供应的材料、设备其品牌、生产厂家、质量等级等均需与投标书相同，除因市场无供应外，需提前</w:t>
      </w:r>
      <w:r>
        <w:rPr>
          <w:rFonts w:hAnsi="宋体" w:cs="仿宋"/>
          <w:b w:val="0"/>
          <w:bCs/>
          <w:snapToGrid w:val="0"/>
          <w:sz w:val="21"/>
          <w:szCs w:val="21"/>
        </w:rPr>
        <w:t>5</w:t>
      </w:r>
      <w:r>
        <w:rPr>
          <w:rFonts w:hint="eastAsia" w:hAnsi="宋体" w:cs="仿宋"/>
          <w:b w:val="0"/>
          <w:bCs/>
          <w:snapToGrid w:val="0"/>
          <w:sz w:val="21"/>
          <w:szCs w:val="21"/>
        </w:rPr>
        <w:t>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1D1C417D">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w:t>
      </w:r>
      <w:r>
        <w:rPr>
          <w:rFonts w:hAnsi="宋体" w:cs="仿宋"/>
          <w:b w:val="0"/>
          <w:bCs/>
          <w:snapToGrid w:val="0"/>
          <w:sz w:val="21"/>
          <w:szCs w:val="21"/>
        </w:rPr>
        <w:t>）承包人供应的材料设备其品牌、生产厂家、质量等级等如与投标书相同时，其质量及质保资料均需发包人和</w:t>
      </w:r>
      <w:r>
        <w:rPr>
          <w:rFonts w:hint="eastAsia" w:hAnsi="宋体" w:cs="仿宋"/>
          <w:b w:val="0"/>
          <w:bCs/>
          <w:snapToGrid w:val="0"/>
          <w:sz w:val="21"/>
          <w:szCs w:val="21"/>
        </w:rPr>
        <w:t>监理方的认可后方能供货，发包人对该部分材料质量具有检查监督权利，对材料的使用具有否决权，如遇到材料涨价，承包人不能以降低材料品质、档次来抵消风险，也不能要求由发包人供应。</w:t>
      </w:r>
    </w:p>
    <w:p w14:paraId="070932C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w:t>
      </w:r>
      <w:r>
        <w:rPr>
          <w:rFonts w:hAnsi="宋体" w:cs="仿宋"/>
          <w:b w:val="0"/>
          <w:bCs/>
          <w:snapToGrid w:val="0"/>
          <w:sz w:val="21"/>
          <w:szCs w:val="21"/>
        </w:rPr>
        <w:t>）由承包人供应的材料设备其品牌、生产厂家、质量等级等如与投标书不同时，必须得到发包人和</w:t>
      </w:r>
      <w:r>
        <w:rPr>
          <w:rFonts w:hint="eastAsia" w:hAnsi="宋体" w:cs="仿宋"/>
          <w:b w:val="0"/>
          <w:bCs/>
          <w:snapToGrid w:val="0"/>
          <w:sz w:val="21"/>
          <w:szCs w:val="21"/>
        </w:rPr>
        <w:t>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4BC8E25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Ansi="宋体" w:cs="仿宋"/>
          <w:b w:val="0"/>
          <w:bCs/>
          <w:snapToGrid w:val="0"/>
          <w:sz w:val="21"/>
          <w:szCs w:val="21"/>
        </w:rPr>
        <w:t>）</w:t>
      </w:r>
      <w:r>
        <w:rPr>
          <w:rFonts w:hint="eastAsia" w:hAnsi="宋体" w:cs="仿宋"/>
          <w:b w:val="0"/>
          <w:bCs/>
          <w:snapToGrid w:val="0"/>
          <w:sz w:val="21"/>
          <w:szCs w:val="21"/>
        </w:rPr>
        <w:t>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\o\ac(○,1)</w:instrText>
      </w:r>
      <w:r>
        <w:rPr>
          <w:rFonts w:hint="eastAsia" w:hAnsi="宋体" w:cs="仿宋"/>
          <w:b w:val="0"/>
          <w:bCs/>
          <w:snapToGrid w:val="0"/>
          <w:sz w:val="21"/>
          <w:szCs w:val="21"/>
        </w:rPr>
        <w:fldChar w:fldCharType="end"/>
      </w:r>
      <w:r>
        <w:rPr>
          <w:rFonts w:hint="eastAsia" w:hAnsi="宋体" w:cs="仿宋"/>
          <w:b w:val="0"/>
          <w:bCs/>
          <w:snapToGrid w:val="0"/>
          <w:sz w:val="21"/>
          <w:szCs w:val="21"/>
        </w:rPr>
        <w:t xml:space="preserve">承包人采取新工艺或特殊施工措施造成的检验、试验费用 </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\o\ac(○,2)</w:instrText>
      </w:r>
      <w:r>
        <w:rPr>
          <w:rFonts w:hint="eastAsia" w:hAnsi="宋体" w:cs="仿宋"/>
          <w:b w:val="0"/>
          <w:bCs/>
          <w:snapToGrid w:val="0"/>
          <w:sz w:val="21"/>
          <w:szCs w:val="21"/>
        </w:rPr>
        <w:fldChar w:fldCharType="end"/>
      </w:r>
      <w:r>
        <w:rPr>
          <w:rFonts w:hint="eastAsia" w:hAnsi="宋体" w:cs="仿宋"/>
          <w:b w:val="0"/>
          <w:bCs/>
          <w:snapToGrid w:val="0"/>
          <w:sz w:val="21"/>
          <w:szCs w:val="21"/>
        </w:rPr>
        <w:t>不在“由发包人承担检验试验费用”之列的其它检验试验费。</w:t>
      </w:r>
    </w:p>
    <w:p w14:paraId="646CCA2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（10）需送检的材料必须检验合格后方能投入使用。</w:t>
      </w:r>
    </w:p>
    <w:p w14:paraId="628D2FC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（11）承包人供应的材料设备必须保证质量，使用中如发现有质量问题、有毒、污染等不符合环保、安全、卫生要求的，承包人承担返工的全部损失并赔偿由此给发包人带来的损失。</w:t>
      </w:r>
    </w:p>
    <w:p w14:paraId="4466D37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（12）如需发包人认定质价后购买的材料，或者必须代换材料时，承包人必须提前10天书面报告，经发包人批准后实施，否则一切后果均由承包人自己负责。</w:t>
      </w:r>
    </w:p>
    <w:p w14:paraId="0E04E6AE">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八、工程变更</w:t>
      </w:r>
    </w:p>
    <w:p w14:paraId="7383409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（1）工程变更通知是合同及施工设计图纸的补充和完善，承包人不得拒绝，不能因变更延误工期。</w:t>
      </w:r>
    </w:p>
    <w:p w14:paraId="3103534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（2）由于工程设计变更导致本合同工程量增减变化时，是对合同价款增减调整的依据，承包人不能因变更提出不合理的造价要求，造价变化按上述约定执行，结算审核时按实调整。</w:t>
      </w:r>
    </w:p>
    <w:p w14:paraId="2BDC7631">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（3）承包人不得以设计变更或工程量的变化为理由，解除或修改合同对其规定的责任和义务。</w:t>
      </w:r>
    </w:p>
    <w:p w14:paraId="35266C9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（4）施工中承包人不得对原工程设计进行变更，因承包人擅自变更设计发生的费用和由此导致发包人的直接损失由承包人承担，延误的工期不予顺延。</w:t>
      </w:r>
    </w:p>
    <w:p w14:paraId="2E17FAB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18.竣工验收</w:t>
      </w:r>
    </w:p>
    <w:p w14:paraId="4C1795B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18.1.承包人负责工程验收，并有义务参加配合相关单位验收工作。</w:t>
      </w:r>
    </w:p>
    <w:p w14:paraId="01CBB34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18.2.工程具备竣工验收条件，承包人按国家工程竣工验收有关规定，向发包人提供竣工验收报告。</w:t>
      </w:r>
    </w:p>
    <w:p w14:paraId="769D513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758D39E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6E254114">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b w:val="0"/>
          <w:bCs/>
          <w:snapToGrid w:val="0"/>
          <w:sz w:val="21"/>
          <w:szCs w:val="21"/>
        </w:rPr>
        <w:t>19.竣工结算</w:t>
      </w:r>
    </w:p>
    <w:p w14:paraId="534C9DE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19.1工程竣工验收合格后60天内承包人向发包人提供完整的工程结算资料。由发包人接收（一式两份）。结算资料提交应按时完成，否则每迟一天，除每日向发包人支付违约金500元，工程款相应延期支付。</w:t>
      </w:r>
    </w:p>
    <w:p w14:paraId="1ACD907A">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19.2发包人收到竣工结算资料后，由发包人和监理方分别进行审查确认后送给有关造价咨询部门进行工程价款的审核。</w:t>
      </w:r>
    </w:p>
    <w:p w14:paraId="65AB8F8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20、工程保修</w:t>
      </w:r>
    </w:p>
    <w:p w14:paraId="01D8E9B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20.1工程保修内容及期限按《建设工程质量管理条例》（中华人民共和国国务院令2000年第279号）、《房屋建筑工程质量保修办法》（中华人民共和国建设部令第８０号）等有关规定执行</w:t>
      </w:r>
      <w:r>
        <w:rPr>
          <w:rFonts w:hAnsi="宋体" w:cs="仿宋"/>
          <w:b w:val="0"/>
          <w:bCs/>
          <w:snapToGrid w:val="0"/>
          <w:sz w:val="21"/>
          <w:szCs w:val="21"/>
        </w:rPr>
        <w:t>,保修金预留的比例为工程结算价的</w:t>
      </w:r>
      <w:r>
        <w:rPr>
          <w:rFonts w:hint="eastAsia" w:hAnsi="宋体" w:cs="仿宋"/>
          <w:b w:val="0"/>
          <w:bCs/>
          <w:snapToGrid w:val="0"/>
          <w:sz w:val="21"/>
          <w:szCs w:val="21"/>
        </w:rPr>
        <w:t>3</w:t>
      </w:r>
      <w:r>
        <w:rPr>
          <w:rFonts w:hAnsi="宋体" w:cs="仿宋"/>
          <w:b w:val="0"/>
          <w:bCs/>
          <w:snapToGrid w:val="0"/>
          <w:sz w:val="21"/>
          <w:szCs w:val="21"/>
        </w:rPr>
        <w:t>%。</w:t>
      </w:r>
    </w:p>
    <w:p w14:paraId="3954A045">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20.2工程保修期在工程竣工验收合格之日起计算。</w:t>
      </w:r>
    </w:p>
    <w:p w14:paraId="70250BDE">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20.3在承包人对质量保证期内出现的质量问题进行维修时，承包人应相应延长维修或更换部分的质量保证期。维修或更换部分的质保期从维修或更换合格之日起重新计算。</w:t>
      </w:r>
    </w:p>
    <w:p w14:paraId="2C8F554F">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3D60A271">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九、违约、索赔和争议</w:t>
      </w:r>
    </w:p>
    <w:p w14:paraId="35A73A7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21.违约</w:t>
      </w:r>
    </w:p>
    <w:p w14:paraId="171C613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21.1本合同中关于发包人违约的具体责任如下:</w:t>
      </w:r>
    </w:p>
    <w:p w14:paraId="0BDEC8F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w:t>
      </w:r>
      <w:r>
        <w:rPr>
          <w:rFonts w:hAnsi="宋体" w:cs="仿宋"/>
          <w:b w:val="0"/>
          <w:bCs/>
          <w:snapToGrid w:val="0"/>
          <w:sz w:val="21"/>
          <w:szCs w:val="21"/>
        </w:rPr>
        <w:t>24条</w:t>
      </w:r>
      <w:r>
        <w:rPr>
          <w:rFonts w:hint="eastAsia" w:hAnsi="宋体" w:cs="仿宋"/>
          <w:b w:val="0"/>
          <w:bCs/>
          <w:snapToGrid w:val="0"/>
          <w:sz w:val="21"/>
          <w:szCs w:val="21"/>
        </w:rPr>
        <w:t>约定发包人违约应承担的违约责任:</w:t>
      </w:r>
      <w:r>
        <w:rPr>
          <w:rFonts w:hint="eastAsia" w:hAnsi="宋体" w:cs="仿宋"/>
          <w:b w:val="0"/>
          <w:bCs/>
          <w:snapToGrid w:val="0"/>
          <w:sz w:val="21"/>
          <w:szCs w:val="21"/>
          <w:u w:val="single"/>
        </w:rPr>
        <w:t xml:space="preserve">    /    </w:t>
      </w:r>
    </w:p>
    <w:p w14:paraId="52396766">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26.4</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14:paraId="460B6753">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33.3</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14:paraId="3AA8DF6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双方约定的发包人其他违约责任: 执行合同约定、招标文件</w:t>
      </w:r>
    </w:p>
    <w:p w14:paraId="2FF57B3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21.2本合同中关于承包人违约的具体责任如下:</w:t>
      </w:r>
    </w:p>
    <w:p w14:paraId="0F882949">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本合同通用条款第14.2款约定承包人违约应承担的违约责任:</w:t>
      </w:r>
    </w:p>
    <w:p w14:paraId="400065B0">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14:paraId="4EDD9DE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21.3本合同通用条款第15.1款约定承包人违约应承担的违约责任:</w:t>
      </w:r>
    </w:p>
    <w:p w14:paraId="55730EF7">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438ABFEB">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21.4双方约定的承包人其他违约责任:</w:t>
      </w:r>
    </w:p>
    <w:p w14:paraId="1356869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21.4.1.遵守政府和发包人对施工现场的一切规定和要求，承担因自身原因违反有关规定造成的损失和罚款。</w:t>
      </w:r>
    </w:p>
    <w:p w14:paraId="1A2FF57C">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2CBC9A9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21.4.3承包人应服从发包人的制度、会议、通知等形式的管理，以整个项目全局为重，除履行合同义务外应积极配合发包人及其他参建单位完成项目目标。</w:t>
      </w:r>
    </w:p>
    <w:p w14:paraId="7D37DBE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Ansi="宋体" w:cs="仿宋"/>
          <w:b w:val="0"/>
          <w:bCs/>
          <w:snapToGrid w:val="0"/>
          <w:sz w:val="21"/>
          <w:szCs w:val="21"/>
        </w:rPr>
        <w:t>21.4.4由于承包人原因无故连续停工一周，且又未向</w:t>
      </w:r>
      <w:r>
        <w:rPr>
          <w:rFonts w:hint="eastAsia" w:hAnsi="宋体" w:cs="仿宋"/>
          <w:b w:val="0"/>
          <w:bCs/>
          <w:snapToGrid w:val="0"/>
          <w:sz w:val="21"/>
          <w:szCs w:val="21"/>
        </w:rPr>
        <w:t>监理及发包人书面说明原因并取得发包人书面认可，发包人有权终止合同，承包人将承担一切损失。</w:t>
      </w:r>
    </w:p>
    <w:p w14:paraId="28686FB9">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21.4.5承包人擅自将工程全部或其中的一部分转包或违法分包给其它单位，发包人有权终止合同，并没收履约保证金，由此造成的一切损失由承包人承担。</w:t>
      </w:r>
    </w:p>
    <w:p w14:paraId="15362BB1">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21.4.6施工期间由于承包人原因出现重大质量问题，且又无法弥补，给发包人造成重大损失，发包人有权终止合同，承包人负责赔偿发包人由此造成的一切损失。</w:t>
      </w:r>
    </w:p>
    <w:p w14:paraId="49775D16">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21.4.7承包人使用劣质材料，无论使用量多少，一经发现，发包人有权终止合同，承包人除承担责任和赔偿损失外，并无条件退出施工现场。</w:t>
      </w:r>
    </w:p>
    <w:p w14:paraId="41D80C9D">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22.争议</w:t>
      </w:r>
    </w:p>
    <w:p w14:paraId="5E49FE6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22.1双方约定,在履行合同过程中产生争议时:</w:t>
      </w:r>
    </w:p>
    <w:p w14:paraId="3E682745">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(1)请有关</w:t>
      </w:r>
      <w:r>
        <w:rPr>
          <w:rFonts w:hint="eastAsia" w:hAnsi="宋体" w:cs="仿宋"/>
          <w:b w:val="0"/>
          <w:bCs/>
          <w:snapToGrid w:val="0"/>
          <w:sz w:val="21"/>
          <w:szCs w:val="21"/>
          <w:u w:val="single"/>
        </w:rPr>
        <w:t>建设行政主管部门</w:t>
      </w:r>
      <w:r>
        <w:rPr>
          <w:rFonts w:hint="eastAsia" w:hAnsi="宋体" w:cs="仿宋"/>
          <w:b w:val="0"/>
          <w:bCs/>
          <w:snapToGrid w:val="0"/>
          <w:sz w:val="21"/>
          <w:szCs w:val="21"/>
        </w:rPr>
        <w:t>调解;</w:t>
      </w:r>
    </w:p>
    <w:p w14:paraId="6BD7B8E7">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(2)调解不成，双方约定向</w:t>
      </w:r>
      <w:r>
        <w:rPr>
          <w:rFonts w:hint="eastAsia" w:hAnsi="宋体" w:cs="仿宋"/>
          <w:b w:val="0"/>
          <w:bCs/>
          <w:snapToGrid w:val="0"/>
          <w:sz w:val="21"/>
          <w:szCs w:val="21"/>
          <w:u w:val="single"/>
        </w:rPr>
        <w:t>发包人所在地人民法院</w:t>
      </w:r>
      <w:r>
        <w:rPr>
          <w:rFonts w:hint="eastAsia" w:hAnsi="宋体" w:cs="仿宋"/>
          <w:b w:val="0"/>
          <w:bCs/>
          <w:snapToGrid w:val="0"/>
          <w:sz w:val="21"/>
          <w:szCs w:val="21"/>
        </w:rPr>
        <w:t>提起诉讼。</w:t>
      </w:r>
    </w:p>
    <w:p w14:paraId="49500AAD">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十、其他</w:t>
      </w:r>
    </w:p>
    <w:p w14:paraId="2167C48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23.工程分包</w:t>
      </w:r>
    </w:p>
    <w:p w14:paraId="43593E7E">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本工程除渣土外运工程外，其他项目不允许转包和违法分包。渣土外运必须发包给具备《渣土运输车辆许可证》、《渣土运输车辆交通安全证》和《渣土运输车辆通行证》的渣土运输企业作业。</w:t>
      </w:r>
    </w:p>
    <w:p w14:paraId="456034E3">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24.不可抗力</w:t>
      </w:r>
    </w:p>
    <w:p w14:paraId="1720606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24.1双方关于不可抗力的约定:</w:t>
      </w:r>
      <w:r>
        <w:rPr>
          <w:rFonts w:hint="eastAsia" w:hAnsi="宋体" w:cs="仿宋"/>
          <w:b w:val="0"/>
          <w:bCs/>
          <w:snapToGrid w:val="0"/>
          <w:sz w:val="21"/>
          <w:szCs w:val="21"/>
          <w:u w:val="single"/>
        </w:rPr>
        <w:t>执行通用条款</w:t>
      </w:r>
    </w:p>
    <w:p w14:paraId="01A81854">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25.担保</w:t>
      </w:r>
    </w:p>
    <w:p w14:paraId="12573E82">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25.1本工程双方约定担保事项如下:</w:t>
      </w:r>
    </w:p>
    <w:p w14:paraId="794E706C">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25.2发包人向承包人提供履约担保,担保方式为: </w:t>
      </w:r>
      <w:r>
        <w:rPr>
          <w:rFonts w:hint="eastAsia" w:hAnsi="宋体" w:cs="仿宋"/>
          <w:b w:val="0"/>
          <w:bCs/>
          <w:snapToGrid w:val="0"/>
          <w:sz w:val="21"/>
          <w:szCs w:val="21"/>
          <w:u w:val="single"/>
        </w:rPr>
        <w:t xml:space="preserve">  / </w:t>
      </w:r>
    </w:p>
    <w:p w14:paraId="257764F5">
      <w:pPr>
        <w:pStyle w:val="10"/>
        <w:tabs>
          <w:tab w:val="left" w:pos="284"/>
          <w:tab w:val="left" w:pos="993"/>
          <w:tab w:val="left" w:pos="1134"/>
        </w:tabs>
        <w:adjustRightInd w:val="0"/>
        <w:snapToGrid w:val="0"/>
        <w:spacing w:line="360" w:lineRule="auto"/>
        <w:ind w:firstLine="420" w:firstLineChars="200"/>
        <w:jc w:val="left"/>
        <w:rPr>
          <w:rFonts w:hAnsi="宋体" w:cs="仿宋"/>
          <w:snapToGrid w:val="0"/>
          <w:sz w:val="21"/>
          <w:szCs w:val="21"/>
        </w:rPr>
      </w:pPr>
      <w:r>
        <w:rPr>
          <w:rFonts w:hint="eastAsia" w:hAnsi="宋体" w:cs="仿宋"/>
          <w:b w:val="0"/>
          <w:bCs/>
          <w:snapToGrid w:val="0"/>
          <w:sz w:val="21"/>
          <w:szCs w:val="21"/>
        </w:rPr>
        <w:t>25.3 承包人向发包人提供履约担保,担保方式为:</w:t>
      </w:r>
      <w:r>
        <w:rPr>
          <w:rFonts w:hint="eastAsia" w:hAnsi="宋体" w:cs="仿宋"/>
          <w:b w:val="0"/>
          <w:bCs/>
          <w:snapToGrid w:val="0"/>
          <w:sz w:val="21"/>
          <w:szCs w:val="21"/>
          <w:u w:val="single"/>
        </w:rPr>
        <w:t xml:space="preserve">  / </w:t>
      </w:r>
    </w:p>
    <w:p w14:paraId="75C44D6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26.合同份数</w:t>
      </w:r>
    </w:p>
    <w:p w14:paraId="6EC2D400">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26.1双方约定在合同份数：</w:t>
      </w:r>
    </w:p>
    <w:p w14:paraId="23E6D74A">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本合同</w:t>
      </w:r>
      <w:r>
        <w:rPr>
          <w:rFonts w:hint="eastAsia" w:hAnsi="宋体" w:cs="仿宋"/>
          <w:b w:val="0"/>
          <w:bCs/>
          <w:snapToGrid w:val="0"/>
          <w:sz w:val="21"/>
          <w:szCs w:val="21"/>
          <w:u w:val="single"/>
        </w:rPr>
        <w:t>伍</w:t>
      </w:r>
      <w:r>
        <w:rPr>
          <w:rFonts w:hint="eastAsia" w:hAnsi="宋体" w:cs="仿宋"/>
          <w:b w:val="0"/>
          <w:bCs/>
          <w:snapToGrid w:val="0"/>
          <w:sz w:val="21"/>
          <w:szCs w:val="21"/>
        </w:rPr>
        <w:t>份，其中正本</w:t>
      </w:r>
      <w:r>
        <w:rPr>
          <w:rFonts w:hint="eastAsia" w:hAnsi="宋体" w:cs="仿宋"/>
          <w:b w:val="0"/>
          <w:bCs/>
          <w:snapToGrid w:val="0"/>
          <w:sz w:val="21"/>
          <w:szCs w:val="21"/>
          <w:u w:val="single"/>
        </w:rPr>
        <w:t>叁</w:t>
      </w:r>
      <w:r>
        <w:rPr>
          <w:rFonts w:hint="eastAsia" w:hAnsi="宋体" w:cs="仿宋"/>
          <w:b w:val="0"/>
          <w:bCs/>
          <w:snapToGrid w:val="0"/>
          <w:sz w:val="21"/>
          <w:szCs w:val="21"/>
        </w:rPr>
        <w:t>份，副本</w:t>
      </w:r>
      <w:r>
        <w:rPr>
          <w:rFonts w:hint="eastAsia" w:hAnsi="宋体" w:cs="仿宋"/>
          <w:b w:val="0"/>
          <w:bCs/>
          <w:snapToGrid w:val="0"/>
          <w:sz w:val="21"/>
          <w:szCs w:val="21"/>
          <w:u w:val="single"/>
        </w:rPr>
        <w:t>贰</w:t>
      </w:r>
      <w:r>
        <w:rPr>
          <w:rFonts w:hint="eastAsia" w:hAnsi="宋体" w:cs="仿宋"/>
          <w:b w:val="0"/>
          <w:bCs/>
          <w:snapToGrid w:val="0"/>
          <w:sz w:val="21"/>
          <w:szCs w:val="21"/>
        </w:rPr>
        <w:t>份。</w:t>
      </w:r>
      <w:r>
        <w:rPr>
          <w:rFonts w:hint="eastAsia" w:hAnsi="宋体" w:cs="宋体"/>
          <w:b w:val="0"/>
          <w:bCs/>
          <w:sz w:val="21"/>
          <w:szCs w:val="21"/>
        </w:rPr>
        <w:t>发包人方执</w:t>
      </w:r>
      <w:r>
        <w:rPr>
          <w:rFonts w:hint="eastAsia" w:hAnsi="宋体" w:cs="宋体"/>
          <w:b w:val="0"/>
          <w:bCs/>
          <w:sz w:val="21"/>
          <w:szCs w:val="21"/>
          <w:u w:val="single"/>
        </w:rPr>
        <w:t>叁</w:t>
      </w:r>
      <w:r>
        <w:rPr>
          <w:rFonts w:hint="eastAsia" w:hAnsi="宋体" w:cs="宋体"/>
          <w:b w:val="0"/>
          <w:bCs/>
          <w:sz w:val="21"/>
          <w:szCs w:val="21"/>
        </w:rPr>
        <w:t>份，承包人方执</w:t>
      </w:r>
      <w:r>
        <w:rPr>
          <w:rFonts w:hint="eastAsia" w:hAnsi="宋体" w:cs="宋体"/>
          <w:b w:val="0"/>
          <w:bCs/>
          <w:sz w:val="21"/>
          <w:szCs w:val="21"/>
          <w:u w:val="single"/>
        </w:rPr>
        <w:t>贰</w:t>
      </w:r>
      <w:r>
        <w:rPr>
          <w:rFonts w:hint="eastAsia" w:hAnsi="宋体" w:cs="宋体"/>
          <w:b w:val="0"/>
          <w:bCs/>
          <w:sz w:val="21"/>
          <w:szCs w:val="21"/>
        </w:rPr>
        <w:t>份。</w:t>
      </w:r>
    </w:p>
    <w:p w14:paraId="4F183172">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28、施工期间相关要求：（以下规定与政府部门有冲突的部分依照政府文件规定执行）</w:t>
      </w:r>
    </w:p>
    <w:p w14:paraId="140A40D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（1）严格按国家强制性标准、施工组织设计或拆除方案实施相关部位拆除施工作业；</w:t>
      </w:r>
    </w:p>
    <w:p w14:paraId="5079FCA5">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（2）做好拆除工程施工现场的防护。在现场醒目位置设置施工标志牌、安全警示牌，人员通道设置防护通道，非施工人员不得进入施工区；</w:t>
      </w:r>
    </w:p>
    <w:p w14:paraId="6F2750A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（3）制定安全事故应急救援预案，做好防火、防盗工作；</w:t>
      </w:r>
    </w:p>
    <w:p w14:paraId="6A0AD787">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（4）对拆除施工人员进行安全技术交底，施工作业人员必须穿戴安全帽等劳动保护用品，高处作业应系好安全带，不得冒险作业；</w:t>
      </w:r>
    </w:p>
    <w:p w14:paraId="54F2D635">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（5）由施工方、监理、承包人方共同对拆除的部位进行标记，由施工方检查建筑内各类管线情况，确认必须切断的应全部切断后方可施工；</w:t>
      </w:r>
    </w:p>
    <w:p w14:paraId="64E903F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（6</w:t>
      </w:r>
      <w:r>
        <w:rPr>
          <w:rFonts w:ascii="宋体" w:hAnsi="宋体"/>
          <w:szCs w:val="21"/>
        </w:rPr>
        <w:t>）</w:t>
      </w:r>
      <w:r>
        <w:rPr>
          <w:rFonts w:hint="eastAsia" w:ascii="宋体" w:hAnsi="宋体"/>
          <w:szCs w:val="21"/>
        </w:rPr>
        <w:t>拆除施工时应有防止扬尘和降低噪声的措施，拆除前洒水，过程中喷水，采用轻型风镐，严禁超负荷或带故障运转；</w:t>
      </w:r>
    </w:p>
    <w:p w14:paraId="1CB97BD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0C21A49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（8）楼层内的施工垃圾应采用垃圾袋运下，不得向下抛掷；</w:t>
      </w:r>
    </w:p>
    <w:p w14:paraId="3C2AD81B">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（9）对原有梁、柱、楼板面等建筑结构要进行有效防护，拆除部位的地面必须用模板铺垫；</w:t>
      </w:r>
    </w:p>
    <w:p w14:paraId="2913DEC1">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（10）室内墙体在拆除时，顶部应拆除至梁体或楼板混凝土结构面，将砂浆连接层彻底清理干净，便于下道工序直接施工包含柱面；</w:t>
      </w:r>
    </w:p>
    <w:p w14:paraId="2BD5D84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(11)现场用电应符合施工现场临时用电安全技术规范要求；</w:t>
      </w:r>
    </w:p>
    <w:p w14:paraId="0C420BFC">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(12)根据拆除现场作业环境，制定相应的消防安全措施；</w:t>
      </w:r>
    </w:p>
    <w:p w14:paraId="12582D17">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(13)拆除后形成的临边洞口及时维护完成；</w:t>
      </w:r>
    </w:p>
    <w:p w14:paraId="10A0910E">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(14)清运渣土的车辆应封闭或覆盖，出入现场应有专人指挥，作业时间、作业方式应遵守扬州市有关管理规定。要求拆除的垃圾袋装化处理，并及时拆及时清运；</w:t>
      </w:r>
    </w:p>
    <w:p w14:paraId="1FA9324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(15)使用建设单位提供运输等设备、设施要服从管理安排，爱护设备，损坏赔偿；</w:t>
      </w:r>
    </w:p>
    <w:p w14:paraId="48B6683A">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(16)编制切实可行的施工准备计划，科学、合理安排组织施工工序，对准备工作建立严格的责任制和检查制度，做到有计划、有分工、有布置、有检查，各分部分项工程必须按计划完成；</w:t>
      </w:r>
    </w:p>
    <w:p w14:paraId="4C571F29">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6110B048">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(18)若有后续工作跟进施工应与配合，及时提供工作面，确保后续工作顺利实施；</w:t>
      </w:r>
    </w:p>
    <w:p w14:paraId="113332F1">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(19)本工程不包含任何可回收材料，可回收材料均属发包人所有；</w:t>
      </w:r>
    </w:p>
    <w:p w14:paraId="173A24B8">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（20）保险</w:t>
      </w:r>
    </w:p>
    <w:p w14:paraId="7E0E04E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工程保险：</w:t>
      </w:r>
      <w:r>
        <w:rPr>
          <w:rFonts w:hint="eastAsia" w:ascii="宋体" w:hAnsi="宋体"/>
          <w:szCs w:val="21"/>
          <w:u w:val="single"/>
        </w:rPr>
        <w:t>按相关规定，应由承包人缴纳的保险必须按时依法办理</w:t>
      </w:r>
      <w:r>
        <w:rPr>
          <w:rFonts w:hint="eastAsia" w:ascii="宋体" w:hAnsi="宋体"/>
          <w:szCs w:val="21"/>
        </w:rPr>
        <w:t>。</w:t>
      </w:r>
    </w:p>
    <w:p w14:paraId="336A4914">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其他保险：</w:t>
      </w:r>
      <w:r>
        <w:rPr>
          <w:rFonts w:hint="eastAsia" w:ascii="宋体" w:hAnsi="宋体"/>
          <w:szCs w:val="21"/>
          <w:u w:val="single"/>
        </w:rPr>
        <w:t>按相关规定，应由承包人缴纳的保险必须按时依法办理</w:t>
      </w:r>
      <w:r>
        <w:rPr>
          <w:rFonts w:hint="eastAsia" w:ascii="宋体" w:hAnsi="宋体"/>
          <w:szCs w:val="21"/>
        </w:rPr>
        <w:t>。</w:t>
      </w:r>
    </w:p>
    <w:p w14:paraId="0F55A8FB">
      <w:pPr>
        <w:pStyle w:val="43"/>
        <w:tabs>
          <w:tab w:val="left" w:pos="284"/>
        </w:tabs>
        <w:snapToGrid w:val="0"/>
        <w:spacing w:line="360" w:lineRule="auto"/>
        <w:ind w:firstLine="420" w:firstLineChars="200"/>
        <w:contextualSpacing/>
        <w:jc w:val="left"/>
        <w:rPr>
          <w:rFonts w:ascii="宋体" w:hAnsi="宋体"/>
          <w:szCs w:val="21"/>
          <w:u w:val="single"/>
        </w:rPr>
      </w:pPr>
      <w:r>
        <w:rPr>
          <w:rFonts w:hint="eastAsia" w:ascii="宋体" w:hAnsi="宋体"/>
          <w:szCs w:val="21"/>
        </w:rPr>
        <w:t>承包人是否应为其施工设备等办理财产保险：</w:t>
      </w:r>
      <w:r>
        <w:rPr>
          <w:rFonts w:hint="eastAsia" w:ascii="宋体" w:hAnsi="宋体"/>
          <w:szCs w:val="21"/>
          <w:u w:val="single"/>
        </w:rPr>
        <w:t>应该办理</w:t>
      </w:r>
    </w:p>
    <w:p w14:paraId="15A0FDA8">
      <w:pPr>
        <w:pStyle w:val="43"/>
        <w:tabs>
          <w:tab w:val="left" w:pos="284"/>
        </w:tabs>
        <w:snapToGrid w:val="0"/>
        <w:spacing w:line="360" w:lineRule="auto"/>
        <w:ind w:firstLine="420" w:firstLineChars="200"/>
        <w:contextualSpacing/>
        <w:jc w:val="left"/>
        <w:rPr>
          <w:rFonts w:ascii="宋体" w:hAnsi="宋体"/>
          <w:sz w:val="24"/>
          <w:szCs w:val="24"/>
        </w:rPr>
      </w:pPr>
      <w:r>
        <w:rPr>
          <w:rFonts w:hint="eastAsia" w:ascii="宋体" w:hAnsi="宋体"/>
          <w:szCs w:val="21"/>
        </w:rPr>
        <w:t>关于变更保险合同时的通知义务的约定：</w:t>
      </w:r>
      <w:r>
        <w:rPr>
          <w:rFonts w:hint="eastAsia" w:ascii="宋体" w:hAnsi="宋体"/>
          <w:szCs w:val="21"/>
          <w:u w:val="single"/>
        </w:rPr>
        <w:t>执行通用条款</w:t>
      </w:r>
    </w:p>
    <w:p w14:paraId="0806CE2F">
      <w:pPr>
        <w:snapToGrid w:val="0"/>
        <w:spacing w:before="120" w:beforeLines="50" w:after="120" w:afterLines="50" w:line="440" w:lineRule="exact"/>
        <w:ind w:right="409" w:rightChars="195"/>
        <w:contextualSpacing/>
        <w:outlineLvl w:val="1"/>
        <w:rPr>
          <w:rFonts w:ascii="宋体" w:hAnsi="宋体"/>
          <w:b/>
          <w:sz w:val="28"/>
          <w:szCs w:val="28"/>
        </w:rPr>
      </w:pPr>
      <w:r>
        <w:rPr>
          <w:rFonts w:ascii="宋体" w:hAnsi="宋体"/>
          <w:b/>
          <w:sz w:val="28"/>
          <w:szCs w:val="28"/>
        </w:rPr>
        <w:br w:type="page"/>
      </w:r>
      <w:r>
        <w:rPr>
          <w:rFonts w:hint="eastAsia" w:ascii="宋体" w:hAnsi="宋体"/>
          <w:b/>
          <w:sz w:val="28"/>
          <w:szCs w:val="28"/>
        </w:rPr>
        <w:t>附件1</w:t>
      </w:r>
    </w:p>
    <w:p w14:paraId="34545441">
      <w:pPr>
        <w:snapToGrid w:val="0"/>
        <w:spacing w:before="120" w:beforeLines="50" w:after="120" w:afterLines="50" w:line="440" w:lineRule="exact"/>
        <w:ind w:left="594" w:leftChars="283" w:right="409" w:rightChars="195"/>
        <w:contextualSpacing/>
        <w:jc w:val="center"/>
        <w:rPr>
          <w:rFonts w:ascii="宋体" w:hAnsi="宋体"/>
          <w:sz w:val="28"/>
          <w:szCs w:val="28"/>
        </w:rPr>
      </w:pPr>
      <w:r>
        <w:rPr>
          <w:rFonts w:hint="eastAsia" w:ascii="宋体" w:hAnsi="宋体"/>
          <w:b/>
          <w:sz w:val="28"/>
          <w:szCs w:val="28"/>
        </w:rPr>
        <w:t>建设工程施工场地管理规定</w:t>
      </w:r>
    </w:p>
    <w:p w14:paraId="30314E2C">
      <w:pPr>
        <w:spacing w:line="360" w:lineRule="auto"/>
        <w:ind w:firstLine="420" w:firstLineChars="200"/>
        <w:contextualSpacing/>
        <w:rPr>
          <w:rFonts w:ascii="宋体" w:hAnsi="宋体"/>
          <w:szCs w:val="21"/>
        </w:rPr>
      </w:pPr>
    </w:p>
    <w:p w14:paraId="7826DAA0">
      <w:pPr>
        <w:spacing w:line="360" w:lineRule="auto"/>
        <w:ind w:firstLine="420" w:firstLineChars="200"/>
        <w:contextualSpacing/>
        <w:rPr>
          <w:rFonts w:ascii="宋体" w:hAnsi="宋体"/>
          <w:szCs w:val="21"/>
        </w:rPr>
      </w:pPr>
      <w:r>
        <w:rPr>
          <w:rFonts w:hint="eastAsia" w:ascii="宋体" w:hAnsi="宋体"/>
          <w:szCs w:val="21"/>
        </w:rPr>
        <w:t>为了保证建设工程质量、进度达到预定目标,确保在施工中不出现质量、安全责任事故,同时能给各施工单位创造良好的文明施工环境、合作条件,经研究特制订本工程施工场地管理规定。</w:t>
      </w:r>
    </w:p>
    <w:p w14:paraId="2BF3107D">
      <w:pPr>
        <w:spacing w:line="360" w:lineRule="auto"/>
        <w:ind w:firstLine="420" w:firstLineChars="200"/>
        <w:contextualSpacing/>
        <w:rPr>
          <w:rFonts w:ascii="宋体" w:hAnsi="宋体"/>
          <w:szCs w:val="21"/>
        </w:rPr>
      </w:pPr>
      <w:r>
        <w:rPr>
          <w:rFonts w:hint="eastAsia" w:ascii="宋体" w:hAnsi="宋体"/>
          <w:szCs w:val="21"/>
        </w:rPr>
        <w:t>一、施工场地管理要求:</w:t>
      </w:r>
    </w:p>
    <w:p w14:paraId="5E316DDA">
      <w:pPr>
        <w:spacing w:line="360" w:lineRule="auto"/>
        <w:ind w:firstLine="420" w:firstLineChars="200"/>
        <w:contextualSpacing/>
        <w:rPr>
          <w:rFonts w:ascii="宋体" w:hAnsi="宋体"/>
          <w:szCs w:val="21"/>
        </w:rPr>
      </w:pPr>
      <w:r>
        <w:rPr>
          <w:rFonts w:hint="eastAsia" w:ascii="宋体" w:hAnsi="宋体"/>
          <w:szCs w:val="21"/>
        </w:rPr>
        <w:t>1、所有进场的施工单位必须建立健全项目管理机构,项目部全体人员一览表应公布上墙。</w:t>
      </w:r>
    </w:p>
    <w:p w14:paraId="77B79E0B">
      <w:pPr>
        <w:spacing w:line="360" w:lineRule="auto"/>
        <w:ind w:firstLine="420" w:firstLineChars="200"/>
        <w:contextualSpacing/>
        <w:rPr>
          <w:rFonts w:ascii="宋体" w:hAnsi="宋体"/>
          <w:szCs w:val="21"/>
        </w:rPr>
      </w:pPr>
      <w:r>
        <w:rPr>
          <w:rFonts w:hint="eastAsia" w:ascii="宋体" w:hAnsi="宋体"/>
          <w:szCs w:val="21"/>
        </w:rPr>
        <w:t>2、各项目部应根据国家和省、市有关法律、法规、标准、规范,按照项目部的工作要求建立如下规章制度。</w:t>
      </w:r>
    </w:p>
    <w:p w14:paraId="33BBFD17">
      <w:pPr>
        <w:spacing w:line="360" w:lineRule="auto"/>
        <w:ind w:firstLine="420" w:firstLineChars="200"/>
        <w:contextualSpacing/>
        <w:rPr>
          <w:rFonts w:ascii="宋体" w:hAnsi="宋体"/>
          <w:szCs w:val="21"/>
        </w:rPr>
      </w:pPr>
      <w:r>
        <w:rPr>
          <w:rFonts w:hint="eastAsia" w:ascii="宋体" w:hAnsi="宋体"/>
          <w:szCs w:val="21"/>
        </w:rPr>
        <w:t>(1)安全生产责任制度、安全教育制度</w:t>
      </w:r>
    </w:p>
    <w:p w14:paraId="0EDEC4F3">
      <w:pPr>
        <w:spacing w:line="360" w:lineRule="auto"/>
        <w:ind w:firstLine="420" w:firstLineChars="200"/>
        <w:contextualSpacing/>
        <w:rPr>
          <w:rFonts w:ascii="宋体" w:hAnsi="宋体"/>
          <w:szCs w:val="21"/>
        </w:rPr>
      </w:pPr>
      <w:r>
        <w:rPr>
          <w:rFonts w:hint="eastAsia" w:ascii="宋体" w:hAnsi="宋体"/>
          <w:szCs w:val="21"/>
        </w:rPr>
        <w:t>(2)质量、进度目标管理制度</w:t>
      </w:r>
    </w:p>
    <w:p w14:paraId="6F217857">
      <w:pPr>
        <w:spacing w:line="360" w:lineRule="auto"/>
        <w:ind w:firstLine="420" w:firstLineChars="200"/>
        <w:contextualSpacing/>
        <w:rPr>
          <w:rFonts w:ascii="宋体" w:hAnsi="宋体"/>
          <w:szCs w:val="21"/>
        </w:rPr>
      </w:pPr>
      <w:r>
        <w:rPr>
          <w:rFonts w:hint="eastAsia" w:ascii="宋体" w:hAnsi="宋体"/>
          <w:szCs w:val="21"/>
        </w:rPr>
        <w:t>(3)文明施工及场地清洁卫生管理制度</w:t>
      </w:r>
    </w:p>
    <w:p w14:paraId="6616FC00">
      <w:pPr>
        <w:spacing w:line="360" w:lineRule="auto"/>
        <w:ind w:firstLine="420" w:firstLineChars="200"/>
        <w:contextualSpacing/>
        <w:rPr>
          <w:rFonts w:ascii="宋体" w:hAnsi="宋体"/>
          <w:szCs w:val="21"/>
        </w:rPr>
      </w:pPr>
      <w:r>
        <w:rPr>
          <w:rFonts w:hint="eastAsia" w:ascii="宋体" w:hAnsi="宋体"/>
          <w:szCs w:val="21"/>
        </w:rPr>
        <w:t>(4)施工用电管理制度</w:t>
      </w:r>
    </w:p>
    <w:p w14:paraId="2BFB416F">
      <w:pPr>
        <w:spacing w:line="360" w:lineRule="auto"/>
        <w:ind w:firstLine="420" w:firstLineChars="200"/>
        <w:contextualSpacing/>
        <w:rPr>
          <w:rFonts w:ascii="宋体" w:hAnsi="宋体"/>
          <w:szCs w:val="21"/>
        </w:rPr>
      </w:pPr>
      <w:r>
        <w:rPr>
          <w:rFonts w:hint="eastAsia" w:ascii="宋体" w:hAnsi="宋体"/>
          <w:szCs w:val="21"/>
        </w:rPr>
        <w:t>(5)“三宝”、“四口”“五临边”防护制度</w:t>
      </w:r>
    </w:p>
    <w:p w14:paraId="58017A43">
      <w:pPr>
        <w:spacing w:line="360" w:lineRule="auto"/>
        <w:ind w:firstLine="420" w:firstLineChars="200"/>
        <w:contextualSpacing/>
        <w:rPr>
          <w:rFonts w:ascii="宋体" w:hAnsi="宋体"/>
          <w:szCs w:val="21"/>
        </w:rPr>
      </w:pPr>
      <w:r>
        <w:rPr>
          <w:rFonts w:hint="eastAsia" w:ascii="宋体" w:hAnsi="宋体"/>
          <w:szCs w:val="21"/>
        </w:rPr>
        <w:t>(6)成品保护制度</w:t>
      </w:r>
    </w:p>
    <w:p w14:paraId="39FC689C">
      <w:pPr>
        <w:spacing w:line="360" w:lineRule="auto"/>
        <w:ind w:firstLine="420" w:firstLineChars="200"/>
        <w:contextualSpacing/>
        <w:rPr>
          <w:rFonts w:ascii="宋体" w:hAnsi="宋体"/>
          <w:szCs w:val="21"/>
        </w:rPr>
      </w:pPr>
      <w:r>
        <w:rPr>
          <w:rFonts w:hint="eastAsia" w:ascii="宋体" w:hAnsi="宋体"/>
          <w:szCs w:val="21"/>
        </w:rPr>
        <w:t>(7)动火管理制度</w:t>
      </w:r>
    </w:p>
    <w:p w14:paraId="7C92862D">
      <w:pPr>
        <w:spacing w:line="360" w:lineRule="auto"/>
        <w:ind w:firstLine="420" w:firstLineChars="200"/>
        <w:contextualSpacing/>
        <w:rPr>
          <w:rFonts w:ascii="宋体" w:hAnsi="宋体"/>
          <w:szCs w:val="21"/>
        </w:rPr>
      </w:pPr>
      <w:r>
        <w:rPr>
          <w:rFonts w:hint="eastAsia" w:ascii="宋体" w:hAnsi="宋体"/>
          <w:szCs w:val="21"/>
        </w:rPr>
        <w:t>(8)其它规章制度</w:t>
      </w:r>
    </w:p>
    <w:p w14:paraId="4F41E818">
      <w:pPr>
        <w:spacing w:line="360" w:lineRule="auto"/>
        <w:ind w:firstLine="420" w:firstLineChars="200"/>
        <w:contextualSpacing/>
        <w:rPr>
          <w:rFonts w:ascii="宋体" w:hAnsi="宋体"/>
          <w:szCs w:val="21"/>
        </w:rPr>
      </w:pPr>
      <w:r>
        <w:rPr>
          <w:rFonts w:hint="eastAsia" w:ascii="宋体" w:hAnsi="宋体"/>
          <w:szCs w:val="21"/>
        </w:rPr>
        <w:t>3、各项目部应认真执行如下规定。</w:t>
      </w:r>
    </w:p>
    <w:p w14:paraId="5938D566">
      <w:pPr>
        <w:spacing w:line="360" w:lineRule="auto"/>
        <w:ind w:firstLine="420" w:firstLineChars="200"/>
        <w:contextualSpacing/>
        <w:rPr>
          <w:rFonts w:ascii="宋体" w:hAnsi="宋体"/>
          <w:szCs w:val="21"/>
        </w:rPr>
      </w:pPr>
      <w:r>
        <w:rPr>
          <w:rFonts w:hint="eastAsia" w:ascii="宋体" w:hAnsi="宋体"/>
          <w:szCs w:val="21"/>
        </w:rPr>
        <w:t>(1)各施工单位的项目经理必须坚守工作岗位,遇有特殊情况需要离开施工现场必须向承包人、监理请假</w:t>
      </w:r>
      <w:r>
        <w:rPr>
          <w:rFonts w:ascii="宋体" w:hAnsi="宋体"/>
          <w:szCs w:val="21"/>
        </w:rPr>
        <w:t>,经同意后才能离开。</w:t>
      </w:r>
    </w:p>
    <w:p w14:paraId="62CD9E85">
      <w:pPr>
        <w:spacing w:line="360" w:lineRule="auto"/>
        <w:ind w:firstLine="420" w:firstLineChars="200"/>
        <w:contextualSpacing/>
        <w:rPr>
          <w:rFonts w:ascii="宋体" w:hAnsi="宋体"/>
          <w:szCs w:val="21"/>
        </w:rPr>
      </w:pPr>
      <w:r>
        <w:rPr>
          <w:rFonts w:ascii="宋体" w:hAnsi="宋体"/>
          <w:szCs w:val="21"/>
        </w:rPr>
        <w:t>(2)各项目部的质量和安全管理人员应认真履行工作职责,上述人员如有变动必须报发包人、</w:t>
      </w:r>
      <w:r>
        <w:rPr>
          <w:rFonts w:hint="eastAsia" w:ascii="宋体" w:hAnsi="宋体"/>
          <w:szCs w:val="21"/>
        </w:rPr>
        <w:t>监理同意。</w:t>
      </w:r>
    </w:p>
    <w:p w14:paraId="24BA0723">
      <w:pPr>
        <w:spacing w:line="360" w:lineRule="auto"/>
        <w:ind w:firstLine="420" w:firstLineChars="200"/>
        <w:contextualSpacing/>
        <w:rPr>
          <w:rFonts w:ascii="宋体" w:hAnsi="宋体"/>
          <w:szCs w:val="21"/>
        </w:rPr>
      </w:pPr>
      <w:r>
        <w:rPr>
          <w:rFonts w:ascii="宋体" w:hAnsi="宋体"/>
          <w:szCs w:val="21"/>
        </w:rPr>
        <w:t>(3)各项目部在施工前应认真编制施工方案,并上报</w:t>
      </w:r>
      <w:r>
        <w:rPr>
          <w:rFonts w:hint="eastAsia" w:ascii="宋体" w:hAnsi="宋体"/>
          <w:szCs w:val="21"/>
        </w:rPr>
        <w:t>监理、发包人审核</w:t>
      </w:r>
      <w:r>
        <w:rPr>
          <w:rFonts w:ascii="宋体" w:hAnsi="宋体"/>
          <w:szCs w:val="21"/>
        </w:rPr>
        <w:t>,经审核同意后严格按方案实施,对重点部位应按要求编制专项施工方案。</w:t>
      </w:r>
    </w:p>
    <w:p w14:paraId="7D85018A">
      <w:pPr>
        <w:spacing w:line="360" w:lineRule="auto"/>
        <w:ind w:firstLine="420" w:firstLineChars="200"/>
        <w:contextualSpacing/>
        <w:rPr>
          <w:rFonts w:ascii="宋体" w:hAnsi="宋体"/>
          <w:szCs w:val="21"/>
        </w:rPr>
      </w:pPr>
      <w:r>
        <w:rPr>
          <w:rFonts w:ascii="宋体" w:hAnsi="宋体"/>
          <w:szCs w:val="21"/>
        </w:rPr>
        <w:t>(4)隐蔽工程应先进行自检,自检合格后报</w:t>
      </w:r>
      <w:r>
        <w:rPr>
          <w:rFonts w:hint="eastAsia" w:ascii="宋体" w:hAnsi="宋体"/>
          <w:szCs w:val="21"/>
        </w:rPr>
        <w:t>监理及发包人进行隐蔽部位验收隐蔽工程在封闭前要求各施工单位执行会签制度。未经验收、会签不得擅自封闭。</w:t>
      </w:r>
    </w:p>
    <w:p w14:paraId="1849ACC3">
      <w:pPr>
        <w:spacing w:line="360" w:lineRule="auto"/>
        <w:ind w:firstLine="420" w:firstLineChars="200"/>
        <w:contextualSpacing/>
        <w:rPr>
          <w:rFonts w:ascii="宋体" w:hAnsi="宋体"/>
          <w:szCs w:val="21"/>
        </w:rPr>
      </w:pPr>
      <w:r>
        <w:rPr>
          <w:rFonts w:ascii="宋体" w:hAnsi="宋体"/>
          <w:szCs w:val="21"/>
        </w:rPr>
        <w:t>(5)所有进场施工材料必须经</w:t>
      </w:r>
      <w:r>
        <w:rPr>
          <w:rFonts w:hint="eastAsia" w:ascii="宋体" w:hAnsi="宋体"/>
          <w:szCs w:val="21"/>
        </w:rPr>
        <w:t>监理、发包人验收合格后才能使用</w:t>
      </w:r>
      <w:r>
        <w:rPr>
          <w:rFonts w:ascii="宋体" w:hAnsi="宋体"/>
          <w:szCs w:val="21"/>
        </w:rPr>
        <w:t>,材料如需复试,必须待试验合格后方可使用。同时不合格的进场</w:t>
      </w:r>
      <w:r>
        <w:rPr>
          <w:rFonts w:hint="eastAsia" w:ascii="宋体" w:hAnsi="宋体"/>
          <w:szCs w:val="21"/>
        </w:rPr>
        <w:t>材料要求立即退场,若已使用必须拆除。工程材料需及时提供样品,征得业主、监理确认同意后,按样品进行验收。</w:t>
      </w:r>
    </w:p>
    <w:p w14:paraId="7D8A7C79">
      <w:pPr>
        <w:spacing w:line="360" w:lineRule="auto"/>
        <w:ind w:firstLine="420" w:firstLineChars="200"/>
        <w:contextualSpacing/>
        <w:rPr>
          <w:rFonts w:ascii="宋体" w:hAnsi="宋体"/>
          <w:szCs w:val="21"/>
        </w:rPr>
      </w:pPr>
      <w:r>
        <w:rPr>
          <w:rFonts w:hint="eastAsia" w:ascii="宋体" w:hAnsi="宋体"/>
          <w:szCs w:val="21"/>
        </w:rPr>
        <w:t>(6)加强现场安全保卫工作,所有施工单位进场人员必须佩带胸牌上岗,进入施工现场必须配戴安全帽。</w:t>
      </w:r>
    </w:p>
    <w:p w14:paraId="1F478302">
      <w:pPr>
        <w:spacing w:line="360" w:lineRule="auto"/>
        <w:ind w:firstLine="420" w:firstLineChars="200"/>
        <w:contextualSpacing/>
        <w:rPr>
          <w:rFonts w:ascii="宋体" w:hAnsi="宋体"/>
          <w:szCs w:val="21"/>
        </w:rPr>
      </w:pPr>
      <w:r>
        <w:rPr>
          <w:rFonts w:hint="eastAsia" w:ascii="宋体" w:hAnsi="宋体"/>
          <w:szCs w:val="21"/>
        </w:rPr>
        <w:t>(7)未施工的材料应要善保管,已施工完毕的成品必须加强保护(附件:成品地面、门窗成品保护要求),同时要求做好防火、防盗和用电安全管理等工作。</w:t>
      </w:r>
    </w:p>
    <w:p w14:paraId="63C09B90">
      <w:pPr>
        <w:spacing w:line="360" w:lineRule="auto"/>
        <w:ind w:firstLine="420" w:firstLineChars="200"/>
        <w:contextualSpacing/>
        <w:rPr>
          <w:rFonts w:ascii="宋体" w:hAnsi="宋体"/>
          <w:szCs w:val="21"/>
        </w:rPr>
      </w:pPr>
      <w:r>
        <w:rPr>
          <w:rFonts w:hint="eastAsia" w:ascii="宋体" w:hAnsi="宋体"/>
          <w:szCs w:val="21"/>
        </w:rPr>
        <w:t>(8)保持施工现场环境卫生整洁。建筑垃圾、生活垃圾及时清理,按指定地点堆放。</w:t>
      </w:r>
    </w:p>
    <w:p w14:paraId="150137B7">
      <w:pPr>
        <w:spacing w:line="360" w:lineRule="auto"/>
        <w:ind w:firstLine="420" w:firstLineChars="200"/>
        <w:contextualSpacing/>
        <w:rPr>
          <w:rFonts w:ascii="宋体" w:hAnsi="宋体"/>
          <w:szCs w:val="21"/>
        </w:rPr>
      </w:pPr>
      <w:r>
        <w:rPr>
          <w:rFonts w:hint="eastAsia" w:ascii="宋体" w:hAnsi="宋体"/>
          <w:szCs w:val="21"/>
        </w:rPr>
        <w:t>(9)施工单位必须按照图纸施工,施工中如需调整与变更应及时办理变更手续,并严格执行。</w:t>
      </w:r>
    </w:p>
    <w:p w14:paraId="3509FFAD">
      <w:pPr>
        <w:spacing w:line="360" w:lineRule="auto"/>
        <w:ind w:firstLine="420" w:firstLineChars="200"/>
        <w:contextualSpacing/>
        <w:rPr>
          <w:rFonts w:ascii="宋体" w:hAnsi="宋体"/>
          <w:szCs w:val="21"/>
        </w:rPr>
      </w:pPr>
      <w:r>
        <w:rPr>
          <w:rFonts w:hint="eastAsia" w:ascii="宋体" w:hAnsi="宋体"/>
          <w:szCs w:val="21"/>
        </w:rPr>
        <w:t>(10)对监理、业主发现的工程施工质量、安全问题,各施工单位应按发包人、监理意见积极整改到位。</w:t>
      </w:r>
    </w:p>
    <w:p w14:paraId="5B72461D">
      <w:pPr>
        <w:spacing w:line="360" w:lineRule="auto"/>
        <w:ind w:firstLine="420" w:firstLineChars="200"/>
        <w:contextualSpacing/>
        <w:rPr>
          <w:rFonts w:ascii="宋体" w:hAnsi="宋体"/>
          <w:szCs w:val="21"/>
        </w:rPr>
      </w:pPr>
      <w:r>
        <w:rPr>
          <w:rFonts w:hint="eastAsia" w:ascii="宋体" w:hAnsi="宋体"/>
          <w:szCs w:val="21"/>
        </w:rPr>
        <w:t>(11)各施工单位应树立全局观念,主动积极做好协调、配合工作,不得故意刁难,相互扯皮。</w:t>
      </w:r>
    </w:p>
    <w:p w14:paraId="2DD47F27">
      <w:pPr>
        <w:spacing w:line="360" w:lineRule="auto"/>
        <w:ind w:firstLine="420" w:firstLineChars="200"/>
        <w:contextualSpacing/>
        <w:rPr>
          <w:rFonts w:ascii="宋体" w:hAnsi="宋体"/>
          <w:szCs w:val="21"/>
        </w:rPr>
      </w:pPr>
      <w:r>
        <w:rPr>
          <w:rFonts w:hint="eastAsia" w:ascii="宋体" w:hAnsi="宋体"/>
          <w:szCs w:val="21"/>
        </w:rPr>
        <w:t>(12)各施工单位必须对照施工合同,严格履行合同承诺。</w:t>
      </w:r>
    </w:p>
    <w:p w14:paraId="6D33695B">
      <w:pPr>
        <w:spacing w:line="360" w:lineRule="auto"/>
        <w:ind w:firstLine="420" w:firstLineChars="200"/>
        <w:contextualSpacing/>
        <w:rPr>
          <w:rFonts w:ascii="宋体" w:hAnsi="宋体"/>
          <w:szCs w:val="21"/>
        </w:rPr>
      </w:pPr>
      <w:r>
        <w:rPr>
          <w:rFonts w:hint="eastAsia" w:ascii="宋体" w:hAnsi="宋体"/>
          <w:szCs w:val="21"/>
        </w:rPr>
        <w:t>二、施工管理处罚规定:</w:t>
      </w:r>
    </w:p>
    <w:p w14:paraId="3944FCEA">
      <w:pPr>
        <w:spacing w:line="360" w:lineRule="auto"/>
        <w:ind w:firstLine="420" w:firstLineChars="200"/>
        <w:contextualSpacing/>
        <w:rPr>
          <w:rFonts w:ascii="宋体" w:hAnsi="宋体"/>
          <w:szCs w:val="21"/>
        </w:rPr>
      </w:pPr>
      <w:r>
        <w:rPr>
          <w:rFonts w:hint="eastAsia" w:ascii="宋体" w:hAnsi="宋体"/>
          <w:szCs w:val="21"/>
        </w:rPr>
        <w:t>凡出现下列情况者给予处罚如下:</w:t>
      </w:r>
    </w:p>
    <w:p w14:paraId="3B7DD1D6">
      <w:pPr>
        <w:spacing w:line="360" w:lineRule="auto"/>
        <w:ind w:firstLine="420" w:firstLineChars="200"/>
        <w:contextualSpacing/>
        <w:rPr>
          <w:rFonts w:ascii="宋体" w:hAnsi="宋体"/>
          <w:szCs w:val="21"/>
        </w:rPr>
      </w:pPr>
      <w:r>
        <w:rPr>
          <w:rFonts w:hint="eastAsia" w:ascii="宋体" w:hAnsi="宋体"/>
          <w:szCs w:val="21"/>
        </w:rPr>
        <w:t>1、文明施工方面:</w:t>
      </w:r>
    </w:p>
    <w:p w14:paraId="119A2BF9">
      <w:pPr>
        <w:spacing w:line="360" w:lineRule="auto"/>
        <w:ind w:firstLine="420" w:firstLineChars="200"/>
        <w:contextualSpacing/>
        <w:rPr>
          <w:rFonts w:ascii="宋体" w:hAnsi="宋体"/>
          <w:szCs w:val="21"/>
        </w:rPr>
      </w:pPr>
      <w:r>
        <w:rPr>
          <w:rFonts w:hint="eastAsia" w:ascii="宋体" w:hAnsi="宋体"/>
          <w:szCs w:val="21"/>
        </w:rPr>
        <w:t>(1)各单位人员进入现场施工必须佩戴工作卡,发现无卡人员每人次处罚50元。</w:t>
      </w:r>
    </w:p>
    <w:p w14:paraId="1FB8F131">
      <w:pPr>
        <w:spacing w:line="360" w:lineRule="auto"/>
        <w:ind w:firstLine="420" w:firstLineChars="200"/>
        <w:contextualSpacing/>
        <w:rPr>
          <w:rFonts w:ascii="宋体" w:hAnsi="宋体"/>
          <w:szCs w:val="21"/>
        </w:rPr>
      </w:pPr>
      <w:r>
        <w:rPr>
          <w:rFonts w:hint="eastAsia" w:ascii="宋体" w:hAnsi="宋体"/>
          <w:szCs w:val="21"/>
        </w:rPr>
        <w:t>(2)施工作业人员不准穿拖鞋、高跟鞋、赤膊,发现一人次处罚50元。严禁酒后进入施工区作业,发现一人次罚款50元。严禁家眷、小孩进入施工区,每发现一人次处罚50元。</w:t>
      </w:r>
    </w:p>
    <w:p w14:paraId="172AFE08">
      <w:pPr>
        <w:spacing w:line="360" w:lineRule="auto"/>
        <w:ind w:firstLine="420" w:firstLineChars="200"/>
        <w:contextualSpacing/>
        <w:rPr>
          <w:rFonts w:ascii="宋体" w:hAnsi="宋体"/>
          <w:szCs w:val="21"/>
        </w:rPr>
      </w:pPr>
      <w:r>
        <w:rPr>
          <w:rFonts w:hint="eastAsia" w:ascii="宋体" w:hAnsi="宋体"/>
          <w:szCs w:val="21"/>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34BA0E65">
      <w:pPr>
        <w:spacing w:line="360" w:lineRule="auto"/>
        <w:ind w:firstLine="420" w:firstLineChars="200"/>
        <w:contextualSpacing/>
        <w:rPr>
          <w:rFonts w:ascii="宋体" w:hAnsi="宋体"/>
          <w:szCs w:val="21"/>
        </w:rPr>
      </w:pPr>
      <w:r>
        <w:rPr>
          <w:rFonts w:hint="eastAsia" w:ascii="宋体" w:hAnsi="宋体"/>
          <w:szCs w:val="21"/>
        </w:rPr>
        <w:t>(4)在建建筑物内除仓库保管员及保卫人员外,其余人员严禁入住,发现一次处罚200元。</w:t>
      </w:r>
    </w:p>
    <w:p w14:paraId="0D784F0E">
      <w:pPr>
        <w:spacing w:line="360" w:lineRule="auto"/>
        <w:ind w:firstLine="420" w:firstLineChars="200"/>
        <w:contextualSpacing/>
        <w:rPr>
          <w:rFonts w:ascii="宋体" w:hAnsi="宋体"/>
          <w:szCs w:val="21"/>
        </w:rPr>
      </w:pPr>
      <w:r>
        <w:rPr>
          <w:rFonts w:hint="eastAsia" w:ascii="宋体" w:hAnsi="宋体"/>
          <w:szCs w:val="21"/>
        </w:rPr>
        <w:t>(5)现场施工人员盗窃发现一次立即开除,按造成直接损失的3倍进行赔偿。情节严重者送当地公安部门处理。</w:t>
      </w:r>
    </w:p>
    <w:p w14:paraId="267B1090">
      <w:pPr>
        <w:spacing w:line="360" w:lineRule="auto"/>
        <w:ind w:firstLine="420" w:firstLineChars="200"/>
        <w:contextualSpacing/>
        <w:rPr>
          <w:rFonts w:ascii="宋体" w:hAnsi="宋体"/>
          <w:szCs w:val="21"/>
        </w:rPr>
      </w:pPr>
      <w:r>
        <w:rPr>
          <w:rFonts w:hint="eastAsia" w:ascii="宋体" w:hAnsi="宋体"/>
          <w:szCs w:val="21"/>
        </w:rPr>
        <w:t>(6)施工现场严禁赌博、打架斗殴,每发现一次处罚500元,情节严重者送当地公安部门处理。</w:t>
      </w:r>
    </w:p>
    <w:p w14:paraId="5C0F838B">
      <w:pPr>
        <w:spacing w:line="360" w:lineRule="auto"/>
        <w:ind w:firstLine="420" w:firstLineChars="200"/>
        <w:contextualSpacing/>
        <w:rPr>
          <w:rFonts w:ascii="宋体" w:hAnsi="宋体"/>
          <w:szCs w:val="21"/>
        </w:rPr>
      </w:pPr>
      <w:r>
        <w:rPr>
          <w:rFonts w:hint="eastAsia" w:ascii="宋体" w:hAnsi="宋体"/>
          <w:szCs w:val="21"/>
        </w:rPr>
        <w:t>(7)夜间施工必须有足够的照明设施,楼梯通道必须设置安全照明灯。每发现一处不合格处罚200元。</w:t>
      </w:r>
    </w:p>
    <w:p w14:paraId="0189D097">
      <w:pPr>
        <w:spacing w:line="360" w:lineRule="auto"/>
        <w:ind w:firstLine="420" w:firstLineChars="200"/>
        <w:contextualSpacing/>
        <w:rPr>
          <w:rFonts w:ascii="宋体" w:hAnsi="宋体"/>
          <w:szCs w:val="21"/>
        </w:rPr>
      </w:pPr>
      <w:r>
        <w:rPr>
          <w:rFonts w:ascii="宋体" w:hAnsi="宋体"/>
          <w:szCs w:val="21"/>
        </w:rPr>
        <w:t>(8)发现施工现场环境脏、乱、差每次处罚200元。</w:t>
      </w:r>
      <w:r>
        <w:rPr>
          <w:rFonts w:hint="eastAsia" w:ascii="宋体" w:hAnsi="宋体"/>
          <w:szCs w:val="21"/>
        </w:rPr>
        <w:t>监理通知后仍不积极整改</w:t>
      </w:r>
      <w:r>
        <w:rPr>
          <w:rFonts w:ascii="宋体" w:hAnsi="宋体"/>
          <w:szCs w:val="21"/>
        </w:rPr>
        <w:t>,汇报业主派人清理,费用从相关施工单位工程款中扣除。</w:t>
      </w:r>
    </w:p>
    <w:p w14:paraId="5A5FD826">
      <w:pPr>
        <w:spacing w:line="360" w:lineRule="auto"/>
        <w:ind w:firstLine="420" w:firstLineChars="200"/>
        <w:contextualSpacing/>
        <w:rPr>
          <w:rFonts w:ascii="宋体" w:hAnsi="宋体"/>
          <w:szCs w:val="21"/>
        </w:rPr>
      </w:pPr>
      <w:r>
        <w:rPr>
          <w:rFonts w:ascii="宋体" w:hAnsi="宋体"/>
          <w:szCs w:val="21"/>
        </w:rPr>
        <w:t>(9)建筑物内各标段应设置临时厕所，严禁随地大小便,每发现一次处罚50元。</w:t>
      </w:r>
    </w:p>
    <w:p w14:paraId="69884AE3">
      <w:pPr>
        <w:spacing w:line="360" w:lineRule="auto"/>
        <w:ind w:firstLine="420" w:firstLineChars="200"/>
        <w:contextualSpacing/>
        <w:rPr>
          <w:rFonts w:ascii="宋体" w:hAnsi="宋体"/>
          <w:szCs w:val="21"/>
        </w:rPr>
      </w:pPr>
      <w:r>
        <w:rPr>
          <w:rFonts w:ascii="宋体" w:hAnsi="宋体"/>
          <w:szCs w:val="21"/>
        </w:rPr>
        <w:t>(10)自行车、电动车、摩托车按指定地点停放,不得进入建筑物施工现场内，每发现一辆处罚50元。</w:t>
      </w:r>
    </w:p>
    <w:p w14:paraId="01F574AF">
      <w:pPr>
        <w:spacing w:line="360" w:lineRule="auto"/>
        <w:ind w:firstLine="420" w:firstLineChars="200"/>
        <w:contextualSpacing/>
        <w:rPr>
          <w:rFonts w:ascii="宋体" w:hAnsi="宋体"/>
          <w:szCs w:val="21"/>
        </w:rPr>
      </w:pPr>
      <w:r>
        <w:rPr>
          <w:rFonts w:ascii="宋体" w:hAnsi="宋体"/>
          <w:szCs w:val="21"/>
        </w:rPr>
        <w:t>2、现场管理方面:</w:t>
      </w:r>
    </w:p>
    <w:p w14:paraId="166F01E9">
      <w:pPr>
        <w:spacing w:line="360" w:lineRule="auto"/>
        <w:ind w:firstLine="420" w:firstLineChars="200"/>
        <w:contextualSpacing/>
        <w:rPr>
          <w:rFonts w:ascii="宋体" w:hAnsi="宋体"/>
          <w:szCs w:val="21"/>
        </w:rPr>
      </w:pPr>
      <w:r>
        <w:rPr>
          <w:rFonts w:ascii="宋体" w:hAnsi="宋体"/>
          <w:szCs w:val="21"/>
        </w:rPr>
        <w:t>(I)各施工单位在施工中相互扯皮不协调配合,造成返工或浪费所产生的费用由业主、</w:t>
      </w:r>
      <w:r>
        <w:rPr>
          <w:rFonts w:hint="eastAsia" w:ascii="宋体" w:hAnsi="宋体"/>
          <w:szCs w:val="21"/>
        </w:rPr>
        <w:t>监理按实进行核算</w:t>
      </w:r>
      <w:r>
        <w:rPr>
          <w:rFonts w:ascii="宋体" w:hAnsi="宋体"/>
          <w:szCs w:val="21"/>
        </w:rPr>
        <w:t>,在工程款中予以扣除。</w:t>
      </w:r>
    </w:p>
    <w:p w14:paraId="257E4FA3">
      <w:pPr>
        <w:spacing w:line="360" w:lineRule="auto"/>
        <w:ind w:firstLine="420" w:firstLineChars="200"/>
        <w:contextualSpacing/>
        <w:rPr>
          <w:rFonts w:ascii="宋体" w:hAnsi="宋体"/>
          <w:szCs w:val="21"/>
        </w:rPr>
      </w:pPr>
      <w:r>
        <w:rPr>
          <w:rFonts w:ascii="宋体" w:hAnsi="宋体"/>
          <w:szCs w:val="21"/>
        </w:rPr>
        <w:t>(2)各施工单位未按业主、</w:t>
      </w:r>
      <w:r>
        <w:rPr>
          <w:rFonts w:hint="eastAsia" w:ascii="宋体" w:hAnsi="宋体"/>
          <w:szCs w:val="21"/>
        </w:rPr>
        <w:t>监理要求时间完成配合工作</w:t>
      </w:r>
      <w:r>
        <w:rPr>
          <w:rFonts w:ascii="宋体" w:hAnsi="宋体"/>
          <w:szCs w:val="21"/>
        </w:rPr>
        <w:t>,造成其它施工单位工期延误,出现一次处罚1000元,为不影响总体进度,业主、</w:t>
      </w:r>
      <w:r>
        <w:rPr>
          <w:rFonts w:hint="eastAsia" w:ascii="宋体" w:hAnsi="宋体"/>
          <w:szCs w:val="21"/>
        </w:rPr>
        <w:t>监理有权另请其它单位进行施工</w:t>
      </w:r>
      <w:r>
        <w:rPr>
          <w:rFonts w:ascii="宋体" w:hAnsi="宋体"/>
          <w:szCs w:val="21"/>
        </w:rPr>
        <w:t>,费用从施工单位工程款中扣除。</w:t>
      </w:r>
    </w:p>
    <w:p w14:paraId="77EFD5AE">
      <w:pPr>
        <w:spacing w:line="360" w:lineRule="auto"/>
        <w:ind w:firstLine="420" w:firstLineChars="200"/>
        <w:contextualSpacing/>
        <w:rPr>
          <w:rFonts w:ascii="宋体" w:hAnsi="宋体"/>
          <w:szCs w:val="21"/>
        </w:rPr>
      </w:pPr>
      <w:r>
        <w:rPr>
          <w:rFonts w:ascii="宋体" w:hAnsi="宋体"/>
          <w:szCs w:val="21"/>
        </w:rPr>
        <w:t>(3)因施工方原因影响群众利益,造成负面影晌,导致群众堵工上访或新闻媒体曝光的,每发生一次罚款10000元。</w:t>
      </w:r>
    </w:p>
    <w:p w14:paraId="05C5D390">
      <w:pPr>
        <w:spacing w:line="360" w:lineRule="auto"/>
        <w:ind w:firstLine="420" w:firstLineChars="200"/>
        <w:contextualSpacing/>
        <w:rPr>
          <w:rFonts w:ascii="宋体" w:hAnsi="宋体"/>
          <w:szCs w:val="21"/>
        </w:rPr>
      </w:pPr>
      <w:r>
        <w:rPr>
          <w:rFonts w:ascii="宋体" w:hAnsi="宋体"/>
          <w:szCs w:val="21"/>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4DB02A12">
      <w:pPr>
        <w:spacing w:line="360" w:lineRule="auto"/>
        <w:ind w:firstLine="420" w:firstLineChars="200"/>
        <w:contextualSpacing/>
        <w:rPr>
          <w:rFonts w:ascii="宋体" w:hAnsi="宋体"/>
          <w:szCs w:val="21"/>
        </w:rPr>
      </w:pPr>
      <w:r>
        <w:rPr>
          <w:rFonts w:ascii="宋体" w:hAnsi="宋体"/>
          <w:szCs w:val="21"/>
        </w:rPr>
        <w:t>(5)现场项目经理、主要负责人必须每天在现场6小时以上,召开工程例会有关人员无故缺席的,有特殊情况需提前请假。违反规定,每人次每天处罚1000元。</w:t>
      </w:r>
    </w:p>
    <w:p w14:paraId="0EEEB727">
      <w:pPr>
        <w:spacing w:line="360" w:lineRule="auto"/>
        <w:ind w:firstLine="420" w:firstLineChars="200"/>
        <w:contextualSpacing/>
        <w:rPr>
          <w:rFonts w:ascii="宋体" w:hAnsi="宋体"/>
          <w:szCs w:val="21"/>
        </w:rPr>
      </w:pPr>
      <w:r>
        <w:rPr>
          <w:rFonts w:ascii="宋体" w:hAnsi="宋体"/>
          <w:szCs w:val="21"/>
        </w:rPr>
        <w:t>(6)施工单位需对进场材料及时报验,未经业主、</w:t>
      </w:r>
      <w:r>
        <w:rPr>
          <w:rFonts w:hint="eastAsia" w:ascii="宋体" w:hAnsi="宋体"/>
          <w:szCs w:val="21"/>
        </w:rPr>
        <w:t>监理单位验收合格擅自使用</w:t>
      </w:r>
      <w:r>
        <w:rPr>
          <w:rFonts w:ascii="宋体" w:hAnsi="宋体"/>
          <w:szCs w:val="21"/>
        </w:rPr>
        <w:t>,处罚责任单位1000元。工程材料便用劣质、冒牌材料,发现一</w:t>
      </w:r>
      <w:r>
        <w:rPr>
          <w:rFonts w:hint="eastAsia" w:ascii="宋体" w:hAnsi="宋体"/>
          <w:szCs w:val="21"/>
        </w:rPr>
        <w:t>次除按合同有关条款处罚外,再处罚责任单位3000元。</w:t>
      </w:r>
    </w:p>
    <w:p w14:paraId="779D092E">
      <w:pPr>
        <w:spacing w:line="360" w:lineRule="auto"/>
        <w:ind w:firstLine="420" w:firstLineChars="200"/>
        <w:contextualSpacing/>
        <w:rPr>
          <w:rFonts w:ascii="宋体" w:hAnsi="宋体"/>
          <w:szCs w:val="21"/>
        </w:rPr>
      </w:pPr>
      <w:r>
        <w:rPr>
          <w:rFonts w:hint="eastAsia" w:ascii="宋体" w:hAnsi="宋体"/>
          <w:szCs w:val="21"/>
        </w:rPr>
        <w:t>(7)施工方如果发现现场实物与图纸内容不符,需及时上报监理、业主</w:t>
      </w:r>
      <w:r>
        <w:rPr>
          <w:rFonts w:ascii="宋体" w:hAnsi="宋体"/>
          <w:szCs w:val="21"/>
        </w:rPr>
        <w:t>,严禁盲目施工,发现一次处罚责任单位2000元。</w:t>
      </w:r>
    </w:p>
    <w:p w14:paraId="1069FC5C">
      <w:pPr>
        <w:spacing w:line="360" w:lineRule="auto"/>
        <w:ind w:firstLine="420" w:firstLineChars="200"/>
        <w:contextualSpacing/>
        <w:rPr>
          <w:rFonts w:ascii="宋体" w:hAnsi="宋体"/>
          <w:szCs w:val="21"/>
        </w:rPr>
      </w:pPr>
      <w:r>
        <w:rPr>
          <w:rFonts w:ascii="宋体" w:hAnsi="宋体"/>
          <w:szCs w:val="21"/>
        </w:rPr>
        <w:t>(8)各单位做好现场成品保护工作,保护好自己和他人的工程成品,一经查实损害他人成品,按实价赔偿。若发现恶意破坏他人成品现象,发现一次按造成直接损失的3倍进行赔偿。</w:t>
      </w:r>
    </w:p>
    <w:p w14:paraId="626F08A7">
      <w:pPr>
        <w:spacing w:line="360" w:lineRule="auto"/>
        <w:ind w:firstLine="420" w:firstLineChars="200"/>
        <w:contextualSpacing/>
        <w:rPr>
          <w:rFonts w:ascii="宋体" w:hAnsi="宋体"/>
          <w:szCs w:val="21"/>
        </w:rPr>
      </w:pPr>
      <w:r>
        <w:rPr>
          <w:rFonts w:ascii="宋体" w:hAnsi="宋体"/>
          <w:szCs w:val="21"/>
        </w:rPr>
        <w:t>(9)现场材料堆放严禁超过设计荷载值,发现一次处罚责任单位1000元。</w:t>
      </w:r>
    </w:p>
    <w:p w14:paraId="30E1E006">
      <w:pPr>
        <w:spacing w:line="360" w:lineRule="auto"/>
        <w:ind w:firstLine="420" w:firstLineChars="200"/>
        <w:contextualSpacing/>
        <w:rPr>
          <w:rFonts w:ascii="宋体" w:hAnsi="宋体"/>
          <w:szCs w:val="21"/>
        </w:rPr>
      </w:pPr>
      <w:r>
        <w:rPr>
          <w:rFonts w:ascii="宋体" w:hAnsi="宋体"/>
          <w:szCs w:val="21"/>
        </w:rPr>
        <w:t>(10)若工程被质量监督部门、安全监督部门或其它建筑主管部门通报批评,出现一次处罚责任单位5000元。</w:t>
      </w:r>
    </w:p>
    <w:p w14:paraId="5B6E26BD">
      <w:pPr>
        <w:spacing w:line="360" w:lineRule="auto"/>
        <w:ind w:firstLine="420" w:firstLineChars="200"/>
        <w:contextualSpacing/>
        <w:rPr>
          <w:rFonts w:ascii="宋体" w:hAnsi="宋体"/>
          <w:szCs w:val="21"/>
        </w:rPr>
      </w:pPr>
      <w:r>
        <w:rPr>
          <w:rFonts w:ascii="宋体" w:hAnsi="宋体"/>
          <w:szCs w:val="21"/>
        </w:rPr>
        <w:t>(11)各施工单位应积极主动配合各类检查、观摩活动,由于现场工作未做到位导致不良后果,视情节严重情况,出现一次处罚责任单位200―500元。</w:t>
      </w:r>
    </w:p>
    <w:p w14:paraId="2E9B0F75">
      <w:pPr>
        <w:spacing w:line="360" w:lineRule="auto"/>
        <w:ind w:firstLine="420" w:firstLineChars="200"/>
        <w:contextualSpacing/>
        <w:rPr>
          <w:rFonts w:ascii="宋体" w:hAnsi="宋体"/>
          <w:szCs w:val="21"/>
        </w:rPr>
      </w:pPr>
      <w:r>
        <w:rPr>
          <w:rFonts w:ascii="宋体" w:hAnsi="宋体"/>
          <w:szCs w:val="21"/>
        </w:rPr>
        <w:t>(12)不服从业主、</w:t>
      </w:r>
      <w:r>
        <w:rPr>
          <w:rFonts w:hint="eastAsia" w:ascii="宋体" w:hAnsi="宋体"/>
          <w:szCs w:val="21"/>
        </w:rPr>
        <w:t>监理人员管理</w:t>
      </w:r>
      <w:r>
        <w:rPr>
          <w:rFonts w:ascii="宋体" w:hAnsi="宋体"/>
          <w:szCs w:val="21"/>
        </w:rPr>
        <w:t>,出现漫骂、侮辱、殴打现场业主、</w:t>
      </w:r>
      <w:r>
        <w:rPr>
          <w:rFonts w:hint="eastAsia" w:ascii="宋体" w:hAnsi="宋体"/>
          <w:szCs w:val="21"/>
        </w:rPr>
        <w:t>监理人员</w:t>
      </w:r>
      <w:r>
        <w:rPr>
          <w:rFonts w:ascii="宋体" w:hAnsi="宋体"/>
          <w:szCs w:val="21"/>
        </w:rPr>
        <w:t>,发现一次处罚1000元,责任人员限期退场。</w:t>
      </w:r>
    </w:p>
    <w:p w14:paraId="145260DD">
      <w:pPr>
        <w:spacing w:line="360" w:lineRule="auto"/>
        <w:ind w:firstLine="420" w:firstLineChars="200"/>
        <w:contextualSpacing/>
        <w:rPr>
          <w:rFonts w:ascii="宋体" w:hAnsi="宋体"/>
          <w:szCs w:val="21"/>
        </w:rPr>
      </w:pPr>
      <w:r>
        <w:rPr>
          <w:rFonts w:ascii="宋体" w:hAnsi="宋体"/>
          <w:szCs w:val="21"/>
        </w:rPr>
        <w:t>(13)上道工序未经业主、</w:t>
      </w:r>
      <w:r>
        <w:rPr>
          <w:rFonts w:hint="eastAsia" w:ascii="宋体" w:hAnsi="宋体"/>
          <w:szCs w:val="21"/>
        </w:rPr>
        <w:t>监理验收合格</w:t>
      </w:r>
      <w:r>
        <w:rPr>
          <w:rFonts w:ascii="宋体" w:hAnsi="宋体"/>
          <w:szCs w:val="21"/>
        </w:rPr>
        <w:t>,擅自进入下道工序施工,隐蔽工程未经业主、</w:t>
      </w:r>
      <w:r>
        <w:rPr>
          <w:rFonts w:hint="eastAsia" w:ascii="宋体" w:hAnsi="宋体"/>
          <w:szCs w:val="21"/>
        </w:rPr>
        <w:t>监理检查合格擅白隐蔽</w:t>
      </w:r>
      <w:r>
        <w:rPr>
          <w:rFonts w:ascii="宋体" w:hAnsi="宋体"/>
          <w:szCs w:val="21"/>
        </w:rPr>
        <w:t>,进行剥露检验,质量不符合要求,返工费用由施工单位承担,出现一次处罚1000元。</w:t>
      </w:r>
    </w:p>
    <w:p w14:paraId="77FF96FA">
      <w:pPr>
        <w:spacing w:line="360" w:lineRule="auto"/>
        <w:ind w:firstLine="420" w:firstLineChars="200"/>
        <w:contextualSpacing/>
        <w:rPr>
          <w:rFonts w:ascii="宋体" w:hAnsi="宋体"/>
          <w:szCs w:val="21"/>
        </w:rPr>
      </w:pPr>
      <w:r>
        <w:rPr>
          <w:rFonts w:ascii="宋体" w:hAnsi="宋体"/>
          <w:szCs w:val="21"/>
        </w:rPr>
        <w:t>(14)</w:t>
      </w:r>
      <w:r>
        <w:rPr>
          <w:rFonts w:hint="eastAsia" w:ascii="宋体" w:hAnsi="宋体"/>
          <w:szCs w:val="21"/>
        </w:rPr>
        <w:t>监理、业主如发现的工程施工质量、安全问题</w:t>
      </w:r>
      <w:r>
        <w:rPr>
          <w:rFonts w:ascii="宋体" w:hAnsi="宋体"/>
          <w:szCs w:val="21"/>
        </w:rPr>
        <w:t>,第一次以书面形式告知并限期整改,在期限内未能及时整改到位,发现一次处罚200元,第二次告知仍不积极整改,发现一次处罚500元。</w:t>
      </w:r>
    </w:p>
    <w:p w14:paraId="1A71AD9E">
      <w:pPr>
        <w:spacing w:line="360" w:lineRule="auto"/>
        <w:ind w:firstLine="420" w:firstLineChars="200"/>
        <w:contextualSpacing/>
        <w:rPr>
          <w:rFonts w:ascii="宋体" w:hAnsi="宋体"/>
          <w:szCs w:val="21"/>
        </w:rPr>
      </w:pPr>
      <w:r>
        <w:rPr>
          <w:rFonts w:ascii="宋体" w:hAnsi="宋体"/>
          <w:szCs w:val="21"/>
        </w:rPr>
        <w:t>(15)各施工单位在施工时,未经业主、</w:t>
      </w:r>
      <w:r>
        <w:rPr>
          <w:rFonts w:hint="eastAsia" w:ascii="宋体" w:hAnsi="宋体"/>
          <w:szCs w:val="21"/>
        </w:rPr>
        <w:t>监理同意</w:t>
      </w:r>
      <w:r>
        <w:rPr>
          <w:rFonts w:ascii="宋体" w:hAnsi="宋体"/>
          <w:szCs w:val="21"/>
        </w:rPr>
        <w:t>,不得擅自</w:t>
      </w:r>
      <w:r>
        <w:rPr>
          <w:rFonts w:hint="eastAsia" w:ascii="宋体" w:hAnsi="宋体"/>
          <w:szCs w:val="21"/>
        </w:rPr>
        <w:t>停水、停电、开挖道路、阻碍交通等影响其它单位施工行为。如出现上述问题,每发现一次罚款1000元,另再追究造成的停工间接损失。</w:t>
      </w:r>
    </w:p>
    <w:p w14:paraId="4F7BE46F">
      <w:pPr>
        <w:spacing w:line="360" w:lineRule="auto"/>
        <w:ind w:firstLine="420" w:firstLineChars="200"/>
        <w:contextualSpacing/>
        <w:rPr>
          <w:rFonts w:ascii="宋体" w:hAnsi="宋体"/>
          <w:szCs w:val="21"/>
        </w:rPr>
      </w:pPr>
      <w:r>
        <w:rPr>
          <w:rFonts w:hint="eastAsia" w:ascii="宋体" w:hAnsi="宋体"/>
          <w:szCs w:val="21"/>
        </w:rPr>
        <w:t>3、安全检查方面:</w:t>
      </w:r>
    </w:p>
    <w:p w14:paraId="729911F5">
      <w:pPr>
        <w:spacing w:line="360" w:lineRule="auto"/>
        <w:ind w:firstLine="420" w:firstLineChars="200"/>
        <w:contextualSpacing/>
        <w:rPr>
          <w:rFonts w:ascii="宋体" w:hAnsi="宋体"/>
          <w:szCs w:val="21"/>
        </w:rPr>
      </w:pPr>
      <w:r>
        <w:rPr>
          <w:rFonts w:hint="eastAsia" w:ascii="宋体" w:hAnsi="宋体"/>
          <w:szCs w:val="21"/>
        </w:rPr>
        <w:t>(1)在危险部位未设置明显的安全警示标志及防范措施,发现一处罚款50元。</w:t>
      </w:r>
    </w:p>
    <w:p w14:paraId="75BB78FB">
      <w:pPr>
        <w:spacing w:line="360" w:lineRule="auto"/>
        <w:ind w:firstLine="420" w:firstLineChars="200"/>
        <w:contextualSpacing/>
        <w:rPr>
          <w:rFonts w:ascii="宋体" w:hAnsi="宋体"/>
          <w:szCs w:val="21"/>
        </w:rPr>
      </w:pPr>
      <w:r>
        <w:rPr>
          <w:rFonts w:hint="eastAsia" w:ascii="宋体" w:hAnsi="宋体"/>
          <w:szCs w:val="21"/>
        </w:rPr>
        <w:t>(2)对危险性较大的部位,施工前未编制专项施工方案或方案未经施工单位技术负责人及总监审批擅自施工,每发现一次处罚500元。</w:t>
      </w:r>
    </w:p>
    <w:p w14:paraId="7C53C382">
      <w:pPr>
        <w:spacing w:line="360" w:lineRule="auto"/>
        <w:ind w:firstLine="420" w:firstLineChars="200"/>
        <w:contextualSpacing/>
        <w:rPr>
          <w:rFonts w:ascii="宋体" w:hAnsi="宋体"/>
          <w:szCs w:val="21"/>
        </w:rPr>
      </w:pPr>
      <w:r>
        <w:rPr>
          <w:rFonts w:hint="eastAsia" w:ascii="宋体" w:hAnsi="宋体"/>
          <w:szCs w:val="21"/>
        </w:rPr>
        <w:t>(3)分部分项工程施工前未对施工班组、作业人员进行安全技术交底,发现一次处罚200元。</w:t>
      </w:r>
    </w:p>
    <w:p w14:paraId="0809E57F">
      <w:pPr>
        <w:spacing w:line="360" w:lineRule="auto"/>
        <w:ind w:firstLine="420" w:firstLineChars="200"/>
        <w:contextualSpacing/>
        <w:rPr>
          <w:rFonts w:ascii="宋体" w:hAnsi="宋体"/>
          <w:szCs w:val="21"/>
        </w:rPr>
      </w:pPr>
      <w:r>
        <w:rPr>
          <w:rFonts w:hint="eastAsia" w:ascii="宋体" w:hAnsi="宋体"/>
          <w:szCs w:val="21"/>
        </w:rPr>
        <w:t>(4)施工负责人对工地现场安全未执行定期检查制度或检查无记录,发现一次处罚200元。</w:t>
      </w:r>
    </w:p>
    <w:p w14:paraId="29BB9E62">
      <w:pPr>
        <w:spacing w:line="360" w:lineRule="auto"/>
        <w:ind w:firstLine="420" w:firstLineChars="200"/>
        <w:contextualSpacing/>
        <w:rPr>
          <w:rFonts w:ascii="宋体" w:hAnsi="宋体"/>
          <w:szCs w:val="21"/>
        </w:rPr>
      </w:pPr>
      <w:r>
        <w:rPr>
          <w:rFonts w:hint="eastAsia" w:ascii="宋体" w:hAnsi="宋体"/>
          <w:szCs w:val="21"/>
        </w:rPr>
        <w:t>(5)无安全教育制度，新进场人员未进行三级安全教育，发现一次处罚100元。</w:t>
      </w:r>
    </w:p>
    <w:p w14:paraId="73DF5B00">
      <w:pPr>
        <w:spacing w:line="360" w:lineRule="auto"/>
        <w:ind w:firstLine="420" w:firstLineChars="200"/>
        <w:contextualSpacing/>
        <w:rPr>
          <w:rFonts w:ascii="宋体" w:hAnsi="宋体"/>
          <w:szCs w:val="21"/>
        </w:rPr>
      </w:pPr>
      <w:r>
        <w:rPr>
          <w:rFonts w:hint="eastAsia" w:ascii="宋体" w:hAnsi="宋体"/>
          <w:szCs w:val="21"/>
        </w:rPr>
        <w:t>(6)发现违章操作、野蛮施工或强令冒险作业,每发现一次处罚500元。</w:t>
      </w:r>
    </w:p>
    <w:p w14:paraId="1BFA236B">
      <w:pPr>
        <w:spacing w:line="360" w:lineRule="auto"/>
        <w:ind w:firstLine="420" w:firstLineChars="200"/>
        <w:contextualSpacing/>
        <w:rPr>
          <w:rFonts w:ascii="宋体" w:hAnsi="宋体"/>
          <w:szCs w:val="21"/>
        </w:rPr>
      </w:pPr>
      <w:r>
        <w:rPr>
          <w:rFonts w:hint="eastAsia" w:ascii="宋体" w:hAnsi="宋体"/>
          <w:szCs w:val="21"/>
        </w:rPr>
        <w:t>(7)严禁高空向下抛物、倾倒垃圾,每发现一次处罚200—500元，若造成人员伤害及财产损失,由当事人承担相关责任。</w:t>
      </w:r>
    </w:p>
    <w:p w14:paraId="04083788">
      <w:pPr>
        <w:spacing w:line="360" w:lineRule="auto"/>
        <w:ind w:firstLine="420" w:firstLineChars="200"/>
        <w:contextualSpacing/>
        <w:rPr>
          <w:rFonts w:ascii="宋体" w:hAnsi="宋体"/>
          <w:szCs w:val="21"/>
        </w:rPr>
      </w:pPr>
      <w:r>
        <w:rPr>
          <w:rFonts w:hint="eastAsia" w:ascii="宋体" w:hAnsi="宋体"/>
          <w:szCs w:val="21"/>
        </w:rPr>
        <w:t>(8)“三宝”使用不当，口”“五临边”防护不到位，每发现一次处罚100元(其中不戴安全帽,发现一人次处罚50元)。</w:t>
      </w:r>
    </w:p>
    <w:p w14:paraId="0FD4ECE7">
      <w:pPr>
        <w:spacing w:line="360" w:lineRule="auto"/>
        <w:ind w:firstLine="420" w:firstLineChars="200"/>
        <w:contextualSpacing/>
        <w:rPr>
          <w:rFonts w:ascii="宋体" w:hAnsi="宋体"/>
          <w:szCs w:val="21"/>
        </w:rPr>
      </w:pPr>
      <w:r>
        <w:rPr>
          <w:rFonts w:hint="eastAsia" w:ascii="宋体" w:hAnsi="宋体"/>
          <w:szCs w:val="21"/>
        </w:rPr>
        <w:t>(9)如发现违反用电安全情况时每次处罚100元。由于安全用电措施不落实、用电不规范导致不良后果,除按相关规定追究责任外,视情节轻重罚款200—2000元。</w:t>
      </w:r>
    </w:p>
    <w:p w14:paraId="2EE1395F">
      <w:pPr>
        <w:spacing w:line="360" w:lineRule="auto"/>
        <w:ind w:firstLine="420" w:firstLineChars="200"/>
        <w:contextualSpacing/>
        <w:rPr>
          <w:rFonts w:ascii="宋体" w:hAnsi="宋体"/>
          <w:szCs w:val="21"/>
        </w:rPr>
      </w:pPr>
      <w:r>
        <w:rPr>
          <w:rFonts w:hint="eastAsia" w:ascii="宋体" w:hAnsi="宋体"/>
          <w:szCs w:val="21"/>
        </w:rPr>
        <w:t>(10)脚手架搭设必须进行设计计算，编制搭拆方案，满足规范要求。严禁施工荷载超过规定要求。每发现一处不合格处罚500元。</w:t>
      </w:r>
    </w:p>
    <w:p w14:paraId="20EC842B">
      <w:pPr>
        <w:spacing w:line="360" w:lineRule="auto"/>
        <w:ind w:firstLine="420" w:firstLineChars="200"/>
        <w:contextualSpacing/>
        <w:rPr>
          <w:rFonts w:ascii="宋体" w:hAnsi="宋体"/>
          <w:szCs w:val="21"/>
        </w:rPr>
      </w:pPr>
      <w:r>
        <w:rPr>
          <w:rFonts w:hint="eastAsia" w:ascii="宋体" w:hAnsi="宋体"/>
          <w:szCs w:val="21"/>
        </w:rPr>
        <w:t>(11)电梯应指定专人进行操作,严禁电梯超荷载运行,按规定做好交接班。违反电梯使用规定,每发现一处不合格处罚200—500元。谁损坏谁赔偿。</w:t>
      </w:r>
    </w:p>
    <w:p w14:paraId="620782AA">
      <w:pPr>
        <w:spacing w:line="360" w:lineRule="auto"/>
        <w:ind w:firstLine="420" w:firstLineChars="200"/>
        <w:contextualSpacing/>
        <w:rPr>
          <w:rFonts w:ascii="宋体" w:hAnsi="宋体"/>
          <w:szCs w:val="21"/>
        </w:rPr>
      </w:pPr>
      <w:r>
        <w:rPr>
          <w:rFonts w:hint="eastAsia" w:ascii="宋体" w:hAnsi="宋体"/>
          <w:szCs w:val="21"/>
        </w:rPr>
        <w:t>(12)由于焊接火花、明火、吸烟、电火花等造成施工现场失火事件，除追究当事人责任外,再视情节轻重罚款500—2000元，并按造成直接损失进行赔偿。</w:t>
      </w:r>
    </w:p>
    <w:p w14:paraId="33798D6F">
      <w:pPr>
        <w:spacing w:line="360" w:lineRule="auto"/>
        <w:ind w:firstLine="420" w:firstLineChars="200"/>
        <w:contextualSpacing/>
        <w:rPr>
          <w:rFonts w:ascii="宋体" w:hAnsi="宋体"/>
          <w:szCs w:val="21"/>
        </w:rPr>
      </w:pPr>
      <w:r>
        <w:rPr>
          <w:rFonts w:hint="eastAsia" w:ascii="宋体" w:hAnsi="宋体"/>
          <w:szCs w:val="21"/>
        </w:rPr>
        <w:t>(13)因违反其它安全规定造成不良后果，由违反单位及责任者承担全部责任。</w:t>
      </w:r>
    </w:p>
    <w:p w14:paraId="179C6233">
      <w:pPr>
        <w:spacing w:line="360" w:lineRule="auto"/>
        <w:ind w:firstLine="420" w:firstLineChars="200"/>
        <w:contextualSpacing/>
        <w:rPr>
          <w:rFonts w:ascii="宋体" w:hAnsi="宋体"/>
          <w:szCs w:val="21"/>
        </w:rPr>
      </w:pPr>
      <w:r>
        <w:rPr>
          <w:rFonts w:hint="eastAsia" w:ascii="宋体" w:hAnsi="宋体"/>
          <w:szCs w:val="21"/>
        </w:rPr>
        <w:t>由业主、监理在日常工作中进行监督检查，</w:t>
      </w:r>
      <w:r>
        <w:rPr>
          <w:rFonts w:ascii="宋体" w:hAnsi="宋体"/>
          <w:szCs w:val="21"/>
        </w:rPr>
        <w:t>同时业主、</w:t>
      </w:r>
      <w:r>
        <w:rPr>
          <w:rFonts w:hint="eastAsia" w:ascii="宋体" w:hAnsi="宋体"/>
          <w:szCs w:val="21"/>
        </w:rPr>
        <w:t>监理不定期组织施工单位检查，</w:t>
      </w:r>
      <w:r>
        <w:rPr>
          <w:rFonts w:ascii="宋体" w:hAnsi="宋体"/>
          <w:szCs w:val="21"/>
        </w:rPr>
        <w:t>一经发现上述情况由业主、</w:t>
      </w:r>
      <w:r>
        <w:rPr>
          <w:rFonts w:hint="eastAsia" w:ascii="宋体" w:hAnsi="宋体"/>
          <w:szCs w:val="21"/>
        </w:rPr>
        <w:t>监理按规定进行处罚</w:t>
      </w:r>
      <w:r>
        <w:rPr>
          <w:rFonts w:ascii="宋体" w:hAnsi="宋体"/>
          <w:szCs w:val="21"/>
        </w:rPr>
        <w:t>,所有罚款在施工单位履约保证金或工程款中扣除。(本规定自公布之日起执行)</w:t>
      </w:r>
    </w:p>
    <w:p w14:paraId="53DB537E">
      <w:pPr>
        <w:spacing w:line="360" w:lineRule="auto"/>
        <w:ind w:firstLine="420" w:firstLineChars="200"/>
        <w:contextualSpacing/>
        <w:rPr>
          <w:rFonts w:ascii="宋体" w:hAnsi="宋体"/>
          <w:szCs w:val="21"/>
        </w:rPr>
      </w:pPr>
      <w:r>
        <w:rPr>
          <w:rFonts w:hint="eastAsia" w:ascii="宋体" w:hAnsi="宋体"/>
          <w:szCs w:val="21"/>
        </w:rPr>
        <w:t>附件：</w:t>
      </w:r>
    </w:p>
    <w:p w14:paraId="50196B4E">
      <w:pPr>
        <w:spacing w:line="360" w:lineRule="auto"/>
        <w:ind w:firstLine="420" w:firstLineChars="200"/>
        <w:contextualSpacing/>
        <w:rPr>
          <w:rFonts w:ascii="宋体" w:hAnsi="宋体"/>
          <w:szCs w:val="21"/>
        </w:rPr>
      </w:pPr>
      <w:r>
        <w:rPr>
          <w:rFonts w:hint="eastAsia" w:ascii="宋体" w:hAnsi="宋体"/>
          <w:szCs w:val="21"/>
        </w:rPr>
        <w:t>成品地面、门窗成品保护要求：</w:t>
      </w:r>
    </w:p>
    <w:p w14:paraId="5B77C743">
      <w:pPr>
        <w:spacing w:line="360" w:lineRule="auto"/>
        <w:ind w:firstLine="420" w:firstLineChars="200"/>
        <w:contextualSpacing/>
        <w:rPr>
          <w:rFonts w:ascii="宋体" w:hAnsi="宋体"/>
          <w:szCs w:val="21"/>
        </w:rPr>
      </w:pPr>
      <w:r>
        <w:rPr>
          <w:rFonts w:hint="eastAsia" w:ascii="宋体" w:hAnsi="宋体"/>
          <w:szCs w:val="21"/>
        </w:rPr>
        <w:t>要求地面开槽、凿洞须经业主、监理同意方可施工。</w:t>
      </w:r>
    </w:p>
    <w:p w14:paraId="36D549EE">
      <w:pPr>
        <w:spacing w:line="360" w:lineRule="auto"/>
        <w:ind w:firstLine="420" w:firstLineChars="200"/>
        <w:contextualSpacing/>
        <w:rPr>
          <w:rFonts w:ascii="宋体" w:hAnsi="宋体"/>
          <w:szCs w:val="21"/>
        </w:rPr>
      </w:pPr>
      <w:r>
        <w:rPr>
          <w:rFonts w:hint="eastAsia" w:ascii="宋体" w:hAnsi="宋体"/>
          <w:szCs w:val="21"/>
        </w:rPr>
        <w:t>成品地面必须有覆盖物保护措施。</w:t>
      </w:r>
    </w:p>
    <w:p w14:paraId="7056C92A">
      <w:pPr>
        <w:spacing w:line="360" w:lineRule="auto"/>
        <w:ind w:firstLine="420" w:firstLineChars="200"/>
        <w:contextualSpacing/>
        <w:rPr>
          <w:rFonts w:ascii="宋体" w:hAnsi="宋体"/>
          <w:szCs w:val="21"/>
        </w:rPr>
      </w:pPr>
      <w:r>
        <w:rPr>
          <w:rFonts w:hint="eastAsia" w:ascii="宋体" w:hAnsi="宋体"/>
          <w:szCs w:val="21"/>
        </w:rPr>
        <w:t>在成品地面上不允许进行切割、焊接、绞丝等施工作业。</w:t>
      </w:r>
    </w:p>
    <w:p w14:paraId="7AAE56CC">
      <w:pPr>
        <w:spacing w:line="360" w:lineRule="auto"/>
        <w:ind w:firstLine="420" w:firstLineChars="200"/>
        <w:contextualSpacing/>
        <w:rPr>
          <w:rFonts w:ascii="宋体" w:hAnsi="宋体"/>
          <w:szCs w:val="21"/>
        </w:rPr>
      </w:pPr>
      <w:r>
        <w:rPr>
          <w:rFonts w:hint="eastAsia" w:ascii="宋体" w:hAnsi="宋体"/>
          <w:szCs w:val="21"/>
        </w:rPr>
        <w:t>铁梯、脚手架等必须包护脚。</w:t>
      </w:r>
    </w:p>
    <w:p w14:paraId="72FB3F6A">
      <w:pPr>
        <w:spacing w:line="360" w:lineRule="auto"/>
        <w:ind w:firstLine="420" w:firstLineChars="200"/>
        <w:contextualSpacing/>
        <w:rPr>
          <w:rFonts w:ascii="宋体" w:hAnsi="宋体"/>
          <w:szCs w:val="21"/>
        </w:rPr>
      </w:pPr>
      <w:r>
        <w:rPr>
          <w:rFonts w:hint="eastAsia" w:ascii="宋体" w:hAnsi="宋体"/>
          <w:szCs w:val="21"/>
        </w:rPr>
        <w:t>地面防止被油污浸入污染。</w:t>
      </w:r>
    </w:p>
    <w:p w14:paraId="1EEF51A9">
      <w:pPr>
        <w:spacing w:line="360" w:lineRule="auto"/>
        <w:ind w:firstLine="420" w:firstLineChars="200"/>
        <w:contextualSpacing/>
        <w:rPr>
          <w:rFonts w:ascii="宋体" w:hAnsi="宋体"/>
          <w:szCs w:val="21"/>
        </w:rPr>
      </w:pPr>
      <w:r>
        <w:rPr>
          <w:rFonts w:hint="eastAsia" w:ascii="宋体" w:hAnsi="宋体"/>
          <w:szCs w:val="21"/>
        </w:rPr>
        <w:t>地面、门窗不准硬物、重物撞击及利物损伤，造成损坏或变形。</w:t>
      </w:r>
    </w:p>
    <w:p w14:paraId="0C2AC856">
      <w:pPr>
        <w:spacing w:line="360" w:lineRule="auto"/>
        <w:ind w:firstLine="420" w:firstLineChars="200"/>
        <w:contextualSpacing/>
        <w:rPr>
          <w:rFonts w:ascii="宋体" w:hAnsi="宋体"/>
          <w:szCs w:val="21"/>
        </w:rPr>
      </w:pPr>
      <w:r>
        <w:rPr>
          <w:rFonts w:hint="eastAsia" w:ascii="宋体" w:hAnsi="宋体"/>
          <w:szCs w:val="21"/>
        </w:rPr>
        <w:t>窗框上不允许搁置重物。</w:t>
      </w:r>
    </w:p>
    <w:p w14:paraId="4D8C0B35">
      <w:pPr>
        <w:spacing w:line="360" w:lineRule="auto"/>
        <w:ind w:firstLine="420" w:firstLineChars="200"/>
        <w:contextualSpacing/>
        <w:rPr>
          <w:rFonts w:ascii="宋体" w:hAnsi="宋体"/>
          <w:szCs w:val="21"/>
        </w:rPr>
      </w:pPr>
      <w:r>
        <w:rPr>
          <w:rFonts w:hint="eastAsia" w:ascii="宋体" w:hAnsi="宋体"/>
          <w:szCs w:val="21"/>
        </w:rPr>
        <w:t>幕墙及窗框防止被污染，必须有保护措施。</w:t>
      </w:r>
    </w:p>
    <w:p w14:paraId="3988F491">
      <w:pPr>
        <w:spacing w:line="360" w:lineRule="auto"/>
        <w:ind w:firstLine="420" w:firstLineChars="200"/>
        <w:contextualSpacing/>
        <w:rPr>
          <w:rFonts w:ascii="宋体" w:hAnsi="宋体"/>
          <w:szCs w:val="21"/>
        </w:rPr>
      </w:pPr>
      <w:r>
        <w:rPr>
          <w:rFonts w:hint="eastAsia" w:ascii="宋体" w:hAnsi="宋体"/>
          <w:szCs w:val="21"/>
        </w:rPr>
        <w:t>玻璃及易碎品防止损坏。</w:t>
      </w:r>
    </w:p>
    <w:p w14:paraId="0B4C35D7">
      <w:pPr>
        <w:spacing w:line="360" w:lineRule="auto"/>
        <w:ind w:firstLine="420" w:firstLineChars="200"/>
        <w:contextualSpacing/>
        <w:rPr>
          <w:rFonts w:ascii="宋体" w:hAnsi="宋体"/>
          <w:szCs w:val="21"/>
        </w:rPr>
      </w:pPr>
      <w:r>
        <w:rPr>
          <w:rFonts w:hint="eastAsia" w:ascii="宋体" w:hAnsi="宋体"/>
          <w:szCs w:val="21"/>
        </w:rPr>
        <w:t>防止玻璃被火花烧伤。</w:t>
      </w:r>
    </w:p>
    <w:p w14:paraId="11DE677C">
      <w:pPr>
        <w:spacing w:line="360" w:lineRule="auto"/>
        <w:ind w:firstLine="420" w:firstLineChars="200"/>
        <w:contextualSpacing/>
        <w:rPr>
          <w:rFonts w:ascii="宋体" w:hAnsi="宋体"/>
          <w:sz w:val="24"/>
        </w:rPr>
      </w:pPr>
      <w:r>
        <w:rPr>
          <w:rFonts w:hint="eastAsia" w:ascii="宋体" w:hAnsi="宋体"/>
          <w:szCs w:val="21"/>
        </w:rPr>
        <w:t>地面、门窗成品保护不到位，执行《施工场地管理规定》2、（8）条。</w:t>
      </w:r>
    </w:p>
    <w:p w14:paraId="192FD10F">
      <w:pPr>
        <w:snapToGrid w:val="0"/>
        <w:spacing w:before="120" w:beforeLines="50" w:after="120" w:afterLines="50" w:line="440" w:lineRule="exact"/>
        <w:ind w:left="594" w:leftChars="283" w:right="409" w:rightChars="195"/>
        <w:contextualSpacing/>
        <w:jc w:val="center"/>
        <w:rPr>
          <w:rFonts w:ascii="仿宋_GB2312" w:hAnsi="仿宋" w:eastAsia="仿宋_GB2312"/>
          <w:b/>
          <w:sz w:val="24"/>
        </w:rPr>
      </w:pPr>
    </w:p>
    <w:p w14:paraId="29B483FD">
      <w:pPr>
        <w:snapToGrid w:val="0"/>
        <w:spacing w:before="120" w:beforeLines="50" w:after="120" w:afterLines="50" w:line="440" w:lineRule="exact"/>
        <w:ind w:right="409" w:rightChars="195"/>
        <w:contextualSpacing/>
        <w:outlineLvl w:val="1"/>
        <w:rPr>
          <w:rFonts w:ascii="宋体" w:hAnsi="宋体"/>
          <w:b/>
          <w:sz w:val="28"/>
          <w:szCs w:val="28"/>
        </w:rPr>
      </w:pPr>
      <w:r>
        <w:rPr>
          <w:rFonts w:hint="eastAsia" w:ascii="仿宋_GB2312" w:hAnsi="仿宋" w:eastAsia="仿宋_GB2312"/>
          <w:b/>
          <w:sz w:val="24"/>
        </w:rPr>
        <w:br w:type="page"/>
      </w:r>
      <w:r>
        <w:rPr>
          <w:rFonts w:hint="eastAsia" w:ascii="宋体" w:hAnsi="宋体"/>
          <w:b/>
          <w:sz w:val="28"/>
          <w:szCs w:val="28"/>
        </w:rPr>
        <w:t>附件2</w:t>
      </w:r>
    </w:p>
    <w:p w14:paraId="4FD50078">
      <w:pPr>
        <w:spacing w:before="120" w:beforeLines="50" w:after="120" w:afterLines="50" w:line="440" w:lineRule="exact"/>
        <w:ind w:left="447" w:leftChars="213" w:right="409" w:rightChars="195" w:firstLine="424" w:firstLineChars="151"/>
        <w:jc w:val="center"/>
        <w:rPr>
          <w:rFonts w:ascii="宋体" w:hAnsi="宋体"/>
          <w:sz w:val="28"/>
          <w:szCs w:val="28"/>
        </w:rPr>
      </w:pPr>
      <w:r>
        <w:rPr>
          <w:rFonts w:hint="eastAsia" w:ascii="宋体" w:hAnsi="宋体"/>
          <w:b/>
          <w:sz w:val="28"/>
          <w:szCs w:val="28"/>
        </w:rPr>
        <w:t>建设工程安全文明施工管理办法</w:t>
      </w:r>
    </w:p>
    <w:p w14:paraId="729388A6">
      <w:pPr>
        <w:snapToGrid w:val="0"/>
        <w:spacing w:line="360" w:lineRule="auto"/>
        <w:ind w:firstLine="420" w:firstLineChars="200"/>
        <w:contextualSpacing/>
        <w:rPr>
          <w:rFonts w:ascii="宋体" w:hAnsi="宋体"/>
          <w:szCs w:val="21"/>
        </w:rPr>
      </w:pPr>
    </w:p>
    <w:p w14:paraId="3CD11EF3">
      <w:pPr>
        <w:snapToGrid w:val="0"/>
        <w:spacing w:line="360" w:lineRule="auto"/>
        <w:ind w:firstLine="420" w:firstLineChars="200"/>
        <w:contextualSpacing/>
        <w:rPr>
          <w:rFonts w:ascii="宋体" w:hAnsi="宋体"/>
          <w:szCs w:val="21"/>
        </w:rPr>
      </w:pPr>
      <w:r>
        <w:rPr>
          <w:rFonts w:hint="eastAsia" w:ascii="宋体" w:hAnsi="宋体"/>
          <w:szCs w:val="21"/>
        </w:rPr>
        <w:t>第一章总则</w:t>
      </w:r>
    </w:p>
    <w:p w14:paraId="0216C2EB">
      <w:pPr>
        <w:snapToGrid w:val="0"/>
        <w:spacing w:line="360" w:lineRule="auto"/>
        <w:ind w:firstLine="420" w:firstLineChars="200"/>
        <w:contextualSpacing/>
        <w:rPr>
          <w:rFonts w:ascii="宋体" w:hAnsi="宋体"/>
          <w:szCs w:val="21"/>
        </w:rPr>
      </w:pPr>
      <w:r>
        <w:rPr>
          <w:rFonts w:hint="eastAsia" w:ascii="宋体" w:hAnsi="宋体"/>
          <w:szCs w:val="21"/>
        </w:rPr>
        <w:t>第一条为了切实加强医院基本建设安全文明施工管理,根据建设部有关安全文明施工的规定,结合我院实际,制定本管理办法。</w:t>
      </w:r>
    </w:p>
    <w:p w14:paraId="437B244F">
      <w:pPr>
        <w:snapToGrid w:val="0"/>
        <w:spacing w:line="360" w:lineRule="auto"/>
        <w:ind w:firstLine="420" w:firstLineChars="200"/>
        <w:contextualSpacing/>
        <w:rPr>
          <w:rFonts w:ascii="宋体" w:hAnsi="宋体"/>
          <w:szCs w:val="21"/>
        </w:rPr>
      </w:pPr>
      <w:r>
        <w:rPr>
          <w:rFonts w:hint="eastAsia" w:ascii="宋体" w:hAnsi="宋体"/>
          <w:szCs w:val="21"/>
        </w:rPr>
        <w:t>第二条凡在院区范围内从事有基建办负责管理的基本建设、改扩建及维修工程的施工单位</w:t>
      </w:r>
      <w:r>
        <w:rPr>
          <w:rFonts w:ascii="宋体" w:hAnsi="宋体"/>
          <w:szCs w:val="21"/>
        </w:rPr>
        <w:t>,必须遵守本办法。</w:t>
      </w:r>
    </w:p>
    <w:p w14:paraId="23FB4C68">
      <w:pPr>
        <w:snapToGrid w:val="0"/>
        <w:spacing w:line="360" w:lineRule="auto"/>
        <w:ind w:firstLine="420" w:firstLineChars="200"/>
        <w:contextualSpacing/>
        <w:rPr>
          <w:rFonts w:ascii="宋体" w:hAnsi="宋体"/>
          <w:szCs w:val="21"/>
        </w:rPr>
      </w:pPr>
      <w:r>
        <w:rPr>
          <w:rFonts w:hint="eastAsia" w:ascii="宋体" w:hAnsi="宋体"/>
          <w:szCs w:val="21"/>
        </w:rPr>
        <w:t>第三条施工单位、监理单位是安全文明施工的责任主体</w:t>
      </w:r>
      <w:r>
        <w:rPr>
          <w:rFonts w:ascii="宋体" w:hAnsi="宋体"/>
          <w:szCs w:val="21"/>
        </w:rPr>
        <w:t>,对其施工、</w:t>
      </w:r>
      <w:r>
        <w:rPr>
          <w:rFonts w:hint="eastAsia" w:ascii="宋体" w:hAnsi="宋体"/>
          <w:szCs w:val="21"/>
        </w:rPr>
        <w:t>监理范围内工程的安全文明施工负责。基建办有关管理人员负协助管理责任。</w:t>
      </w:r>
    </w:p>
    <w:p w14:paraId="5FD5CB13">
      <w:pPr>
        <w:snapToGrid w:val="0"/>
        <w:spacing w:line="360" w:lineRule="auto"/>
        <w:ind w:firstLine="420" w:firstLineChars="200"/>
        <w:contextualSpacing/>
        <w:rPr>
          <w:rFonts w:ascii="宋体" w:hAnsi="宋体"/>
          <w:szCs w:val="21"/>
        </w:rPr>
      </w:pPr>
      <w:r>
        <w:rPr>
          <w:rFonts w:hint="eastAsia" w:ascii="宋体" w:hAnsi="宋体"/>
          <w:szCs w:val="21"/>
        </w:rPr>
        <w:t>第四条施工单位、监理单位及基建办指派的现场管理人员要对安全文明施工采取切实可行的措施</w:t>
      </w:r>
      <w:r>
        <w:rPr>
          <w:rFonts w:ascii="宋体" w:hAnsi="宋体"/>
          <w:szCs w:val="21"/>
        </w:rPr>
        <w:t>,严格按照建设部有关安全文明施工的规定组织施工,防止安全事故和不文</w:t>
      </w:r>
      <w:r>
        <w:rPr>
          <w:rFonts w:hint="eastAsia" w:ascii="宋体" w:hAnsi="宋体"/>
          <w:szCs w:val="21"/>
        </w:rPr>
        <w:t>明行为的发生。具体条款参照建设部最新规定相关条款执行。</w:t>
      </w:r>
    </w:p>
    <w:p w14:paraId="00E83F7D">
      <w:pPr>
        <w:snapToGrid w:val="0"/>
        <w:spacing w:line="360" w:lineRule="auto"/>
        <w:ind w:firstLine="420" w:firstLineChars="200"/>
        <w:contextualSpacing/>
        <w:rPr>
          <w:rFonts w:ascii="宋体" w:hAnsi="宋体"/>
          <w:szCs w:val="21"/>
        </w:rPr>
      </w:pPr>
      <w:r>
        <w:rPr>
          <w:rFonts w:hint="eastAsia" w:ascii="宋体" w:hAnsi="宋体"/>
          <w:szCs w:val="21"/>
        </w:rPr>
        <w:t>第二章施工现场安全文明管理</w:t>
      </w:r>
    </w:p>
    <w:p w14:paraId="47ECA039">
      <w:pPr>
        <w:snapToGrid w:val="0"/>
        <w:spacing w:line="360" w:lineRule="auto"/>
        <w:ind w:firstLine="420" w:firstLineChars="200"/>
        <w:contextualSpacing/>
        <w:rPr>
          <w:rFonts w:ascii="宋体" w:hAnsi="宋体"/>
          <w:szCs w:val="21"/>
        </w:rPr>
      </w:pPr>
      <w:r>
        <w:rPr>
          <w:rFonts w:hint="eastAsia" w:ascii="宋体" w:hAnsi="宋体"/>
          <w:szCs w:val="21"/>
        </w:rPr>
        <w:t>第五条施工场地四周围墙设置高度应不低于1.8米,在主要路段工地施工的围墙设置应不低于2.5米。围墙须沿工地四周连续设置,并建有门楼和值班室。围墙及门楼材料要坚固,做到稳定、整洁、美观。</w:t>
      </w:r>
    </w:p>
    <w:p w14:paraId="2B2CEEE8">
      <w:pPr>
        <w:snapToGrid w:val="0"/>
        <w:spacing w:line="360" w:lineRule="auto"/>
        <w:ind w:firstLine="420" w:firstLineChars="200"/>
        <w:contextualSpacing/>
        <w:rPr>
          <w:rFonts w:ascii="宋体" w:hAnsi="宋体"/>
          <w:szCs w:val="21"/>
        </w:rPr>
      </w:pPr>
      <w:r>
        <w:rPr>
          <w:rFonts w:hint="eastAsia" w:ascii="宋体" w:hAnsi="宋体"/>
          <w:szCs w:val="21"/>
        </w:rPr>
        <w:t>第六条施工门楼前必须设置企业标志,新建或改扩建项目平面布置图、效果图,以及工程概况、组织管理网络、文明施工管理、安全生产牌。十项安全技术措施，消防须知牌等各种现场管理制度。</w:t>
      </w:r>
    </w:p>
    <w:p w14:paraId="04106858">
      <w:pPr>
        <w:snapToGrid w:val="0"/>
        <w:spacing w:line="360" w:lineRule="auto"/>
        <w:ind w:firstLine="420" w:firstLineChars="200"/>
        <w:contextualSpacing/>
        <w:rPr>
          <w:rFonts w:ascii="宋体" w:hAnsi="宋体"/>
          <w:szCs w:val="21"/>
        </w:rPr>
      </w:pPr>
      <w:r>
        <w:rPr>
          <w:rFonts w:hint="eastAsia" w:ascii="宋体" w:hAnsi="宋体"/>
          <w:szCs w:val="21"/>
        </w:rPr>
        <w:t>第七条施工现场必须配备责任心强的值班人员,实行封闭式管理。施工作业人员和工作人员进出施工现场必须佩戴工作卡,非现场工作人员未经批准不得擅自进入施工现场。</w:t>
      </w:r>
    </w:p>
    <w:p w14:paraId="450AED88">
      <w:pPr>
        <w:snapToGrid w:val="0"/>
        <w:spacing w:line="360" w:lineRule="auto"/>
        <w:ind w:firstLine="420" w:firstLineChars="200"/>
        <w:contextualSpacing/>
        <w:rPr>
          <w:rFonts w:ascii="宋体" w:hAnsi="宋体"/>
          <w:szCs w:val="21"/>
        </w:rPr>
      </w:pPr>
      <w:r>
        <w:rPr>
          <w:rFonts w:hint="eastAsia" w:ascii="宋体" w:hAnsi="宋体"/>
          <w:szCs w:val="21"/>
        </w:rPr>
        <w:t>第八条现场施工人员及其工作人员必须佩戴安全帽。同时现场应配备一定数量的安全帽,以便供外来参观和检查人员使用。</w:t>
      </w:r>
    </w:p>
    <w:p w14:paraId="6C72AA69">
      <w:pPr>
        <w:snapToGrid w:val="0"/>
        <w:spacing w:line="360" w:lineRule="auto"/>
        <w:ind w:firstLine="420" w:firstLineChars="200"/>
        <w:contextualSpacing/>
        <w:rPr>
          <w:rFonts w:ascii="宋体" w:hAnsi="宋体"/>
          <w:szCs w:val="21"/>
        </w:rPr>
      </w:pPr>
      <w:r>
        <w:rPr>
          <w:rFonts w:hint="eastAsia" w:ascii="宋体" w:hAnsi="宋体"/>
          <w:szCs w:val="21"/>
        </w:rPr>
        <w:t>第九条主要出入口和通道口应设置有顶盖的安全防护,临近道路和其它建筑物的外墙立面或有其它要求的外墙立面应采取封闭施工。</w:t>
      </w:r>
    </w:p>
    <w:p w14:paraId="29B3DFFA">
      <w:pPr>
        <w:snapToGrid w:val="0"/>
        <w:spacing w:line="360" w:lineRule="auto"/>
        <w:ind w:firstLine="420" w:firstLineChars="200"/>
        <w:contextualSpacing/>
        <w:rPr>
          <w:rFonts w:ascii="宋体" w:hAnsi="宋体"/>
          <w:szCs w:val="21"/>
        </w:rPr>
      </w:pPr>
      <w:r>
        <w:rPr>
          <w:rFonts w:hint="eastAsia" w:ascii="宋体" w:hAnsi="宋体"/>
          <w:szCs w:val="21"/>
        </w:rPr>
        <w:t>第十条现场施工必须严格遵守国家有关安全文明施工的规定和规范要求，严禁违规操作。</w:t>
      </w:r>
    </w:p>
    <w:p w14:paraId="6EF94662">
      <w:pPr>
        <w:snapToGrid w:val="0"/>
        <w:spacing w:line="360" w:lineRule="auto"/>
        <w:ind w:firstLine="420" w:firstLineChars="200"/>
        <w:contextualSpacing/>
        <w:rPr>
          <w:rFonts w:ascii="宋体" w:hAnsi="宋体"/>
          <w:szCs w:val="21"/>
        </w:rPr>
      </w:pPr>
      <w:r>
        <w:rPr>
          <w:rFonts w:hint="eastAsia" w:ascii="宋体" w:hAnsi="宋体"/>
          <w:szCs w:val="21"/>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1B1BAF24">
      <w:pPr>
        <w:snapToGrid w:val="0"/>
        <w:spacing w:line="360" w:lineRule="auto"/>
        <w:ind w:firstLine="420" w:firstLineChars="200"/>
        <w:contextualSpacing/>
        <w:rPr>
          <w:rFonts w:ascii="宋体" w:hAnsi="宋体"/>
          <w:szCs w:val="21"/>
        </w:rPr>
      </w:pPr>
      <w:r>
        <w:rPr>
          <w:rFonts w:hint="eastAsia" w:ascii="宋体" w:hAnsi="宋体"/>
          <w:szCs w:val="21"/>
        </w:rPr>
        <w:t>第十二条施工现场道路和材料堆放场地必须硬化,排水通畅,保证施工现场无积水。</w:t>
      </w:r>
    </w:p>
    <w:p w14:paraId="618DC09C">
      <w:pPr>
        <w:snapToGrid w:val="0"/>
        <w:spacing w:line="360" w:lineRule="auto"/>
        <w:ind w:firstLine="420" w:firstLineChars="200"/>
        <w:contextualSpacing/>
        <w:rPr>
          <w:rFonts w:ascii="宋体" w:hAnsi="宋体"/>
          <w:szCs w:val="21"/>
        </w:rPr>
      </w:pPr>
      <w:r>
        <w:rPr>
          <w:rFonts w:hint="eastAsia" w:ascii="宋体" w:hAnsi="宋体"/>
          <w:szCs w:val="21"/>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57087845">
      <w:pPr>
        <w:snapToGrid w:val="0"/>
        <w:spacing w:line="360" w:lineRule="auto"/>
        <w:ind w:firstLine="420" w:firstLineChars="200"/>
        <w:contextualSpacing/>
        <w:rPr>
          <w:rFonts w:ascii="宋体" w:hAnsi="宋体"/>
          <w:szCs w:val="21"/>
        </w:rPr>
      </w:pPr>
      <w:r>
        <w:rPr>
          <w:rFonts w:hint="eastAsia" w:ascii="宋体" w:hAnsi="宋体"/>
          <w:szCs w:val="21"/>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3A9A9D89">
      <w:pPr>
        <w:snapToGrid w:val="0"/>
        <w:spacing w:line="360" w:lineRule="auto"/>
        <w:ind w:firstLine="420" w:firstLineChars="200"/>
        <w:contextualSpacing/>
        <w:rPr>
          <w:rFonts w:ascii="宋体" w:hAnsi="宋体"/>
          <w:szCs w:val="21"/>
        </w:rPr>
      </w:pPr>
      <w:r>
        <w:rPr>
          <w:rFonts w:hint="eastAsia" w:ascii="宋体" w:hAnsi="宋体"/>
          <w:szCs w:val="21"/>
        </w:rPr>
        <w:t>第十五条施工现场的建筑废料和垃圾要及时清理外运,做到工完料尽场清。严格按要求运至基建办指定地点。严禁未经批准随处乱倒建筑废料和垃圾。</w:t>
      </w:r>
    </w:p>
    <w:p w14:paraId="0021864B">
      <w:pPr>
        <w:snapToGrid w:val="0"/>
        <w:spacing w:line="360" w:lineRule="auto"/>
        <w:ind w:firstLine="420" w:firstLineChars="200"/>
        <w:contextualSpacing/>
        <w:rPr>
          <w:rFonts w:ascii="宋体" w:hAnsi="宋体"/>
          <w:szCs w:val="21"/>
        </w:rPr>
      </w:pPr>
      <w:r>
        <w:rPr>
          <w:rFonts w:hint="eastAsia" w:ascii="宋体" w:hAnsi="宋体"/>
          <w:szCs w:val="21"/>
        </w:rPr>
        <w:t>第十六条生活区必须与施工作业区分开。正在施工的工程不得用作施工单位职工宿舍、项目部办公室。生活临时用房要按基建办指定地点新建,工程完工后应将其场地清理干净。</w:t>
      </w:r>
    </w:p>
    <w:p w14:paraId="0C3657E7">
      <w:pPr>
        <w:snapToGrid w:val="0"/>
        <w:spacing w:line="360" w:lineRule="auto"/>
        <w:ind w:firstLine="420" w:firstLineChars="200"/>
        <w:contextualSpacing/>
        <w:rPr>
          <w:rFonts w:ascii="宋体" w:hAnsi="宋体"/>
          <w:szCs w:val="21"/>
        </w:rPr>
      </w:pPr>
      <w:r>
        <w:rPr>
          <w:rFonts w:hint="eastAsia" w:ascii="宋体" w:hAnsi="宋体"/>
          <w:szCs w:val="21"/>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16CD7380">
      <w:pPr>
        <w:snapToGrid w:val="0"/>
        <w:spacing w:line="360" w:lineRule="auto"/>
        <w:ind w:firstLine="420" w:firstLineChars="200"/>
        <w:contextualSpacing/>
        <w:rPr>
          <w:rFonts w:ascii="宋体" w:hAnsi="宋体"/>
          <w:szCs w:val="21"/>
        </w:rPr>
      </w:pPr>
      <w:r>
        <w:rPr>
          <w:rFonts w:hint="eastAsia" w:ascii="宋体" w:hAnsi="宋体"/>
          <w:szCs w:val="21"/>
        </w:rPr>
        <w:t>第十八条施工现场应制定防火制度,落实防火责任人。施工单位要认真贯彻“以防为主,防消结合”的方针。现场要配足必备的灭火器材,提供充足的消防水源,并建有临时休息室,严禁作业人员乱扔烟头。</w:t>
      </w:r>
    </w:p>
    <w:p w14:paraId="1B5691E9">
      <w:pPr>
        <w:snapToGrid w:val="0"/>
        <w:spacing w:line="360" w:lineRule="auto"/>
        <w:ind w:firstLine="420" w:firstLineChars="200"/>
        <w:contextualSpacing/>
        <w:rPr>
          <w:rFonts w:ascii="宋体" w:hAnsi="宋体"/>
          <w:szCs w:val="21"/>
        </w:rPr>
      </w:pPr>
      <w:r>
        <w:rPr>
          <w:rFonts w:hint="eastAsia" w:ascii="宋体" w:hAnsi="宋体"/>
          <w:szCs w:val="21"/>
        </w:rPr>
        <w:t>第十九条施工现场应设置自冲式男、女厕所,严禁作业人员随地大小便。</w:t>
      </w:r>
    </w:p>
    <w:p w14:paraId="131DA755">
      <w:pPr>
        <w:snapToGrid w:val="0"/>
        <w:spacing w:line="360" w:lineRule="auto"/>
        <w:ind w:firstLine="420" w:firstLineChars="200"/>
        <w:contextualSpacing/>
        <w:rPr>
          <w:rFonts w:ascii="宋体" w:hAnsi="宋体"/>
          <w:szCs w:val="21"/>
        </w:rPr>
      </w:pPr>
      <w:r>
        <w:rPr>
          <w:rFonts w:hint="eastAsia" w:ascii="宋体" w:hAnsi="宋体"/>
          <w:szCs w:val="21"/>
        </w:rPr>
        <w:t>第三章安全文明综合治理</w:t>
      </w:r>
    </w:p>
    <w:p w14:paraId="51BEC419">
      <w:pPr>
        <w:snapToGrid w:val="0"/>
        <w:spacing w:line="360" w:lineRule="auto"/>
        <w:ind w:firstLine="420" w:firstLineChars="200"/>
        <w:contextualSpacing/>
        <w:rPr>
          <w:rFonts w:ascii="宋体" w:hAnsi="宋体"/>
          <w:szCs w:val="21"/>
        </w:rPr>
      </w:pPr>
      <w:r>
        <w:rPr>
          <w:rFonts w:hint="eastAsia" w:ascii="宋体" w:hAnsi="宋体"/>
          <w:szCs w:val="21"/>
        </w:rPr>
        <w:t>第二十条施工单位的所有人员必须遵守国家的法律法规。各施工单位应定期对其职工加强安全文明教育和遵纪守法教育。</w:t>
      </w:r>
    </w:p>
    <w:p w14:paraId="7B240AD9">
      <w:pPr>
        <w:snapToGrid w:val="0"/>
        <w:spacing w:line="360" w:lineRule="auto"/>
        <w:ind w:firstLine="420" w:firstLineChars="200"/>
        <w:contextualSpacing/>
        <w:rPr>
          <w:rFonts w:ascii="宋体" w:hAnsi="宋体"/>
          <w:szCs w:val="21"/>
        </w:rPr>
      </w:pPr>
      <w:r>
        <w:rPr>
          <w:rFonts w:hint="eastAsia" w:ascii="宋体" w:hAnsi="宋体"/>
          <w:szCs w:val="21"/>
        </w:rPr>
        <w:t>第二十一条施工单位应建立安全文明管理制度,采取切实可行的安全保卫和文明管理措施,落实责任人,坚决杜绝不安全和不文明行为的发生,严禁打架斗殴、赌博、行窃等违法违纪行为。</w:t>
      </w:r>
    </w:p>
    <w:p w14:paraId="25E46B9E">
      <w:pPr>
        <w:snapToGrid w:val="0"/>
        <w:spacing w:line="360" w:lineRule="auto"/>
        <w:ind w:firstLine="420" w:firstLineChars="200"/>
        <w:contextualSpacing/>
        <w:rPr>
          <w:rFonts w:ascii="宋体" w:hAnsi="宋体"/>
          <w:szCs w:val="21"/>
        </w:rPr>
      </w:pPr>
      <w:r>
        <w:rPr>
          <w:rFonts w:hint="eastAsia" w:ascii="宋体" w:hAnsi="宋体"/>
          <w:szCs w:val="21"/>
        </w:rPr>
        <w:t>第二十二条加强施工人员生活区管理。生活区的食堂、厕所与垃圾箱应保持一定的距离。生活区与现场作业区相邻时,场内须设置带盖的垃圾桶。生活垃圾与建筑垃圾应分开堆放和处置。</w:t>
      </w:r>
    </w:p>
    <w:p w14:paraId="7495AD12">
      <w:pPr>
        <w:snapToGrid w:val="0"/>
        <w:spacing w:line="360" w:lineRule="auto"/>
        <w:ind w:firstLine="420" w:firstLineChars="200"/>
        <w:contextualSpacing/>
        <w:rPr>
          <w:rFonts w:ascii="宋体" w:hAnsi="宋体"/>
          <w:szCs w:val="21"/>
        </w:rPr>
      </w:pPr>
      <w:r>
        <w:rPr>
          <w:rFonts w:hint="eastAsia" w:ascii="宋体" w:hAnsi="宋体"/>
          <w:szCs w:val="21"/>
        </w:rPr>
        <w:t>第二十三条加强施工人员宿舍内用电管理，宿舍内严禁使用大功率电器。</w:t>
      </w:r>
    </w:p>
    <w:p w14:paraId="1B120B03">
      <w:pPr>
        <w:snapToGrid w:val="0"/>
        <w:spacing w:line="360" w:lineRule="auto"/>
        <w:ind w:firstLine="420" w:firstLineChars="200"/>
        <w:contextualSpacing/>
        <w:rPr>
          <w:rFonts w:ascii="宋体" w:hAnsi="宋体"/>
          <w:szCs w:val="21"/>
        </w:rPr>
      </w:pPr>
      <w:r>
        <w:rPr>
          <w:rFonts w:hint="eastAsia" w:ascii="宋体" w:hAnsi="宋体"/>
          <w:szCs w:val="21"/>
        </w:rPr>
        <w:t>第二十四条施工单位所有车辆不得在院区内高速行驶和鸣号,所有建筑材料运输车辆不得在院区路道路上行驶,因施工需要,须经基建办领导批准。</w:t>
      </w:r>
    </w:p>
    <w:p w14:paraId="015D3ACE">
      <w:pPr>
        <w:snapToGrid w:val="0"/>
        <w:spacing w:line="360" w:lineRule="auto"/>
        <w:ind w:firstLine="420" w:firstLineChars="200"/>
        <w:contextualSpacing/>
        <w:rPr>
          <w:rFonts w:ascii="宋体" w:hAnsi="宋体"/>
          <w:szCs w:val="21"/>
        </w:rPr>
      </w:pPr>
      <w:r>
        <w:rPr>
          <w:rFonts w:hint="eastAsia" w:ascii="宋体" w:hAnsi="宋体"/>
          <w:szCs w:val="21"/>
        </w:rPr>
        <w:t>第四章处罚措施</w:t>
      </w:r>
    </w:p>
    <w:p w14:paraId="4030D5D4">
      <w:pPr>
        <w:snapToGrid w:val="0"/>
        <w:spacing w:line="360" w:lineRule="auto"/>
        <w:ind w:firstLine="420" w:firstLineChars="200"/>
        <w:contextualSpacing/>
        <w:rPr>
          <w:rFonts w:ascii="宋体" w:hAnsi="宋体"/>
          <w:szCs w:val="21"/>
        </w:rPr>
      </w:pPr>
      <w:r>
        <w:rPr>
          <w:rFonts w:hint="eastAsia" w:ascii="宋体" w:hAnsi="宋体"/>
          <w:szCs w:val="21"/>
        </w:rPr>
        <w:t>第二十五条监理单位和基建办指派现场的管理人员要加强施工现场安全文明施工的管理和监督</w:t>
      </w:r>
      <w:r>
        <w:rPr>
          <w:rFonts w:ascii="宋体" w:hAnsi="宋体"/>
          <w:szCs w:val="21"/>
        </w:rPr>
        <w:t>,对施工单位违反本办法的规定和不安全、不文明的行为应提出处理处罚建议,经基建办主管领导批准执行。</w:t>
      </w:r>
    </w:p>
    <w:p w14:paraId="10C61BE6">
      <w:pPr>
        <w:snapToGrid w:val="0"/>
        <w:spacing w:line="360" w:lineRule="auto"/>
        <w:ind w:firstLine="420" w:firstLineChars="200"/>
        <w:contextualSpacing/>
        <w:rPr>
          <w:rFonts w:ascii="宋体" w:hAnsi="宋体"/>
          <w:szCs w:val="21"/>
        </w:rPr>
      </w:pPr>
      <w:r>
        <w:rPr>
          <w:rFonts w:hint="eastAsia" w:ascii="宋体" w:hAnsi="宋体"/>
          <w:szCs w:val="21"/>
        </w:rPr>
        <w:t>第二十六条对于任何处理处罚决定</w:t>
      </w:r>
      <w:r>
        <w:rPr>
          <w:rFonts w:ascii="宋体" w:hAnsi="宋体"/>
          <w:szCs w:val="21"/>
        </w:rPr>
        <w:t>,基建办应出据处理处罚通知书。通知书一式五份,施工单位、处办公室、现场管理人员、</w:t>
      </w:r>
      <w:r>
        <w:rPr>
          <w:rFonts w:hint="eastAsia" w:ascii="宋体" w:hAnsi="宋体"/>
          <w:szCs w:val="21"/>
        </w:rPr>
        <w:t>监理公司、基建办主管领导各一份。对于经济处罚决定</w:t>
      </w:r>
      <w:r>
        <w:rPr>
          <w:rFonts w:ascii="宋体" w:hAnsi="宋体"/>
          <w:szCs w:val="21"/>
        </w:rPr>
        <w:t>,其处理处罚通知书应另加一份送校基建财务科,由校基建财务科从被处罚单位工程款项中扣减其处罚款。</w:t>
      </w:r>
    </w:p>
    <w:p w14:paraId="51BCA2D0">
      <w:pPr>
        <w:snapToGrid w:val="0"/>
        <w:spacing w:line="360" w:lineRule="auto"/>
        <w:ind w:firstLine="420" w:firstLineChars="200"/>
        <w:contextualSpacing/>
        <w:rPr>
          <w:rFonts w:ascii="宋体" w:hAnsi="宋体"/>
          <w:szCs w:val="21"/>
        </w:rPr>
      </w:pPr>
      <w:r>
        <w:rPr>
          <w:rFonts w:hint="eastAsia" w:ascii="宋体" w:hAnsi="宋体"/>
          <w:szCs w:val="21"/>
        </w:rPr>
        <w:t>第二十七条有下列行为之一者,应给予告诫整改、责令停工整顿、罚款等处理处罚。情节严重者送交司法机关,追究刑事责任。</w:t>
      </w:r>
    </w:p>
    <w:p w14:paraId="55230F05">
      <w:pPr>
        <w:snapToGrid w:val="0"/>
        <w:spacing w:line="360" w:lineRule="auto"/>
        <w:ind w:firstLine="420" w:firstLineChars="200"/>
        <w:contextualSpacing/>
        <w:rPr>
          <w:rFonts w:ascii="宋体" w:hAnsi="宋体"/>
          <w:szCs w:val="21"/>
        </w:rPr>
      </w:pPr>
      <w:r>
        <w:rPr>
          <w:rFonts w:hint="eastAsia" w:ascii="宋体" w:hAnsi="宋体"/>
          <w:szCs w:val="21"/>
        </w:rPr>
        <w:t>(一)施工现场围墙及安全保护设施不符合本管理办法规定的规范要求,进行告诫整改或责令停工整顿,必要时应进行经济处罚。</w:t>
      </w:r>
    </w:p>
    <w:p w14:paraId="6576A9D3">
      <w:pPr>
        <w:snapToGrid w:val="0"/>
        <w:spacing w:line="360" w:lineRule="auto"/>
        <w:ind w:firstLine="420" w:firstLineChars="200"/>
        <w:contextualSpacing/>
        <w:rPr>
          <w:rFonts w:ascii="宋体" w:hAnsi="宋体"/>
          <w:szCs w:val="21"/>
        </w:rPr>
      </w:pPr>
      <w:r>
        <w:rPr>
          <w:rFonts w:hint="eastAsia" w:ascii="宋体" w:hAnsi="宋体"/>
          <w:szCs w:val="21"/>
        </w:rPr>
        <w:t>(二)现场施工人员违反施工管理规定和施工操作规范,在告诫整改不听的情况下,处以100—500元的罚款。</w:t>
      </w:r>
    </w:p>
    <w:p w14:paraId="7653824D">
      <w:pPr>
        <w:snapToGrid w:val="0"/>
        <w:spacing w:line="360" w:lineRule="auto"/>
        <w:ind w:firstLine="420" w:firstLineChars="200"/>
        <w:contextualSpacing/>
        <w:rPr>
          <w:rFonts w:ascii="宋体" w:hAnsi="宋体"/>
          <w:szCs w:val="21"/>
        </w:rPr>
      </w:pPr>
      <w:r>
        <w:rPr>
          <w:rFonts w:hint="eastAsia" w:ascii="宋体" w:hAnsi="宋体"/>
          <w:szCs w:val="21"/>
        </w:rPr>
        <w:t>(三)施工人员在施工过程中破坏或损坏周边环境、应保护成品,除赔偿损失外,处以200—600元的罚款。</w:t>
      </w:r>
    </w:p>
    <w:p w14:paraId="60743447">
      <w:pPr>
        <w:snapToGrid w:val="0"/>
        <w:spacing w:line="360" w:lineRule="auto"/>
        <w:ind w:firstLine="420" w:firstLineChars="200"/>
        <w:contextualSpacing/>
        <w:rPr>
          <w:rFonts w:ascii="宋体" w:hAnsi="宋体"/>
          <w:szCs w:val="21"/>
        </w:rPr>
      </w:pPr>
      <w:r>
        <w:rPr>
          <w:rFonts w:hint="eastAsia" w:ascii="宋体" w:hAnsi="宋体"/>
          <w:szCs w:val="21"/>
        </w:rPr>
        <w:t>(四)施工车辆未经清洗上路行驶,污染路面而未及时清扫干净,除接受城管部门处罚外，来院再处以1000—5000元的罚款。</w:t>
      </w:r>
    </w:p>
    <w:p w14:paraId="20DDE6CC">
      <w:pPr>
        <w:snapToGrid w:val="0"/>
        <w:spacing w:line="360" w:lineRule="auto"/>
        <w:ind w:firstLine="420" w:firstLineChars="200"/>
        <w:contextualSpacing/>
        <w:rPr>
          <w:rFonts w:ascii="宋体" w:hAnsi="宋体"/>
          <w:szCs w:val="21"/>
        </w:rPr>
      </w:pPr>
      <w:r>
        <w:rPr>
          <w:rFonts w:hint="eastAsia" w:ascii="宋体" w:hAnsi="宋体"/>
          <w:szCs w:val="21"/>
        </w:rPr>
        <w:t>(五)施工单位对职工管理不严,出现打架斗殴、盗窃、赌博等违纪违法行为,轻则告诫整改和进行经济处罚,发现一起可处以500—1000元的罚款。重则移交司法机关追究刑事责任。</w:t>
      </w:r>
    </w:p>
    <w:p w14:paraId="20A54A98">
      <w:pPr>
        <w:snapToGrid w:val="0"/>
        <w:spacing w:line="360" w:lineRule="auto"/>
        <w:ind w:firstLine="420" w:firstLineChars="200"/>
        <w:contextualSpacing/>
        <w:rPr>
          <w:rFonts w:ascii="宋体" w:hAnsi="宋体"/>
          <w:szCs w:val="21"/>
        </w:rPr>
      </w:pPr>
      <w:r>
        <w:rPr>
          <w:rFonts w:hint="eastAsia" w:ascii="宋体" w:hAnsi="宋体"/>
          <w:szCs w:val="21"/>
        </w:rPr>
        <w:t>(六)未经批准,其建筑材料运输车辆和施工车辆擅自进入院区道路行驶,处以500—1000元的罚款。</w:t>
      </w:r>
    </w:p>
    <w:p w14:paraId="06FFD7FA">
      <w:pPr>
        <w:snapToGrid w:val="0"/>
        <w:spacing w:line="360" w:lineRule="auto"/>
        <w:ind w:firstLine="420" w:firstLineChars="200"/>
        <w:contextualSpacing/>
        <w:rPr>
          <w:rFonts w:ascii="宋体" w:hAnsi="宋体"/>
          <w:szCs w:val="21"/>
        </w:rPr>
      </w:pPr>
      <w:r>
        <w:rPr>
          <w:rFonts w:hint="eastAsia" w:ascii="宋体" w:hAnsi="宋体"/>
          <w:szCs w:val="21"/>
        </w:rPr>
        <w:t>(七)违反本办法的其它规定,经教育不改者,可处以200—1000元的罚款。</w:t>
      </w:r>
    </w:p>
    <w:p w14:paraId="2E77E627">
      <w:pPr>
        <w:pStyle w:val="10"/>
        <w:tabs>
          <w:tab w:val="left" w:pos="0"/>
          <w:tab w:val="left" w:pos="993"/>
          <w:tab w:val="left" w:pos="1134"/>
        </w:tabs>
        <w:adjustRightInd w:val="0"/>
        <w:snapToGrid w:val="0"/>
        <w:spacing w:line="360" w:lineRule="auto"/>
        <w:ind w:firstLine="422" w:firstLineChars="200"/>
        <w:jc w:val="left"/>
        <w:rPr>
          <w:rFonts w:hAnsi="宋体" w:cs="仿宋"/>
          <w:snapToGrid w:val="0"/>
          <w:sz w:val="21"/>
          <w:szCs w:val="21"/>
        </w:rPr>
      </w:pPr>
    </w:p>
    <w:p w14:paraId="77B74E1E">
      <w:pPr>
        <w:tabs>
          <w:tab w:val="left" w:pos="0"/>
          <w:tab w:val="left" w:pos="993"/>
          <w:tab w:val="left" w:pos="1134"/>
        </w:tabs>
        <w:adjustRightInd w:val="0"/>
        <w:snapToGrid w:val="0"/>
        <w:spacing w:line="360" w:lineRule="auto"/>
        <w:rPr>
          <w:rFonts w:eastAsia="黑体"/>
          <w:b/>
          <w:snapToGrid w:val="0"/>
          <w:sz w:val="32"/>
        </w:rPr>
      </w:pPr>
    </w:p>
    <w:p w14:paraId="5385A407">
      <w:pPr>
        <w:tabs>
          <w:tab w:val="left" w:pos="0"/>
          <w:tab w:val="left" w:pos="993"/>
          <w:tab w:val="left" w:pos="1134"/>
        </w:tabs>
        <w:adjustRightInd w:val="0"/>
        <w:snapToGrid w:val="0"/>
        <w:spacing w:line="360" w:lineRule="auto"/>
        <w:rPr>
          <w:rFonts w:eastAsia="黑体"/>
          <w:b/>
          <w:snapToGrid w:val="0"/>
          <w:sz w:val="32"/>
        </w:rPr>
      </w:pPr>
    </w:p>
    <w:p w14:paraId="416F4259">
      <w:pPr>
        <w:tabs>
          <w:tab w:val="left" w:pos="0"/>
          <w:tab w:val="left" w:pos="993"/>
          <w:tab w:val="left" w:pos="1134"/>
        </w:tabs>
        <w:adjustRightInd w:val="0"/>
        <w:snapToGrid w:val="0"/>
        <w:spacing w:line="360" w:lineRule="auto"/>
        <w:rPr>
          <w:rFonts w:eastAsia="黑体"/>
          <w:b/>
          <w:snapToGrid w:val="0"/>
          <w:sz w:val="32"/>
        </w:rPr>
      </w:pPr>
    </w:p>
    <w:p w14:paraId="39E81459">
      <w:pPr>
        <w:tabs>
          <w:tab w:val="left" w:pos="0"/>
          <w:tab w:val="left" w:pos="993"/>
          <w:tab w:val="left" w:pos="1134"/>
        </w:tabs>
        <w:adjustRightInd w:val="0"/>
        <w:snapToGrid w:val="0"/>
        <w:spacing w:line="360" w:lineRule="auto"/>
        <w:jc w:val="center"/>
        <w:outlineLvl w:val="1"/>
        <w:rPr>
          <w:b/>
          <w:bCs/>
          <w:sz w:val="32"/>
          <w:szCs w:val="32"/>
        </w:rPr>
      </w:pPr>
      <w:r>
        <w:rPr>
          <w:rFonts w:eastAsia="黑体"/>
          <w:b/>
          <w:snapToGrid w:val="0"/>
          <w:sz w:val="32"/>
        </w:rPr>
        <w:br w:type="page"/>
      </w:r>
      <w:r>
        <w:rPr>
          <w:rFonts w:hint="eastAsia"/>
          <w:b/>
          <w:bCs/>
          <w:sz w:val="32"/>
          <w:szCs w:val="32"/>
        </w:rPr>
        <w:t>工程质量保修书</w:t>
      </w:r>
    </w:p>
    <w:p w14:paraId="3D263963">
      <w:pPr>
        <w:pStyle w:val="40"/>
        <w:snapToGrid w:val="0"/>
        <w:spacing w:before="0" w:after="0" w:line="360" w:lineRule="auto"/>
        <w:ind w:left="0" w:right="0" w:firstLine="420" w:firstLineChars="200"/>
        <w:contextualSpacing/>
        <w:rPr>
          <w:rFonts w:ascii="宋体" w:hAnsi="宋体"/>
          <w:sz w:val="21"/>
          <w:szCs w:val="21"/>
        </w:rPr>
      </w:pPr>
    </w:p>
    <w:p w14:paraId="3A5386A8">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发包人</w:t>
      </w:r>
      <w:r>
        <w:rPr>
          <w:rFonts w:ascii="宋体" w:hAnsi="宋体"/>
          <w:sz w:val="21"/>
          <w:szCs w:val="21"/>
        </w:rPr>
        <w:t>：</w:t>
      </w:r>
      <w:r>
        <w:rPr>
          <w:rFonts w:hint="eastAsia" w:ascii="宋体" w:hAnsi="宋体"/>
          <w:b/>
          <w:sz w:val="21"/>
          <w:szCs w:val="21"/>
        </w:rPr>
        <w:t>扬州大学附属医院</w:t>
      </w:r>
    </w:p>
    <w:p w14:paraId="67ED6912">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承包人</w:t>
      </w:r>
      <w:r>
        <w:rPr>
          <w:rFonts w:ascii="宋体" w:hAnsi="宋体"/>
          <w:sz w:val="21"/>
          <w:szCs w:val="21"/>
        </w:rPr>
        <w:t>：</w:t>
      </w:r>
      <w:r>
        <w:rPr>
          <w:rFonts w:ascii="宋体" w:hAnsi="宋体"/>
          <w:b/>
          <w:sz w:val="21"/>
          <w:szCs w:val="21"/>
        </w:rPr>
        <w:t xml:space="preserve"> </w:t>
      </w:r>
    </w:p>
    <w:p w14:paraId="15EF156B">
      <w:pPr>
        <w:adjustRightInd w:val="0"/>
        <w:snapToGrid w:val="0"/>
        <w:spacing w:line="360" w:lineRule="auto"/>
        <w:ind w:firstLine="420" w:firstLineChars="200"/>
        <w:contextualSpacing/>
        <w:rPr>
          <w:rFonts w:ascii="宋体" w:hAnsi="宋体" w:cs="仿宋"/>
          <w:b/>
          <w:bCs/>
          <w:snapToGrid w:val="0"/>
          <w:szCs w:val="21"/>
        </w:rPr>
      </w:pPr>
      <w:r>
        <w:rPr>
          <w:rFonts w:hint="eastAsia" w:ascii="宋体" w:hAnsi="宋体" w:cs="宋体"/>
          <w:szCs w:val="21"/>
        </w:rPr>
        <w:t>发包人承包人双方</w:t>
      </w:r>
      <w:r>
        <w:rPr>
          <w:rFonts w:ascii="宋体" w:hAnsi="宋体" w:cs="宋体"/>
          <w:szCs w:val="21"/>
        </w:rPr>
        <w:t>根据《中华人民共和国建筑法》、《建设工程质量管理条例》和《房屋建筑工程质量保修办法》，经协商一致，对</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cs="仿宋"/>
          <w:bCs/>
          <w:snapToGrid w:val="0"/>
          <w:szCs w:val="21"/>
        </w:rPr>
        <w:t>项目</w:t>
      </w:r>
      <w:r>
        <w:rPr>
          <w:rFonts w:hint="eastAsia" w:ascii="宋体" w:hAnsi="宋体" w:cs="宋体"/>
          <w:szCs w:val="21"/>
        </w:rPr>
        <w:t>签订</w:t>
      </w:r>
      <w:r>
        <w:rPr>
          <w:rFonts w:ascii="宋体" w:hAnsi="宋体" w:cs="宋体"/>
          <w:szCs w:val="21"/>
        </w:rPr>
        <w:t>工程质量保修书。</w:t>
      </w:r>
    </w:p>
    <w:p w14:paraId="69B6AB8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一、</w:t>
      </w:r>
      <w:r>
        <w:rPr>
          <w:sz w:val="21"/>
          <w:szCs w:val="21"/>
        </w:rPr>
        <w:t>工程质量保修范围和内容</w:t>
      </w:r>
    </w:p>
    <w:p w14:paraId="1CCDFB64">
      <w:pPr>
        <w:pStyle w:val="17"/>
        <w:snapToGrid w:val="0"/>
        <w:spacing w:before="0" w:beforeAutospacing="0" w:after="0" w:afterAutospacing="0" w:line="360" w:lineRule="auto"/>
        <w:ind w:firstLine="420" w:firstLineChars="200"/>
        <w:contextualSpacing/>
        <w:rPr>
          <w:b/>
          <w:sz w:val="21"/>
          <w:szCs w:val="21"/>
          <w:u w:val="single"/>
        </w:rPr>
      </w:pPr>
      <w:r>
        <w:rPr>
          <w:rFonts w:hint="eastAsia"/>
          <w:sz w:val="21"/>
          <w:szCs w:val="21"/>
        </w:rPr>
        <w:t>1、承包人</w:t>
      </w:r>
      <w:r>
        <w:rPr>
          <w:sz w:val="21"/>
          <w:szCs w:val="21"/>
        </w:rPr>
        <w:t>在质量保修期内，按照有关法律、法规、规章的管理规定和双方约定，承担本工程质量保修责任</w:t>
      </w:r>
      <w:r>
        <w:rPr>
          <w:rFonts w:hint="eastAsia"/>
          <w:sz w:val="21"/>
          <w:szCs w:val="21"/>
        </w:rPr>
        <w:t>。质量保修范围内包括合同约定的全部承包项目。具体质量保修内容双方约定如下：</w:t>
      </w:r>
      <w:r>
        <w:rPr>
          <w:rFonts w:hint="eastAsia"/>
          <w:b/>
          <w:sz w:val="21"/>
          <w:szCs w:val="21"/>
          <w:u w:val="single"/>
        </w:rPr>
        <w:t>凡属承包人加工及施工工艺、施工方法及材料质量等质量问题造成的需返工修补的情况。</w:t>
      </w:r>
    </w:p>
    <w:p w14:paraId="4B23C77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二、</w:t>
      </w:r>
      <w:r>
        <w:rPr>
          <w:sz w:val="21"/>
          <w:szCs w:val="21"/>
        </w:rPr>
        <w:t>质量保修期</w:t>
      </w:r>
    </w:p>
    <w:p w14:paraId="7DA0F96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1、质量保修期从工程实际竣工之日起开始计算。分单项竣工验收的工程，按单项工程分别计算质量保修期。</w:t>
      </w:r>
      <w:r>
        <w:rPr>
          <w:sz w:val="21"/>
          <w:szCs w:val="21"/>
        </w:rPr>
        <w:t>双方根据《建设工程质量管理条例》及有关规定，约定本工程的质量保修期如下：</w:t>
      </w:r>
    </w:p>
    <w:p w14:paraId="42F7E35C">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本工程质量保修期为</w:t>
      </w:r>
      <w:r>
        <w:rPr>
          <w:rFonts w:hint="eastAsia"/>
          <w:b/>
          <w:sz w:val="21"/>
          <w:szCs w:val="21"/>
          <w:u w:val="single"/>
        </w:rPr>
        <w:t xml:space="preserve"> 2年 </w:t>
      </w:r>
      <w:r>
        <w:rPr>
          <w:rFonts w:hint="eastAsia"/>
          <w:sz w:val="21"/>
          <w:szCs w:val="21"/>
        </w:rPr>
        <w:t>，从工程竣工验收合格之日起，2年内因工程质量问题所发生的材料费、保修人工费等均由承包人负责免费维修和更换。</w:t>
      </w:r>
    </w:p>
    <w:p w14:paraId="3D2CCBC0">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2、在承包人对质量保证期内出现的质量问题进行维修时，承包人应相应延长维修或更换部分的质量保证期。</w:t>
      </w:r>
    </w:p>
    <w:p w14:paraId="7E9ECBB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3、质量保证期内因发包人原因或自然灾害而造成的损坏，承包人不承担保修责任，但承包人有义务对此进行维修，维修发生的材料和人工费用由发包人承担。</w:t>
      </w:r>
    </w:p>
    <w:p w14:paraId="1BF16AA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三、</w:t>
      </w:r>
      <w:r>
        <w:rPr>
          <w:sz w:val="21"/>
          <w:szCs w:val="21"/>
        </w:rPr>
        <w:t>质量保修责任</w:t>
      </w:r>
    </w:p>
    <w:p w14:paraId="01E8CF49">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w:t>
      </w:r>
      <w:r>
        <w:rPr>
          <w:sz w:val="21"/>
          <w:szCs w:val="21"/>
        </w:rPr>
        <w:t>属于保修范围、内容的项目，承包人应当在接到保修通知之曰起7天内派人保修。承包人不在约定期限内派人保修的，发包人可以委托他人修理</w:t>
      </w:r>
      <w:r>
        <w:rPr>
          <w:rFonts w:hint="eastAsia"/>
          <w:sz w:val="21"/>
          <w:szCs w:val="21"/>
        </w:rPr>
        <w:t>，保修费用从质量保修金内扣除。</w:t>
      </w:r>
    </w:p>
    <w:p w14:paraId="12F6D22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w:t>
      </w:r>
      <w:r>
        <w:rPr>
          <w:sz w:val="21"/>
          <w:szCs w:val="21"/>
        </w:rPr>
        <w:t>发生紧急抢修事故的，承包人在接到事故通知后，应当立即到达事故现场抢修。</w:t>
      </w:r>
      <w:r>
        <w:rPr>
          <w:rFonts w:hint="eastAsia"/>
          <w:sz w:val="21"/>
          <w:szCs w:val="21"/>
        </w:rPr>
        <w:t>非承包人施工质量引起的事故，费用由发包人承担。</w:t>
      </w:r>
    </w:p>
    <w:p w14:paraId="615FA6AF">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3、在国家规定的工程合理使用年限内，承包人要确保工程质量。因承包人原因致使工程在合理使用年限内造成人身和财产损害的，承包人应承担损害赔偿责任。</w:t>
      </w:r>
    </w:p>
    <w:p w14:paraId="399A845D">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四、</w:t>
      </w:r>
      <w:r>
        <w:rPr>
          <w:sz w:val="21"/>
          <w:szCs w:val="21"/>
        </w:rPr>
        <w:t>保修费用</w:t>
      </w:r>
    </w:p>
    <w:p w14:paraId="3CBDB446">
      <w:pPr>
        <w:pStyle w:val="17"/>
        <w:snapToGrid w:val="0"/>
        <w:spacing w:before="0" w:beforeAutospacing="0" w:after="0" w:afterAutospacing="0" w:line="360" w:lineRule="auto"/>
        <w:ind w:firstLine="420" w:firstLineChars="200"/>
        <w:contextualSpacing/>
        <w:rPr>
          <w:sz w:val="21"/>
          <w:szCs w:val="21"/>
          <w:u w:val="single"/>
        </w:rPr>
      </w:pPr>
      <w:r>
        <w:rPr>
          <w:sz w:val="21"/>
          <w:szCs w:val="21"/>
        </w:rPr>
        <w:t>保修费用由造成质量缺陷的责任方承担。</w:t>
      </w:r>
      <w:r>
        <w:rPr>
          <w:rFonts w:hint="eastAsia"/>
          <w:sz w:val="21"/>
          <w:szCs w:val="21"/>
        </w:rPr>
        <w:t>本工程约定的工程质量保修金为施工</w:t>
      </w:r>
      <w:r>
        <w:rPr>
          <w:rFonts w:hint="eastAsia"/>
          <w:sz w:val="21"/>
          <w:szCs w:val="21"/>
          <w:lang w:val="en-US" w:eastAsia="zh-CN"/>
        </w:rPr>
        <w:t>结算</w:t>
      </w:r>
      <w:r>
        <w:rPr>
          <w:rFonts w:hint="eastAsia"/>
          <w:sz w:val="21"/>
          <w:szCs w:val="21"/>
        </w:rPr>
        <w:t>价的3%。本工程双方约定的工程质量保修金的金额为人民币（大写）：</w:t>
      </w:r>
      <w:r>
        <w:rPr>
          <w:rFonts w:hint="eastAsia"/>
          <w:sz w:val="21"/>
          <w:szCs w:val="21"/>
          <w:u w:val="single"/>
        </w:rPr>
        <w:t xml:space="preserve"> </w:t>
      </w:r>
      <w:r>
        <w:rPr>
          <w:sz w:val="21"/>
          <w:szCs w:val="21"/>
          <w:u w:val="single"/>
        </w:rPr>
        <w:t xml:space="preserve">    </w:t>
      </w:r>
    </w:p>
    <w:p w14:paraId="18BDF9B7">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五、质量保修金的退还</w:t>
      </w:r>
    </w:p>
    <w:p w14:paraId="751776E6">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发包人在质量保修期满后21天内，将剩余保修金（不计利息）返还承包人。</w:t>
      </w:r>
    </w:p>
    <w:p w14:paraId="07FAA468">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六、</w:t>
      </w:r>
      <w:r>
        <w:rPr>
          <w:sz w:val="21"/>
          <w:szCs w:val="21"/>
        </w:rPr>
        <w:t>其他</w:t>
      </w:r>
    </w:p>
    <w:p w14:paraId="5302C3E6">
      <w:pPr>
        <w:pStyle w:val="17"/>
        <w:snapToGrid w:val="0"/>
        <w:spacing w:before="0" w:beforeAutospacing="0" w:after="0" w:afterAutospacing="0" w:line="360" w:lineRule="auto"/>
        <w:ind w:firstLine="420" w:firstLineChars="200"/>
        <w:contextualSpacing/>
        <w:rPr>
          <w:b/>
          <w:sz w:val="21"/>
          <w:szCs w:val="21"/>
        </w:rPr>
      </w:pPr>
      <w:r>
        <w:rPr>
          <w:sz w:val="21"/>
          <w:szCs w:val="21"/>
        </w:rPr>
        <w:t>双方约定的其他工程质量保修事项：</w:t>
      </w:r>
      <w:r>
        <w:rPr>
          <w:rFonts w:hint="eastAsia"/>
          <w:b/>
          <w:sz w:val="21"/>
          <w:szCs w:val="21"/>
          <w:u w:val="single"/>
        </w:rPr>
        <w:t xml:space="preserve">       /       </w:t>
      </w:r>
      <w:r>
        <w:rPr>
          <w:b/>
          <w:sz w:val="21"/>
          <w:szCs w:val="21"/>
        </w:rPr>
        <w:t>。</w:t>
      </w:r>
    </w:p>
    <w:p w14:paraId="6FE85F15">
      <w:pPr>
        <w:pStyle w:val="17"/>
        <w:snapToGrid w:val="0"/>
        <w:spacing w:before="0" w:beforeAutospacing="0" w:after="0" w:afterAutospacing="0" w:line="360" w:lineRule="auto"/>
        <w:ind w:firstLine="420" w:firstLineChars="200"/>
        <w:contextualSpacing/>
        <w:rPr>
          <w:sz w:val="21"/>
          <w:szCs w:val="21"/>
        </w:rPr>
      </w:pPr>
      <w:r>
        <w:rPr>
          <w:sz w:val="21"/>
          <w:szCs w:val="21"/>
        </w:rPr>
        <w:t>本工程</w:t>
      </w:r>
      <w:r>
        <w:rPr>
          <w:rFonts w:hint="eastAsia"/>
          <w:sz w:val="21"/>
          <w:szCs w:val="21"/>
        </w:rPr>
        <w:t>质量</w:t>
      </w:r>
      <w:r>
        <w:rPr>
          <w:sz w:val="21"/>
          <w:szCs w:val="21"/>
        </w:rPr>
        <w:t>保修书，由施工合同发包人、承包人双方在竣工验收前共同签署，作为施工合同附件其有效期限至保修期满。</w:t>
      </w:r>
    </w:p>
    <w:p w14:paraId="43A02969">
      <w:pPr>
        <w:pStyle w:val="17"/>
        <w:snapToGrid w:val="0"/>
        <w:spacing w:before="0" w:beforeAutospacing="0" w:after="0" w:afterAutospacing="0" w:line="360" w:lineRule="auto"/>
        <w:ind w:firstLine="420" w:firstLineChars="200"/>
        <w:contextualSpacing/>
        <w:rPr>
          <w:sz w:val="21"/>
          <w:szCs w:val="21"/>
        </w:rPr>
      </w:pPr>
    </w:p>
    <w:p w14:paraId="489B5F53">
      <w:pPr>
        <w:spacing w:line="360" w:lineRule="auto"/>
        <w:ind w:firstLine="420" w:firstLineChars="200"/>
        <w:contextualSpacing/>
        <w:rPr>
          <w:rFonts w:ascii="宋体" w:hAnsi="宋体" w:cs="宋体"/>
          <w:szCs w:val="21"/>
        </w:rPr>
      </w:pPr>
    </w:p>
    <w:p w14:paraId="75FF8F53">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63377555">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14:paraId="474CB733">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14:paraId="75D6A2B8">
      <w:pPr>
        <w:spacing w:line="360" w:lineRule="auto"/>
        <w:ind w:firstLine="420" w:firstLineChars="200"/>
        <w:contextualSpacing/>
        <w:rPr>
          <w:rFonts w:ascii="宋体" w:hAnsi="宋体" w:cs="宋体"/>
          <w:szCs w:val="21"/>
        </w:rPr>
      </w:pPr>
      <w:r>
        <w:rPr>
          <w:rFonts w:hint="eastAsia" w:ascii="宋体" w:hAnsi="宋体" w:cs="宋体"/>
          <w:szCs w:val="21"/>
        </w:rPr>
        <w:t>日期:     年  月   日                    日期:     年  月   日</w:t>
      </w:r>
    </w:p>
    <w:p w14:paraId="184363F6">
      <w:pPr>
        <w:spacing w:line="360" w:lineRule="auto"/>
        <w:ind w:firstLine="420" w:firstLineChars="200"/>
        <w:contextualSpacing/>
        <w:rPr>
          <w:szCs w:val="21"/>
        </w:rPr>
      </w:pPr>
    </w:p>
    <w:p w14:paraId="7803478E">
      <w:pPr>
        <w:spacing w:line="360" w:lineRule="auto"/>
        <w:ind w:firstLine="420" w:firstLineChars="200"/>
        <w:rPr>
          <w:rFonts w:ascii="宋体" w:hAnsi="宋体"/>
          <w:szCs w:val="21"/>
        </w:rPr>
      </w:pPr>
    </w:p>
    <w:p w14:paraId="3B3227AC">
      <w:pPr>
        <w:spacing w:line="360" w:lineRule="auto"/>
        <w:ind w:firstLine="720" w:firstLineChars="200"/>
        <w:rPr>
          <w:rFonts w:ascii="宋体" w:hAnsi="宋体"/>
          <w:sz w:val="36"/>
        </w:rPr>
      </w:pPr>
    </w:p>
    <w:p w14:paraId="2EE88CF5">
      <w:pPr>
        <w:spacing w:line="360" w:lineRule="auto"/>
        <w:ind w:firstLine="413" w:firstLineChars="196"/>
        <w:rPr>
          <w:rFonts w:ascii="宋体" w:hAnsi="宋体"/>
          <w:b/>
          <w:bCs/>
          <w:szCs w:val="21"/>
        </w:rPr>
      </w:pPr>
    </w:p>
    <w:p w14:paraId="28D37B16">
      <w:pPr>
        <w:rPr>
          <w:rFonts w:ascii="宋体" w:hAnsi="宋体"/>
          <w:b/>
          <w:bCs/>
          <w:szCs w:val="21"/>
        </w:rPr>
      </w:pPr>
    </w:p>
    <w:p w14:paraId="674632DC">
      <w:pPr>
        <w:rPr>
          <w:rFonts w:ascii="宋体" w:hAnsi="宋体"/>
          <w:b/>
          <w:bCs/>
          <w:szCs w:val="21"/>
        </w:rPr>
      </w:pPr>
    </w:p>
    <w:p w14:paraId="5B6D0D09">
      <w:pPr>
        <w:rPr>
          <w:rFonts w:ascii="宋体" w:hAnsi="宋体"/>
          <w:b/>
          <w:bCs/>
          <w:szCs w:val="21"/>
        </w:rPr>
      </w:pPr>
    </w:p>
    <w:p w14:paraId="649377B1">
      <w:pPr>
        <w:rPr>
          <w:rFonts w:ascii="宋体" w:hAnsi="宋体"/>
          <w:b/>
          <w:bCs/>
          <w:szCs w:val="21"/>
        </w:rPr>
      </w:pPr>
    </w:p>
    <w:p w14:paraId="19A4859D">
      <w:pPr>
        <w:jc w:val="center"/>
        <w:rPr>
          <w:rFonts w:ascii="宋体" w:hAnsi="宋体"/>
          <w:b/>
          <w:bCs/>
          <w:sz w:val="36"/>
          <w:szCs w:val="36"/>
        </w:rPr>
      </w:pPr>
      <w:r>
        <w:rPr>
          <w:rFonts w:ascii="宋体" w:hAnsi="宋体"/>
          <w:b/>
          <w:bCs/>
          <w:szCs w:val="21"/>
        </w:rPr>
        <w:br w:type="page"/>
      </w:r>
      <w:r>
        <w:rPr>
          <w:rFonts w:ascii="宋体" w:hAnsi="宋体"/>
          <w:b/>
          <w:bCs/>
          <w:sz w:val="36"/>
          <w:szCs w:val="36"/>
        </w:rPr>
        <w:t>廉</w:t>
      </w:r>
      <w:r>
        <w:rPr>
          <w:rFonts w:hint="eastAsia" w:ascii="宋体" w:hAnsi="宋体"/>
          <w:b/>
          <w:bCs/>
          <w:sz w:val="36"/>
          <w:szCs w:val="36"/>
        </w:rPr>
        <w:t>洁协议书</w:t>
      </w:r>
    </w:p>
    <w:p w14:paraId="12950B69">
      <w:pPr>
        <w:spacing w:line="360" w:lineRule="auto"/>
        <w:ind w:firstLine="420" w:firstLineChars="200"/>
        <w:rPr>
          <w:rFonts w:ascii="宋体" w:cs="宋体"/>
          <w:b/>
          <w:szCs w:val="21"/>
        </w:rPr>
      </w:pPr>
      <w:r>
        <w:rPr>
          <w:rFonts w:hint="eastAsia" w:ascii="宋体" w:hAnsi="宋体" w:cs="宋体"/>
          <w:szCs w:val="21"/>
        </w:rPr>
        <w:t>发包人名称:</w:t>
      </w:r>
      <w:r>
        <w:rPr>
          <w:rFonts w:hint="eastAsia" w:ascii="宋体" w:hAnsi="宋体" w:cs="宋体"/>
          <w:b/>
          <w:szCs w:val="21"/>
        </w:rPr>
        <w:t>扬州大学附属医院</w:t>
      </w:r>
    </w:p>
    <w:p w14:paraId="5F6118A9">
      <w:pPr>
        <w:snapToGrid w:val="0"/>
        <w:spacing w:line="360" w:lineRule="auto"/>
        <w:ind w:firstLine="420" w:firstLineChars="200"/>
        <w:contextualSpacing/>
        <w:rPr>
          <w:rFonts w:ascii="宋体" w:hAnsi="宋体"/>
          <w:b/>
          <w:szCs w:val="21"/>
        </w:rPr>
      </w:pPr>
      <w:r>
        <w:rPr>
          <w:rFonts w:hint="eastAsia" w:ascii="宋体" w:hAnsi="宋体" w:cs="宋体"/>
          <w:szCs w:val="21"/>
        </w:rPr>
        <w:t>承包人名称:</w:t>
      </w:r>
    </w:p>
    <w:p w14:paraId="7B5BB6DC">
      <w:pPr>
        <w:spacing w:line="360" w:lineRule="auto"/>
        <w:ind w:firstLine="420" w:firstLineChars="200"/>
        <w:rPr>
          <w:rFonts w:ascii="宋体" w:hAnsi="宋体" w:cs="宋体"/>
          <w:szCs w:val="21"/>
        </w:rPr>
      </w:pPr>
      <w:r>
        <w:rPr>
          <w:rFonts w:hint="eastAsia" w:ascii="宋体" w:hAnsi="宋体" w:cs="宋体"/>
          <w:szCs w:val="21"/>
        </w:rPr>
        <w:t>在发包人承包人双方订立、履行合同过程中，为保持廉洁自律的工作作风，防止各种不正当行为的发生，发包人承包人双方订立协议如下：</w:t>
      </w:r>
    </w:p>
    <w:p w14:paraId="7ED71368">
      <w:pPr>
        <w:spacing w:line="360" w:lineRule="auto"/>
        <w:ind w:firstLine="420" w:firstLineChars="200"/>
        <w:rPr>
          <w:rFonts w:ascii="宋体" w:hAnsi="宋体" w:cs="宋体"/>
          <w:szCs w:val="21"/>
        </w:rPr>
      </w:pPr>
      <w:r>
        <w:rPr>
          <w:rFonts w:hint="eastAsia" w:ascii="宋体" w:hAnsi="宋体" w:cs="宋体"/>
          <w:szCs w:val="21"/>
        </w:rPr>
        <w:t>一、发包人承包人双方应当自觉遵守国家、地方法律法规以及本协议的约定，在合同的订立、履行过程中廉洁自律。</w:t>
      </w:r>
    </w:p>
    <w:p w14:paraId="1421988F">
      <w:pPr>
        <w:spacing w:line="360" w:lineRule="auto"/>
        <w:ind w:firstLine="420" w:firstLineChars="200"/>
        <w:rPr>
          <w:rFonts w:ascii="宋体" w:hAnsi="宋体" w:cs="宋体"/>
          <w:szCs w:val="21"/>
        </w:rPr>
      </w:pPr>
      <w:r>
        <w:rPr>
          <w:rFonts w:hint="eastAsia" w:ascii="宋体" w:hAnsi="宋体" w:cs="宋体"/>
          <w:szCs w:val="21"/>
        </w:rPr>
        <w:t>二、发包人工作人员严禁进行商业目的的统方，不得以任何形式向承包人索要和收受个人回扣等好处费。</w:t>
      </w:r>
    </w:p>
    <w:p w14:paraId="7C86A586">
      <w:pPr>
        <w:spacing w:line="360" w:lineRule="auto"/>
        <w:ind w:firstLine="420" w:firstLineChars="200"/>
        <w:rPr>
          <w:rFonts w:ascii="宋体" w:hAnsi="宋体" w:cs="宋体"/>
          <w:szCs w:val="21"/>
        </w:rPr>
      </w:pPr>
      <w:r>
        <w:rPr>
          <w:rFonts w:hint="eastAsia" w:ascii="宋体" w:hAnsi="宋体" w:cs="宋体"/>
          <w:szCs w:val="21"/>
        </w:rPr>
        <w:t>三、发包人工作人员应当保持与承包人的正常业务交往，不得接受承包人的礼金、有价证券和贵重物品，不得在承包人报销任何应由其个人承担的费用。</w:t>
      </w:r>
    </w:p>
    <w:p w14:paraId="7490133B">
      <w:pPr>
        <w:spacing w:line="360" w:lineRule="auto"/>
        <w:ind w:firstLine="420" w:firstLineChars="200"/>
        <w:rPr>
          <w:rFonts w:ascii="宋体" w:hAnsi="宋体" w:cs="宋体"/>
          <w:szCs w:val="21"/>
        </w:rPr>
      </w:pPr>
      <w:r>
        <w:rPr>
          <w:rFonts w:hint="eastAsia" w:ascii="宋体" w:hAnsi="宋体" w:cs="宋体"/>
          <w:szCs w:val="21"/>
        </w:rPr>
        <w:t>四、发包人工作人员不得参加可能对公正开展业务有影响的宴请和娱乐活动。如发包人工作人员确因实际情况须参加宴请、进行娱乐活动的，须事先报上一级批准。</w:t>
      </w:r>
    </w:p>
    <w:p w14:paraId="5CACA56B">
      <w:pPr>
        <w:spacing w:line="360" w:lineRule="auto"/>
        <w:ind w:firstLine="420" w:firstLineChars="200"/>
        <w:rPr>
          <w:rFonts w:ascii="宋体" w:hAnsi="宋体" w:cs="宋体"/>
          <w:szCs w:val="21"/>
        </w:rPr>
      </w:pPr>
      <w:r>
        <w:rPr>
          <w:rFonts w:hint="eastAsia" w:ascii="宋体" w:hAnsi="宋体" w:cs="宋体"/>
          <w:szCs w:val="21"/>
        </w:rPr>
        <w:t>五、发包人工作人员不得要求或者接受承包人为其住房装修、婚丧嫁娶、家属和子女的工作安排以及出国等提供方便。</w:t>
      </w:r>
    </w:p>
    <w:p w14:paraId="426DBAAE">
      <w:pPr>
        <w:spacing w:line="360" w:lineRule="auto"/>
        <w:ind w:firstLine="420" w:firstLineChars="200"/>
        <w:rPr>
          <w:rFonts w:ascii="宋体" w:cs="宋体"/>
          <w:szCs w:val="21"/>
        </w:rPr>
      </w:pPr>
      <w:r>
        <w:rPr>
          <w:rFonts w:hint="eastAsia" w:ascii="宋体" w:hAnsi="宋体" w:cs="宋体"/>
          <w:szCs w:val="21"/>
        </w:rPr>
        <w:t>六、承包人不得接受发包人工作人员介绍的家属或者亲友从事与合同相关的业务。</w:t>
      </w:r>
    </w:p>
    <w:p w14:paraId="3EFC8A3A">
      <w:pPr>
        <w:spacing w:line="360" w:lineRule="auto"/>
        <w:ind w:firstLine="420" w:firstLineChars="200"/>
        <w:rPr>
          <w:rFonts w:ascii="宋体" w:hAnsi="宋体" w:cs="宋体"/>
          <w:szCs w:val="21"/>
        </w:rPr>
      </w:pPr>
      <w:r>
        <w:rPr>
          <w:rFonts w:hint="eastAsia" w:ascii="宋体" w:hAnsi="宋体" w:cs="宋体"/>
          <w:szCs w:val="21"/>
        </w:rPr>
        <w:t>七、承包人应当通过正常途径开展相关业务，不得为获取某些不正当利益而向发包人工作人员赠送礼金、有价证券和贵重物品等，或给发包人工作人员报销其个人费用，或邀请发包人工作人员外出旅游和进入营业性娱乐场所，或为发包人工作人员住房装修、婚丧嫁娶、家属和子女的工作安排以及出国等提供方便。</w:t>
      </w:r>
    </w:p>
    <w:p w14:paraId="769A2ECC">
      <w:pPr>
        <w:spacing w:line="360" w:lineRule="auto"/>
        <w:ind w:firstLine="420" w:firstLineChars="200"/>
        <w:rPr>
          <w:rFonts w:ascii="宋体" w:hAnsi="宋体" w:cs="宋体"/>
          <w:szCs w:val="21"/>
        </w:rPr>
      </w:pPr>
      <w:r>
        <w:rPr>
          <w:rFonts w:hint="eastAsia" w:ascii="宋体" w:hAnsi="宋体" w:cs="宋体"/>
          <w:szCs w:val="21"/>
        </w:rPr>
        <w:t>八、承包人如发现发包人工作人员有违反上述协议者，应向发包人举报（发包人举报接待部门：纪委办公室；举报电话：87907263）。发包人不得找任何借口对承包人进行报复。发包人对举报属实和严格遵守廉洁协议的承包人，在同等条件下优先考虑与承包人继续合作。</w:t>
      </w:r>
    </w:p>
    <w:p w14:paraId="669D2BD1">
      <w:pPr>
        <w:spacing w:line="360" w:lineRule="auto"/>
        <w:ind w:firstLine="420" w:firstLineChars="200"/>
        <w:rPr>
          <w:rFonts w:ascii="宋体" w:hAnsi="宋体" w:cs="宋体"/>
          <w:szCs w:val="21"/>
        </w:rPr>
      </w:pPr>
      <w:r>
        <w:rPr>
          <w:rFonts w:hint="eastAsia" w:ascii="宋体" w:hAnsi="宋体" w:cs="宋体"/>
          <w:szCs w:val="21"/>
        </w:rPr>
        <w:t>九、发包人发现承包人有违反本协议或者采用不正当的手段行贿发包人工作人员等不正当竞争行为的，发包人有权解除合同。</w:t>
      </w:r>
    </w:p>
    <w:p w14:paraId="3E760C81">
      <w:pPr>
        <w:spacing w:line="360" w:lineRule="auto"/>
        <w:ind w:firstLine="420" w:firstLineChars="200"/>
        <w:rPr>
          <w:rFonts w:ascii="宋体" w:cs="宋体"/>
          <w:szCs w:val="21"/>
        </w:rPr>
      </w:pPr>
      <w:r>
        <w:rPr>
          <w:rFonts w:hint="eastAsia" w:ascii="宋体" w:hAnsi="宋体" w:cs="宋体"/>
          <w:szCs w:val="21"/>
        </w:rPr>
        <w:t>十、本廉洁协议作为合同的附件，与合同具有同等法律效力。经协议双方签署后立即生效。</w:t>
      </w:r>
    </w:p>
    <w:p w14:paraId="14336D30">
      <w:pPr>
        <w:spacing w:line="360" w:lineRule="auto"/>
        <w:ind w:firstLine="420" w:firstLineChars="200"/>
        <w:rPr>
          <w:rFonts w:ascii="宋体" w:cs="宋体"/>
          <w:szCs w:val="21"/>
        </w:rPr>
      </w:pPr>
      <w:r>
        <w:rPr>
          <w:rFonts w:hint="eastAsia" w:ascii="宋体" w:hAnsi="宋体" w:cs="宋体"/>
          <w:szCs w:val="21"/>
        </w:rPr>
        <w:t>十一、本协议一式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份，并从签订之日起生效。</w:t>
      </w:r>
    </w:p>
    <w:p w14:paraId="65AE0067">
      <w:pPr>
        <w:pStyle w:val="40"/>
        <w:snapToGrid w:val="0"/>
        <w:spacing w:before="0" w:after="0" w:line="360" w:lineRule="auto"/>
        <w:ind w:left="0" w:right="0" w:firstLine="420" w:firstLineChars="200"/>
        <w:contextualSpacing/>
        <w:rPr>
          <w:rFonts w:ascii="宋体" w:hAnsi="宋体" w:cs="宋体"/>
          <w:sz w:val="21"/>
          <w:szCs w:val="21"/>
        </w:rPr>
      </w:pPr>
    </w:p>
    <w:p w14:paraId="23CDC534">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132ABAC5">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14:paraId="04AC6C6B">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14:paraId="3BDF70A7">
      <w:pPr>
        <w:adjustRightInd w:val="0"/>
        <w:snapToGrid w:val="0"/>
        <w:spacing w:line="440" w:lineRule="exact"/>
        <w:ind w:firstLine="200"/>
        <w:contextualSpacing/>
        <w:jc w:val="center"/>
        <w:rPr>
          <w:rFonts w:ascii="宋体" w:hAnsi="宋体" w:cs="宋体"/>
          <w:szCs w:val="21"/>
        </w:rPr>
      </w:pPr>
      <w:r>
        <w:rPr>
          <w:rFonts w:hint="eastAsia" w:ascii="宋体" w:hAnsi="宋体" w:cs="宋体"/>
          <w:szCs w:val="21"/>
        </w:rPr>
        <w:t>日期:     年  月   日                    日期：     年   月   日</w:t>
      </w:r>
    </w:p>
    <w:p w14:paraId="52EC24B8">
      <w:pPr>
        <w:rPr>
          <w:rFonts w:ascii="宋体" w:hAnsi="宋体" w:cs="宋体"/>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1AC5">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E1DE20B">
                          <w:pPr>
                            <w:pStyle w:val="1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1E1DE20B">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B7DA4"/>
    <w:multiLevelType w:val="singleLevel"/>
    <w:tmpl w:val="E5FB7DA4"/>
    <w:lvl w:ilvl="0" w:tentative="0">
      <w:start w:val="9"/>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pStyle w:val="11"/>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05CDB"/>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B46BA"/>
    <w:rsid w:val="000B7F05"/>
    <w:rsid w:val="000C1A1A"/>
    <w:rsid w:val="000C7F60"/>
    <w:rsid w:val="000D11F7"/>
    <w:rsid w:val="000D3A72"/>
    <w:rsid w:val="000D7D67"/>
    <w:rsid w:val="000E272B"/>
    <w:rsid w:val="000E2C22"/>
    <w:rsid w:val="000E30E3"/>
    <w:rsid w:val="000E59BA"/>
    <w:rsid w:val="000E7674"/>
    <w:rsid w:val="000F024B"/>
    <w:rsid w:val="000F422C"/>
    <w:rsid w:val="0010016D"/>
    <w:rsid w:val="00104F2F"/>
    <w:rsid w:val="00111536"/>
    <w:rsid w:val="00124491"/>
    <w:rsid w:val="00125825"/>
    <w:rsid w:val="00127867"/>
    <w:rsid w:val="0013376F"/>
    <w:rsid w:val="00134368"/>
    <w:rsid w:val="00145BEE"/>
    <w:rsid w:val="00150613"/>
    <w:rsid w:val="001526C2"/>
    <w:rsid w:val="00161C61"/>
    <w:rsid w:val="00166E57"/>
    <w:rsid w:val="0017244D"/>
    <w:rsid w:val="00185204"/>
    <w:rsid w:val="00190B1D"/>
    <w:rsid w:val="001A4ADE"/>
    <w:rsid w:val="001B0662"/>
    <w:rsid w:val="001B10AD"/>
    <w:rsid w:val="001B2FAB"/>
    <w:rsid w:val="001B5EDF"/>
    <w:rsid w:val="001C14FD"/>
    <w:rsid w:val="001C32CF"/>
    <w:rsid w:val="001D04CE"/>
    <w:rsid w:val="001E56CD"/>
    <w:rsid w:val="001E5A64"/>
    <w:rsid w:val="001F2420"/>
    <w:rsid w:val="00200DAD"/>
    <w:rsid w:val="00207A18"/>
    <w:rsid w:val="00216921"/>
    <w:rsid w:val="00224864"/>
    <w:rsid w:val="00237C5D"/>
    <w:rsid w:val="00243D2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15D4D"/>
    <w:rsid w:val="00331C40"/>
    <w:rsid w:val="0033540A"/>
    <w:rsid w:val="00337FD9"/>
    <w:rsid w:val="00341EB4"/>
    <w:rsid w:val="00343A17"/>
    <w:rsid w:val="003575E3"/>
    <w:rsid w:val="00363F14"/>
    <w:rsid w:val="00381BA0"/>
    <w:rsid w:val="003870E7"/>
    <w:rsid w:val="00393365"/>
    <w:rsid w:val="003A7792"/>
    <w:rsid w:val="003B022F"/>
    <w:rsid w:val="003B63E1"/>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53F9"/>
    <w:rsid w:val="0044752B"/>
    <w:rsid w:val="004577FD"/>
    <w:rsid w:val="00460916"/>
    <w:rsid w:val="00464D1B"/>
    <w:rsid w:val="00471525"/>
    <w:rsid w:val="0048158E"/>
    <w:rsid w:val="00482177"/>
    <w:rsid w:val="00482E4A"/>
    <w:rsid w:val="0048317A"/>
    <w:rsid w:val="0049765D"/>
    <w:rsid w:val="004A134E"/>
    <w:rsid w:val="004A4630"/>
    <w:rsid w:val="004A6435"/>
    <w:rsid w:val="004B34F9"/>
    <w:rsid w:val="004B3D7B"/>
    <w:rsid w:val="004B4B76"/>
    <w:rsid w:val="004B6D64"/>
    <w:rsid w:val="004C01F0"/>
    <w:rsid w:val="004D1C70"/>
    <w:rsid w:val="004D2A4B"/>
    <w:rsid w:val="004D44EC"/>
    <w:rsid w:val="004D6390"/>
    <w:rsid w:val="004E0657"/>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5F26"/>
    <w:rsid w:val="00596143"/>
    <w:rsid w:val="005A161F"/>
    <w:rsid w:val="005A2D00"/>
    <w:rsid w:val="005A3E80"/>
    <w:rsid w:val="005A3EC9"/>
    <w:rsid w:val="005A571F"/>
    <w:rsid w:val="005B3907"/>
    <w:rsid w:val="005B462C"/>
    <w:rsid w:val="005B4F1D"/>
    <w:rsid w:val="005B53D4"/>
    <w:rsid w:val="005B55C3"/>
    <w:rsid w:val="005D40E9"/>
    <w:rsid w:val="005E1B03"/>
    <w:rsid w:val="005E4350"/>
    <w:rsid w:val="005F25B5"/>
    <w:rsid w:val="005F27C3"/>
    <w:rsid w:val="005F478C"/>
    <w:rsid w:val="005F6744"/>
    <w:rsid w:val="00601F07"/>
    <w:rsid w:val="006133FE"/>
    <w:rsid w:val="00615FD4"/>
    <w:rsid w:val="00622766"/>
    <w:rsid w:val="006301A9"/>
    <w:rsid w:val="00632412"/>
    <w:rsid w:val="006355BD"/>
    <w:rsid w:val="00635D9C"/>
    <w:rsid w:val="006370BA"/>
    <w:rsid w:val="00641FA5"/>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35036"/>
    <w:rsid w:val="00743C7A"/>
    <w:rsid w:val="007450A8"/>
    <w:rsid w:val="00745BAF"/>
    <w:rsid w:val="0074604B"/>
    <w:rsid w:val="007474CD"/>
    <w:rsid w:val="00753620"/>
    <w:rsid w:val="007600A2"/>
    <w:rsid w:val="00763253"/>
    <w:rsid w:val="00772080"/>
    <w:rsid w:val="00783EC6"/>
    <w:rsid w:val="007950AC"/>
    <w:rsid w:val="007958E0"/>
    <w:rsid w:val="007B0FB1"/>
    <w:rsid w:val="007B4043"/>
    <w:rsid w:val="007B4210"/>
    <w:rsid w:val="007D4430"/>
    <w:rsid w:val="007E31E6"/>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8733D"/>
    <w:rsid w:val="00890CCA"/>
    <w:rsid w:val="0089517B"/>
    <w:rsid w:val="00896ED8"/>
    <w:rsid w:val="008A1539"/>
    <w:rsid w:val="008A1BE4"/>
    <w:rsid w:val="008A1D6E"/>
    <w:rsid w:val="008A25EC"/>
    <w:rsid w:val="008A7B9C"/>
    <w:rsid w:val="008B0B9A"/>
    <w:rsid w:val="008D0F5D"/>
    <w:rsid w:val="008E61BB"/>
    <w:rsid w:val="008F28B4"/>
    <w:rsid w:val="008F39C3"/>
    <w:rsid w:val="008F5171"/>
    <w:rsid w:val="00903D26"/>
    <w:rsid w:val="0091040A"/>
    <w:rsid w:val="009444B1"/>
    <w:rsid w:val="00954526"/>
    <w:rsid w:val="00963717"/>
    <w:rsid w:val="00963E0B"/>
    <w:rsid w:val="00977AB1"/>
    <w:rsid w:val="00980AC7"/>
    <w:rsid w:val="00981D71"/>
    <w:rsid w:val="0098202D"/>
    <w:rsid w:val="0098312D"/>
    <w:rsid w:val="0098477F"/>
    <w:rsid w:val="009A3578"/>
    <w:rsid w:val="009A71F8"/>
    <w:rsid w:val="009A7269"/>
    <w:rsid w:val="009B282C"/>
    <w:rsid w:val="009B2ABD"/>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62702"/>
    <w:rsid w:val="00A70EF7"/>
    <w:rsid w:val="00A71F16"/>
    <w:rsid w:val="00A73596"/>
    <w:rsid w:val="00A7374E"/>
    <w:rsid w:val="00A7752F"/>
    <w:rsid w:val="00A77C1B"/>
    <w:rsid w:val="00A82761"/>
    <w:rsid w:val="00A83386"/>
    <w:rsid w:val="00A83E50"/>
    <w:rsid w:val="00A90737"/>
    <w:rsid w:val="00A91240"/>
    <w:rsid w:val="00A916B5"/>
    <w:rsid w:val="00A95692"/>
    <w:rsid w:val="00AA7813"/>
    <w:rsid w:val="00AC2682"/>
    <w:rsid w:val="00AC26FD"/>
    <w:rsid w:val="00AC48DD"/>
    <w:rsid w:val="00AC70E4"/>
    <w:rsid w:val="00AD3B7B"/>
    <w:rsid w:val="00AE1102"/>
    <w:rsid w:val="00AE28DC"/>
    <w:rsid w:val="00AE42C4"/>
    <w:rsid w:val="00AE690B"/>
    <w:rsid w:val="00AF193B"/>
    <w:rsid w:val="00B064FC"/>
    <w:rsid w:val="00B13F45"/>
    <w:rsid w:val="00B16EA8"/>
    <w:rsid w:val="00B2156F"/>
    <w:rsid w:val="00B22B0E"/>
    <w:rsid w:val="00B250D9"/>
    <w:rsid w:val="00B34025"/>
    <w:rsid w:val="00B346B4"/>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D7773"/>
    <w:rsid w:val="00BF4979"/>
    <w:rsid w:val="00BF4FEB"/>
    <w:rsid w:val="00BF5F52"/>
    <w:rsid w:val="00BF6079"/>
    <w:rsid w:val="00BF611F"/>
    <w:rsid w:val="00BF6130"/>
    <w:rsid w:val="00C1371A"/>
    <w:rsid w:val="00C141E6"/>
    <w:rsid w:val="00C21443"/>
    <w:rsid w:val="00C2726A"/>
    <w:rsid w:val="00C30B44"/>
    <w:rsid w:val="00C34CC5"/>
    <w:rsid w:val="00C35850"/>
    <w:rsid w:val="00C51ED4"/>
    <w:rsid w:val="00C5611B"/>
    <w:rsid w:val="00C57486"/>
    <w:rsid w:val="00C6274D"/>
    <w:rsid w:val="00C64A0B"/>
    <w:rsid w:val="00C64E20"/>
    <w:rsid w:val="00C81765"/>
    <w:rsid w:val="00C8217D"/>
    <w:rsid w:val="00C83611"/>
    <w:rsid w:val="00C83D9E"/>
    <w:rsid w:val="00C936CE"/>
    <w:rsid w:val="00C94F9E"/>
    <w:rsid w:val="00CA3878"/>
    <w:rsid w:val="00CA6ADD"/>
    <w:rsid w:val="00CA7D47"/>
    <w:rsid w:val="00CB157B"/>
    <w:rsid w:val="00CC2972"/>
    <w:rsid w:val="00CC390B"/>
    <w:rsid w:val="00CC6649"/>
    <w:rsid w:val="00CD24B8"/>
    <w:rsid w:val="00CE3219"/>
    <w:rsid w:val="00CE4E3A"/>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647D"/>
    <w:rsid w:val="00DC72DF"/>
    <w:rsid w:val="00DD5E94"/>
    <w:rsid w:val="00DF48E2"/>
    <w:rsid w:val="00DF6CED"/>
    <w:rsid w:val="00DF7963"/>
    <w:rsid w:val="00E012EB"/>
    <w:rsid w:val="00E01959"/>
    <w:rsid w:val="00E03022"/>
    <w:rsid w:val="00E1176F"/>
    <w:rsid w:val="00E16953"/>
    <w:rsid w:val="00E248C9"/>
    <w:rsid w:val="00E2632B"/>
    <w:rsid w:val="00E27D57"/>
    <w:rsid w:val="00E52666"/>
    <w:rsid w:val="00E6205B"/>
    <w:rsid w:val="00E750B1"/>
    <w:rsid w:val="00E80D96"/>
    <w:rsid w:val="00E8122D"/>
    <w:rsid w:val="00E816C0"/>
    <w:rsid w:val="00E85D85"/>
    <w:rsid w:val="00E91EEF"/>
    <w:rsid w:val="00E92C14"/>
    <w:rsid w:val="00EA2BE8"/>
    <w:rsid w:val="00EA3EA5"/>
    <w:rsid w:val="00EA598A"/>
    <w:rsid w:val="00EB3169"/>
    <w:rsid w:val="00EB4369"/>
    <w:rsid w:val="00EB4852"/>
    <w:rsid w:val="00ED1809"/>
    <w:rsid w:val="00ED493C"/>
    <w:rsid w:val="00EE6C3A"/>
    <w:rsid w:val="00EF6913"/>
    <w:rsid w:val="00EF7E8D"/>
    <w:rsid w:val="00F009DC"/>
    <w:rsid w:val="00F0355E"/>
    <w:rsid w:val="00F042F4"/>
    <w:rsid w:val="00F056B7"/>
    <w:rsid w:val="00F108FA"/>
    <w:rsid w:val="00F12093"/>
    <w:rsid w:val="00F13906"/>
    <w:rsid w:val="00F14133"/>
    <w:rsid w:val="00F16272"/>
    <w:rsid w:val="00F2283A"/>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141D"/>
    <w:rsid w:val="00FE5AC7"/>
    <w:rsid w:val="00FF0F1A"/>
    <w:rsid w:val="00FF6AD6"/>
    <w:rsid w:val="010C2544"/>
    <w:rsid w:val="010F3B4F"/>
    <w:rsid w:val="016043AA"/>
    <w:rsid w:val="01613449"/>
    <w:rsid w:val="018A1427"/>
    <w:rsid w:val="01DF79C5"/>
    <w:rsid w:val="01F114A6"/>
    <w:rsid w:val="02217FDE"/>
    <w:rsid w:val="022B2C0A"/>
    <w:rsid w:val="022C78EE"/>
    <w:rsid w:val="02380E83"/>
    <w:rsid w:val="02872ED6"/>
    <w:rsid w:val="02890266"/>
    <w:rsid w:val="03022BC6"/>
    <w:rsid w:val="0317318F"/>
    <w:rsid w:val="034D4BC8"/>
    <w:rsid w:val="03681C3C"/>
    <w:rsid w:val="03F60FF6"/>
    <w:rsid w:val="043D4E77"/>
    <w:rsid w:val="046E6DDE"/>
    <w:rsid w:val="048900BC"/>
    <w:rsid w:val="048E56D2"/>
    <w:rsid w:val="04E61983"/>
    <w:rsid w:val="04F93EF7"/>
    <w:rsid w:val="05191440"/>
    <w:rsid w:val="053E3F8C"/>
    <w:rsid w:val="056C012F"/>
    <w:rsid w:val="05AF76AE"/>
    <w:rsid w:val="0623162F"/>
    <w:rsid w:val="06835001"/>
    <w:rsid w:val="06C23411"/>
    <w:rsid w:val="076B50BC"/>
    <w:rsid w:val="07CD3AA2"/>
    <w:rsid w:val="083E37C8"/>
    <w:rsid w:val="089332B7"/>
    <w:rsid w:val="08A54D99"/>
    <w:rsid w:val="08BC0A60"/>
    <w:rsid w:val="0907213E"/>
    <w:rsid w:val="09572537"/>
    <w:rsid w:val="09594501"/>
    <w:rsid w:val="09CF47C3"/>
    <w:rsid w:val="09D21BBD"/>
    <w:rsid w:val="09EB0ED1"/>
    <w:rsid w:val="0A0F696E"/>
    <w:rsid w:val="0A4E393A"/>
    <w:rsid w:val="0A911A78"/>
    <w:rsid w:val="0A951569"/>
    <w:rsid w:val="0ABE2142"/>
    <w:rsid w:val="0AD100C7"/>
    <w:rsid w:val="0AD64E6D"/>
    <w:rsid w:val="0B095AB3"/>
    <w:rsid w:val="0B6147F1"/>
    <w:rsid w:val="0BAD643E"/>
    <w:rsid w:val="0BBE064B"/>
    <w:rsid w:val="0BE26932"/>
    <w:rsid w:val="0BE47D69"/>
    <w:rsid w:val="0BED7182"/>
    <w:rsid w:val="0C006EB6"/>
    <w:rsid w:val="0C067990"/>
    <w:rsid w:val="0C4A2728"/>
    <w:rsid w:val="0C5D60B6"/>
    <w:rsid w:val="0CA77331"/>
    <w:rsid w:val="0CC14C18"/>
    <w:rsid w:val="0CF140C8"/>
    <w:rsid w:val="0D077DD0"/>
    <w:rsid w:val="0D0C188A"/>
    <w:rsid w:val="0D1D6B9E"/>
    <w:rsid w:val="0D2E16CF"/>
    <w:rsid w:val="0D2F22E2"/>
    <w:rsid w:val="0D4515B4"/>
    <w:rsid w:val="0D765A45"/>
    <w:rsid w:val="0D9773A6"/>
    <w:rsid w:val="0E126F52"/>
    <w:rsid w:val="0E2A13BF"/>
    <w:rsid w:val="0E43308A"/>
    <w:rsid w:val="0EE42777"/>
    <w:rsid w:val="0F2B249C"/>
    <w:rsid w:val="0F6D0FDF"/>
    <w:rsid w:val="0F8B4CE8"/>
    <w:rsid w:val="0F8E6586"/>
    <w:rsid w:val="0FE443F8"/>
    <w:rsid w:val="1025513D"/>
    <w:rsid w:val="10DD651F"/>
    <w:rsid w:val="10F468BD"/>
    <w:rsid w:val="1102722C"/>
    <w:rsid w:val="110961DE"/>
    <w:rsid w:val="112453F4"/>
    <w:rsid w:val="11B60016"/>
    <w:rsid w:val="12172744"/>
    <w:rsid w:val="1283614B"/>
    <w:rsid w:val="129465AA"/>
    <w:rsid w:val="12C0739F"/>
    <w:rsid w:val="130A061A"/>
    <w:rsid w:val="13385187"/>
    <w:rsid w:val="134A6C68"/>
    <w:rsid w:val="139879D4"/>
    <w:rsid w:val="13DF5603"/>
    <w:rsid w:val="14107EB2"/>
    <w:rsid w:val="14522278"/>
    <w:rsid w:val="14537D9F"/>
    <w:rsid w:val="14C60571"/>
    <w:rsid w:val="15145780"/>
    <w:rsid w:val="153E27FD"/>
    <w:rsid w:val="153E69EA"/>
    <w:rsid w:val="15400323"/>
    <w:rsid w:val="15836462"/>
    <w:rsid w:val="15CC7E09"/>
    <w:rsid w:val="15D76399"/>
    <w:rsid w:val="16866609"/>
    <w:rsid w:val="172469D5"/>
    <w:rsid w:val="17306175"/>
    <w:rsid w:val="17407202"/>
    <w:rsid w:val="17A27073"/>
    <w:rsid w:val="17C27715"/>
    <w:rsid w:val="180F222F"/>
    <w:rsid w:val="186D5CBC"/>
    <w:rsid w:val="18942F6A"/>
    <w:rsid w:val="18DA283C"/>
    <w:rsid w:val="18ED4334"/>
    <w:rsid w:val="19826916"/>
    <w:rsid w:val="19A5109C"/>
    <w:rsid w:val="19A90B8D"/>
    <w:rsid w:val="19B117EF"/>
    <w:rsid w:val="19E17FAF"/>
    <w:rsid w:val="1A670100"/>
    <w:rsid w:val="1A6F528E"/>
    <w:rsid w:val="1A965BFC"/>
    <w:rsid w:val="1AB81758"/>
    <w:rsid w:val="1B4D19EC"/>
    <w:rsid w:val="1BA41680"/>
    <w:rsid w:val="1BED0AD9"/>
    <w:rsid w:val="1BF53267"/>
    <w:rsid w:val="1C0E117B"/>
    <w:rsid w:val="1C33473D"/>
    <w:rsid w:val="1C4C3A51"/>
    <w:rsid w:val="1C69015F"/>
    <w:rsid w:val="1C94789B"/>
    <w:rsid w:val="1CBF7DCF"/>
    <w:rsid w:val="1CC730D8"/>
    <w:rsid w:val="1D556936"/>
    <w:rsid w:val="1D762024"/>
    <w:rsid w:val="1DCF493A"/>
    <w:rsid w:val="1E525F06"/>
    <w:rsid w:val="1E766B63"/>
    <w:rsid w:val="1EAC0AAC"/>
    <w:rsid w:val="1EB3600A"/>
    <w:rsid w:val="1EB853CE"/>
    <w:rsid w:val="1EEA3AC9"/>
    <w:rsid w:val="1EED1389"/>
    <w:rsid w:val="1F1A7E37"/>
    <w:rsid w:val="1F5C21FD"/>
    <w:rsid w:val="1F974FE3"/>
    <w:rsid w:val="1FF236E2"/>
    <w:rsid w:val="201F1463"/>
    <w:rsid w:val="20322137"/>
    <w:rsid w:val="205648A9"/>
    <w:rsid w:val="205F4DDA"/>
    <w:rsid w:val="20847C5E"/>
    <w:rsid w:val="20D02EA3"/>
    <w:rsid w:val="20EF09AB"/>
    <w:rsid w:val="2139587A"/>
    <w:rsid w:val="21731A80"/>
    <w:rsid w:val="219E6AFD"/>
    <w:rsid w:val="21B843D9"/>
    <w:rsid w:val="21C93434"/>
    <w:rsid w:val="21E604A4"/>
    <w:rsid w:val="22031056"/>
    <w:rsid w:val="225278E7"/>
    <w:rsid w:val="228A7081"/>
    <w:rsid w:val="22EC14F1"/>
    <w:rsid w:val="22F774F6"/>
    <w:rsid w:val="23735059"/>
    <w:rsid w:val="244D419B"/>
    <w:rsid w:val="2466755A"/>
    <w:rsid w:val="246C2D68"/>
    <w:rsid w:val="24782FEE"/>
    <w:rsid w:val="250D2E12"/>
    <w:rsid w:val="255D282B"/>
    <w:rsid w:val="259D70CC"/>
    <w:rsid w:val="25C94365"/>
    <w:rsid w:val="25CB3C39"/>
    <w:rsid w:val="25FC2044"/>
    <w:rsid w:val="26230386"/>
    <w:rsid w:val="26296BB1"/>
    <w:rsid w:val="26CD39E1"/>
    <w:rsid w:val="270244AF"/>
    <w:rsid w:val="272D3CD7"/>
    <w:rsid w:val="276E0D20"/>
    <w:rsid w:val="279829B9"/>
    <w:rsid w:val="27C941A8"/>
    <w:rsid w:val="27CD46E2"/>
    <w:rsid w:val="27EC7E96"/>
    <w:rsid w:val="28697739"/>
    <w:rsid w:val="28795CAE"/>
    <w:rsid w:val="287C121A"/>
    <w:rsid w:val="28CF6D5C"/>
    <w:rsid w:val="28D728FE"/>
    <w:rsid w:val="290E1224"/>
    <w:rsid w:val="29891E41"/>
    <w:rsid w:val="298C36DF"/>
    <w:rsid w:val="29932CBF"/>
    <w:rsid w:val="2A0D0CC4"/>
    <w:rsid w:val="2A1E3465"/>
    <w:rsid w:val="2A475858"/>
    <w:rsid w:val="2A6C65F7"/>
    <w:rsid w:val="2A8F792B"/>
    <w:rsid w:val="2AA6133D"/>
    <w:rsid w:val="2BBB474F"/>
    <w:rsid w:val="2BCB5B07"/>
    <w:rsid w:val="2BDD6474"/>
    <w:rsid w:val="2C136339"/>
    <w:rsid w:val="2CA70830"/>
    <w:rsid w:val="2CAD22EA"/>
    <w:rsid w:val="2CDC672B"/>
    <w:rsid w:val="2D502C75"/>
    <w:rsid w:val="2D6812F4"/>
    <w:rsid w:val="2E026BA2"/>
    <w:rsid w:val="2E0C4DEE"/>
    <w:rsid w:val="2E316BEE"/>
    <w:rsid w:val="2EE45D6B"/>
    <w:rsid w:val="2EE7735A"/>
    <w:rsid w:val="2EE95130"/>
    <w:rsid w:val="2EEB0EA8"/>
    <w:rsid w:val="2F123144"/>
    <w:rsid w:val="2F452CAE"/>
    <w:rsid w:val="2F633134"/>
    <w:rsid w:val="2F716810"/>
    <w:rsid w:val="2F805A94"/>
    <w:rsid w:val="2F877A0A"/>
    <w:rsid w:val="306405FB"/>
    <w:rsid w:val="30D01BED"/>
    <w:rsid w:val="30DF7E8F"/>
    <w:rsid w:val="31442AF1"/>
    <w:rsid w:val="318E7998"/>
    <w:rsid w:val="31ED3189"/>
    <w:rsid w:val="31FB3AF8"/>
    <w:rsid w:val="32542738"/>
    <w:rsid w:val="32943604"/>
    <w:rsid w:val="32952671"/>
    <w:rsid w:val="32B048E2"/>
    <w:rsid w:val="33044C2E"/>
    <w:rsid w:val="33C70135"/>
    <w:rsid w:val="341C7121"/>
    <w:rsid w:val="349B0B50"/>
    <w:rsid w:val="34D332FE"/>
    <w:rsid w:val="34F565DC"/>
    <w:rsid w:val="35101668"/>
    <w:rsid w:val="35643762"/>
    <w:rsid w:val="35E87898"/>
    <w:rsid w:val="35F76384"/>
    <w:rsid w:val="365E6403"/>
    <w:rsid w:val="368E5920"/>
    <w:rsid w:val="36C54103"/>
    <w:rsid w:val="36E2757E"/>
    <w:rsid w:val="37296A11"/>
    <w:rsid w:val="37472634"/>
    <w:rsid w:val="375A406B"/>
    <w:rsid w:val="37682A67"/>
    <w:rsid w:val="37A07217"/>
    <w:rsid w:val="386907F2"/>
    <w:rsid w:val="38806B05"/>
    <w:rsid w:val="38AE3672"/>
    <w:rsid w:val="395873E0"/>
    <w:rsid w:val="398427FF"/>
    <w:rsid w:val="3A797CAF"/>
    <w:rsid w:val="3B2E7C35"/>
    <w:rsid w:val="3B6B7997"/>
    <w:rsid w:val="3C7E55A0"/>
    <w:rsid w:val="3C7E7E4D"/>
    <w:rsid w:val="3CB23005"/>
    <w:rsid w:val="3CD967E3"/>
    <w:rsid w:val="3D51281E"/>
    <w:rsid w:val="3D920AB3"/>
    <w:rsid w:val="3D9372DA"/>
    <w:rsid w:val="3D956BAE"/>
    <w:rsid w:val="3E1A70B4"/>
    <w:rsid w:val="3E442382"/>
    <w:rsid w:val="3E4F54B3"/>
    <w:rsid w:val="3E57579A"/>
    <w:rsid w:val="3E6B6D9C"/>
    <w:rsid w:val="3EA006FD"/>
    <w:rsid w:val="3F12422F"/>
    <w:rsid w:val="3F261A88"/>
    <w:rsid w:val="3F283A52"/>
    <w:rsid w:val="3F8213B4"/>
    <w:rsid w:val="3FD44368"/>
    <w:rsid w:val="400242A3"/>
    <w:rsid w:val="404843AC"/>
    <w:rsid w:val="406A6438"/>
    <w:rsid w:val="40905054"/>
    <w:rsid w:val="409B2C7E"/>
    <w:rsid w:val="40C726B4"/>
    <w:rsid w:val="412F2E76"/>
    <w:rsid w:val="41391F47"/>
    <w:rsid w:val="4167503B"/>
    <w:rsid w:val="41C95125"/>
    <w:rsid w:val="41D37CA5"/>
    <w:rsid w:val="42165DE4"/>
    <w:rsid w:val="423E7DE4"/>
    <w:rsid w:val="424B0DFC"/>
    <w:rsid w:val="426D5F6E"/>
    <w:rsid w:val="42FF4A2B"/>
    <w:rsid w:val="43086074"/>
    <w:rsid w:val="43B458B4"/>
    <w:rsid w:val="43F56786"/>
    <w:rsid w:val="44000AFA"/>
    <w:rsid w:val="444C1F91"/>
    <w:rsid w:val="44DC50C3"/>
    <w:rsid w:val="44E346A3"/>
    <w:rsid w:val="44F00B6E"/>
    <w:rsid w:val="45097E82"/>
    <w:rsid w:val="452B1BA6"/>
    <w:rsid w:val="456C546E"/>
    <w:rsid w:val="45877724"/>
    <w:rsid w:val="45977351"/>
    <w:rsid w:val="45C269AF"/>
    <w:rsid w:val="45F42EB8"/>
    <w:rsid w:val="46056344"/>
    <w:rsid w:val="46432224"/>
    <w:rsid w:val="464F7B16"/>
    <w:rsid w:val="467B4C8A"/>
    <w:rsid w:val="46974A2B"/>
    <w:rsid w:val="47BE6D02"/>
    <w:rsid w:val="47E32C0C"/>
    <w:rsid w:val="48931F3C"/>
    <w:rsid w:val="48AB372A"/>
    <w:rsid w:val="48B5696C"/>
    <w:rsid w:val="48B819A3"/>
    <w:rsid w:val="48FC21D7"/>
    <w:rsid w:val="49184B37"/>
    <w:rsid w:val="4938256C"/>
    <w:rsid w:val="493A4AAE"/>
    <w:rsid w:val="495D254A"/>
    <w:rsid w:val="497C6E74"/>
    <w:rsid w:val="49AC543C"/>
    <w:rsid w:val="49E36EF3"/>
    <w:rsid w:val="49F904C5"/>
    <w:rsid w:val="4A0330F2"/>
    <w:rsid w:val="4A0B1FA6"/>
    <w:rsid w:val="4A0D3596"/>
    <w:rsid w:val="4A4E6A63"/>
    <w:rsid w:val="4ACD2A51"/>
    <w:rsid w:val="4ADF76BB"/>
    <w:rsid w:val="4B4053E3"/>
    <w:rsid w:val="4B422851"/>
    <w:rsid w:val="4B8D08A2"/>
    <w:rsid w:val="4BD6274F"/>
    <w:rsid w:val="4BF47196"/>
    <w:rsid w:val="4C150FBA"/>
    <w:rsid w:val="4C2279B2"/>
    <w:rsid w:val="4C472E7D"/>
    <w:rsid w:val="4C5B7215"/>
    <w:rsid w:val="4C9170DB"/>
    <w:rsid w:val="4C9F2A7B"/>
    <w:rsid w:val="4CB85CB5"/>
    <w:rsid w:val="4D02189A"/>
    <w:rsid w:val="4D3857A8"/>
    <w:rsid w:val="4D3C7046"/>
    <w:rsid w:val="4D50664E"/>
    <w:rsid w:val="4D7A191D"/>
    <w:rsid w:val="4DF252CB"/>
    <w:rsid w:val="4E295D4C"/>
    <w:rsid w:val="4E31354B"/>
    <w:rsid w:val="4EF31987"/>
    <w:rsid w:val="4F717F10"/>
    <w:rsid w:val="4F764366"/>
    <w:rsid w:val="4F9A0054"/>
    <w:rsid w:val="4FA709C3"/>
    <w:rsid w:val="4FC84D31"/>
    <w:rsid w:val="4FD317B8"/>
    <w:rsid w:val="50113D90"/>
    <w:rsid w:val="501519DD"/>
    <w:rsid w:val="50302767"/>
    <w:rsid w:val="504F0E3F"/>
    <w:rsid w:val="507C6263"/>
    <w:rsid w:val="508A0E56"/>
    <w:rsid w:val="510F701A"/>
    <w:rsid w:val="51673008"/>
    <w:rsid w:val="5199638E"/>
    <w:rsid w:val="51BD509B"/>
    <w:rsid w:val="521A547C"/>
    <w:rsid w:val="52D27F49"/>
    <w:rsid w:val="52D4387D"/>
    <w:rsid w:val="52F1442F"/>
    <w:rsid w:val="5302663C"/>
    <w:rsid w:val="531B01F2"/>
    <w:rsid w:val="533407C0"/>
    <w:rsid w:val="53420941"/>
    <w:rsid w:val="536524C3"/>
    <w:rsid w:val="537760B9"/>
    <w:rsid w:val="537C59B1"/>
    <w:rsid w:val="539B439B"/>
    <w:rsid w:val="53A5346C"/>
    <w:rsid w:val="53A70F92"/>
    <w:rsid w:val="53B11E10"/>
    <w:rsid w:val="53DA1367"/>
    <w:rsid w:val="544607AB"/>
    <w:rsid w:val="549E2395"/>
    <w:rsid w:val="54AB4AB2"/>
    <w:rsid w:val="54AC3518"/>
    <w:rsid w:val="54D47B64"/>
    <w:rsid w:val="551C6D0B"/>
    <w:rsid w:val="552D3719"/>
    <w:rsid w:val="55733821"/>
    <w:rsid w:val="559B68D4"/>
    <w:rsid w:val="55BB0D24"/>
    <w:rsid w:val="560560AD"/>
    <w:rsid w:val="56410E61"/>
    <w:rsid w:val="5684380C"/>
    <w:rsid w:val="56E85B49"/>
    <w:rsid w:val="57390153"/>
    <w:rsid w:val="57DA3AB3"/>
    <w:rsid w:val="58214C09"/>
    <w:rsid w:val="58276B45"/>
    <w:rsid w:val="58515970"/>
    <w:rsid w:val="585A4825"/>
    <w:rsid w:val="58A415C5"/>
    <w:rsid w:val="58C6432E"/>
    <w:rsid w:val="591C0A3A"/>
    <w:rsid w:val="597162CA"/>
    <w:rsid w:val="59943D66"/>
    <w:rsid w:val="59B61F2F"/>
    <w:rsid w:val="5A3A2B60"/>
    <w:rsid w:val="5A663955"/>
    <w:rsid w:val="5A8D7133"/>
    <w:rsid w:val="5AA47FD9"/>
    <w:rsid w:val="5AAA72D0"/>
    <w:rsid w:val="5B063544"/>
    <w:rsid w:val="5B1E7D8B"/>
    <w:rsid w:val="5B231846"/>
    <w:rsid w:val="5B24111A"/>
    <w:rsid w:val="5B3A3011"/>
    <w:rsid w:val="5BD053AF"/>
    <w:rsid w:val="5BE11FCF"/>
    <w:rsid w:val="5BEA2363"/>
    <w:rsid w:val="5C0D47D8"/>
    <w:rsid w:val="5C166CB5"/>
    <w:rsid w:val="5C3E22E0"/>
    <w:rsid w:val="5C510930"/>
    <w:rsid w:val="5C5872CD"/>
    <w:rsid w:val="5C63055C"/>
    <w:rsid w:val="5C936A98"/>
    <w:rsid w:val="5C9D5DDF"/>
    <w:rsid w:val="5CA1516C"/>
    <w:rsid w:val="5CA23409"/>
    <w:rsid w:val="5CDB0A62"/>
    <w:rsid w:val="5D5C4B9B"/>
    <w:rsid w:val="5D683C6C"/>
    <w:rsid w:val="5D9E4640"/>
    <w:rsid w:val="5DD72473"/>
    <w:rsid w:val="5E0F0AD4"/>
    <w:rsid w:val="5E584ED9"/>
    <w:rsid w:val="5EC0115A"/>
    <w:rsid w:val="5ED2780B"/>
    <w:rsid w:val="5F797C86"/>
    <w:rsid w:val="60186A28"/>
    <w:rsid w:val="60446E43"/>
    <w:rsid w:val="608347CF"/>
    <w:rsid w:val="60A07495"/>
    <w:rsid w:val="60DB4EA5"/>
    <w:rsid w:val="60F811C1"/>
    <w:rsid w:val="61167757"/>
    <w:rsid w:val="612E05C2"/>
    <w:rsid w:val="61497CEF"/>
    <w:rsid w:val="616C3D5B"/>
    <w:rsid w:val="61806483"/>
    <w:rsid w:val="619072D4"/>
    <w:rsid w:val="61F801D2"/>
    <w:rsid w:val="626E3CB0"/>
    <w:rsid w:val="62742987"/>
    <w:rsid w:val="62E418BB"/>
    <w:rsid w:val="62E713AB"/>
    <w:rsid w:val="62E96ED1"/>
    <w:rsid w:val="63473929"/>
    <w:rsid w:val="636649C5"/>
    <w:rsid w:val="636D6011"/>
    <w:rsid w:val="63862972"/>
    <w:rsid w:val="64236413"/>
    <w:rsid w:val="64416899"/>
    <w:rsid w:val="64B11C70"/>
    <w:rsid w:val="64E8140A"/>
    <w:rsid w:val="653528A1"/>
    <w:rsid w:val="65F2258C"/>
    <w:rsid w:val="6646010A"/>
    <w:rsid w:val="665808D4"/>
    <w:rsid w:val="66A07C1E"/>
    <w:rsid w:val="66A80E51"/>
    <w:rsid w:val="66AF19DA"/>
    <w:rsid w:val="66CC0FE3"/>
    <w:rsid w:val="6710513C"/>
    <w:rsid w:val="671D35ED"/>
    <w:rsid w:val="671F55B7"/>
    <w:rsid w:val="675A5AE8"/>
    <w:rsid w:val="677A6507"/>
    <w:rsid w:val="68185BEC"/>
    <w:rsid w:val="68A85138"/>
    <w:rsid w:val="68B86C5B"/>
    <w:rsid w:val="68BC5088"/>
    <w:rsid w:val="691F1FEC"/>
    <w:rsid w:val="69407A67"/>
    <w:rsid w:val="695C3D4C"/>
    <w:rsid w:val="69F30635"/>
    <w:rsid w:val="6A0B3BD1"/>
    <w:rsid w:val="6A1B7B8C"/>
    <w:rsid w:val="6A7A5AEA"/>
    <w:rsid w:val="6AB8552D"/>
    <w:rsid w:val="6AD95A7D"/>
    <w:rsid w:val="6ADE7537"/>
    <w:rsid w:val="6BC13960"/>
    <w:rsid w:val="6BD9731F"/>
    <w:rsid w:val="6BE24E05"/>
    <w:rsid w:val="6C042FCD"/>
    <w:rsid w:val="6C0C1E82"/>
    <w:rsid w:val="6C2B055A"/>
    <w:rsid w:val="6C5A2BED"/>
    <w:rsid w:val="6C6E0447"/>
    <w:rsid w:val="6CAB51F7"/>
    <w:rsid w:val="6CCE7137"/>
    <w:rsid w:val="6CD3474E"/>
    <w:rsid w:val="6CE625EE"/>
    <w:rsid w:val="6CFB70CA"/>
    <w:rsid w:val="6D156B14"/>
    <w:rsid w:val="6D633984"/>
    <w:rsid w:val="6DE94229"/>
    <w:rsid w:val="6DF60098"/>
    <w:rsid w:val="6E030710"/>
    <w:rsid w:val="6E1F0C2D"/>
    <w:rsid w:val="6E2A65EF"/>
    <w:rsid w:val="6E3D6323"/>
    <w:rsid w:val="6E926965"/>
    <w:rsid w:val="6ECA4942"/>
    <w:rsid w:val="6EE42C42"/>
    <w:rsid w:val="6EEF1D13"/>
    <w:rsid w:val="6F6D70DC"/>
    <w:rsid w:val="6F8F2BAE"/>
    <w:rsid w:val="6FD11419"/>
    <w:rsid w:val="70027824"/>
    <w:rsid w:val="708C2B36"/>
    <w:rsid w:val="708C533F"/>
    <w:rsid w:val="70952B65"/>
    <w:rsid w:val="709F1517"/>
    <w:rsid w:val="70C57A02"/>
    <w:rsid w:val="70DB38A7"/>
    <w:rsid w:val="70EB475C"/>
    <w:rsid w:val="70FE780D"/>
    <w:rsid w:val="712E50BB"/>
    <w:rsid w:val="712F289B"/>
    <w:rsid w:val="713954C7"/>
    <w:rsid w:val="714A76D4"/>
    <w:rsid w:val="71D1780D"/>
    <w:rsid w:val="71DC1AE4"/>
    <w:rsid w:val="72217603"/>
    <w:rsid w:val="72487296"/>
    <w:rsid w:val="725974A3"/>
    <w:rsid w:val="7282207E"/>
    <w:rsid w:val="72916C3D"/>
    <w:rsid w:val="72E826C1"/>
    <w:rsid w:val="7315161C"/>
    <w:rsid w:val="734939BC"/>
    <w:rsid w:val="739801A3"/>
    <w:rsid w:val="73D54DAE"/>
    <w:rsid w:val="74226CB9"/>
    <w:rsid w:val="743C0E2B"/>
    <w:rsid w:val="748C590E"/>
    <w:rsid w:val="74982505"/>
    <w:rsid w:val="74B03CF2"/>
    <w:rsid w:val="75006B73"/>
    <w:rsid w:val="754D1541"/>
    <w:rsid w:val="75713487"/>
    <w:rsid w:val="7591786E"/>
    <w:rsid w:val="75E63744"/>
    <w:rsid w:val="75E67957"/>
    <w:rsid w:val="75F776FF"/>
    <w:rsid w:val="764E69E8"/>
    <w:rsid w:val="77100A78"/>
    <w:rsid w:val="7787662E"/>
    <w:rsid w:val="778C4E61"/>
    <w:rsid w:val="77F20BEE"/>
    <w:rsid w:val="77F57C6E"/>
    <w:rsid w:val="780879A1"/>
    <w:rsid w:val="781225CE"/>
    <w:rsid w:val="78615304"/>
    <w:rsid w:val="789314F6"/>
    <w:rsid w:val="78C24964"/>
    <w:rsid w:val="78C7785D"/>
    <w:rsid w:val="78D855C6"/>
    <w:rsid w:val="790A7E6D"/>
    <w:rsid w:val="794C38BE"/>
    <w:rsid w:val="795C2A02"/>
    <w:rsid w:val="797A7FFA"/>
    <w:rsid w:val="798365B5"/>
    <w:rsid w:val="79AC4BB9"/>
    <w:rsid w:val="79CC0928"/>
    <w:rsid w:val="7A020420"/>
    <w:rsid w:val="7A1545F8"/>
    <w:rsid w:val="7A3B0217"/>
    <w:rsid w:val="7ABB1C53"/>
    <w:rsid w:val="7ACF3C5D"/>
    <w:rsid w:val="7B300C63"/>
    <w:rsid w:val="7B5B603A"/>
    <w:rsid w:val="7BB340C8"/>
    <w:rsid w:val="7BE95D3C"/>
    <w:rsid w:val="7BF34C08"/>
    <w:rsid w:val="7C0466D2"/>
    <w:rsid w:val="7C246D74"/>
    <w:rsid w:val="7C3A20F4"/>
    <w:rsid w:val="7C544A6F"/>
    <w:rsid w:val="7C6460D0"/>
    <w:rsid w:val="7CA270D6"/>
    <w:rsid w:val="7CA35EEB"/>
    <w:rsid w:val="7D782ED3"/>
    <w:rsid w:val="7DCE343B"/>
    <w:rsid w:val="7DDC0E2A"/>
    <w:rsid w:val="7E2766A8"/>
    <w:rsid w:val="7E4401E2"/>
    <w:rsid w:val="7E851D4C"/>
    <w:rsid w:val="7E9E2E0E"/>
    <w:rsid w:val="7EAA3560"/>
    <w:rsid w:val="7ECF0FC0"/>
    <w:rsid w:val="7EFE0269"/>
    <w:rsid w:val="7F4219EB"/>
    <w:rsid w:val="7F5434CC"/>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9"/>
    <w:pPr>
      <w:keepNext/>
      <w:spacing w:line="360" w:lineRule="auto"/>
      <w:jc w:val="center"/>
      <w:outlineLvl w:val="0"/>
    </w:pPr>
    <w:rPr>
      <w:rFonts w:ascii="宋体" w:hAnsi="宋体" w:cs="宋体"/>
      <w:sz w:val="28"/>
      <w:szCs w:val="20"/>
    </w:rPr>
  </w:style>
  <w:style w:type="paragraph" w:styleId="3">
    <w:name w:val="heading 3"/>
    <w:basedOn w:val="1"/>
    <w:next w:val="1"/>
    <w:unhideWhenUsed/>
    <w:qFormat/>
    <w:uiPriority w:val="9"/>
    <w:pPr>
      <w:keepNext/>
      <w:keepLines/>
      <w:spacing w:before="260" w:after="260" w:line="412" w:lineRule="auto"/>
      <w:outlineLvl w:val="2"/>
    </w:pPr>
    <w:rPr>
      <w:rFonts w:cs="宋体"/>
      <w:b/>
      <w:sz w:val="32"/>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link w:val="35"/>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3"/>
    <w:basedOn w:val="1"/>
    <w:next w:val="1"/>
    <w:link w:val="41"/>
    <w:qFormat/>
    <w:uiPriority w:val="0"/>
    <w:pPr>
      <w:spacing w:after="120"/>
    </w:pPr>
    <w:rPr>
      <w:sz w:val="16"/>
      <w:szCs w:val="16"/>
    </w:rPr>
  </w:style>
  <w:style w:type="paragraph" w:styleId="8">
    <w:name w:val="Body Text"/>
    <w:basedOn w:val="1"/>
    <w:next w:val="9"/>
    <w:qFormat/>
    <w:uiPriority w:val="99"/>
    <w:rPr>
      <w:rFonts w:ascii="楷体_GB2312" w:hAnsi="Arial" w:eastAsia="楷体_GB2312"/>
      <w:kern w:val="0"/>
      <w:sz w:val="28"/>
      <w:szCs w:val="28"/>
    </w:rPr>
  </w:style>
  <w:style w:type="paragraph" w:styleId="9">
    <w:name w:val="Body Text 2"/>
    <w:basedOn w:val="1"/>
    <w:qFormat/>
    <w:uiPriority w:val="0"/>
    <w:pPr>
      <w:tabs>
        <w:tab w:val="left" w:pos="0"/>
        <w:tab w:val="left" w:pos="993"/>
        <w:tab w:val="left" w:pos="1134"/>
      </w:tabs>
      <w:spacing w:line="240" w:lineRule="exact"/>
    </w:pPr>
    <w:rPr>
      <w:rFonts w:ascii="楷体_GB2312" w:eastAsia="楷体_GB2312"/>
      <w:sz w:val="18"/>
    </w:rPr>
  </w:style>
  <w:style w:type="paragraph" w:styleId="10">
    <w:name w:val="Body Text Indent"/>
    <w:basedOn w:val="1"/>
    <w:qFormat/>
    <w:uiPriority w:val="0"/>
    <w:pPr>
      <w:ind w:firstLine="576"/>
    </w:pPr>
    <w:rPr>
      <w:b/>
      <w:sz w:val="30"/>
    </w:rPr>
  </w:style>
  <w:style w:type="paragraph" w:styleId="11">
    <w:name w:val="List Bullet 2"/>
    <w:basedOn w:val="1"/>
    <w:unhideWhenUsed/>
    <w:qFormat/>
    <w:uiPriority w:val="0"/>
    <w:pPr>
      <w:numPr>
        <w:ilvl w:val="0"/>
        <w:numId w:val="1"/>
      </w:numPr>
      <w:contextualSpacing/>
    </w:pPr>
    <w:rPr>
      <w:rFonts w:ascii="Calibri" w:hAnsi="Calibri"/>
    </w:rPr>
  </w:style>
  <w:style w:type="paragraph" w:styleId="12">
    <w:name w:val="Plain Text"/>
    <w:basedOn w:val="1"/>
    <w:link w:val="30"/>
    <w:qFormat/>
    <w:uiPriority w:val="99"/>
    <w:rPr>
      <w:rFonts w:ascii="宋体" w:hAnsi="Courier New"/>
      <w:szCs w:val="20"/>
    </w:rPr>
  </w:style>
  <w:style w:type="paragraph" w:styleId="13">
    <w:name w:val="Balloon Text"/>
    <w:basedOn w:val="1"/>
    <w:link w:val="2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2"/>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10"/>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FollowedHyperlink"/>
    <w:basedOn w:val="21"/>
    <w:semiHidden/>
    <w:unhideWhenUsed/>
    <w:qFormat/>
    <w:uiPriority w:val="99"/>
    <w:rPr>
      <w:color w:val="222222"/>
      <w:u w:val="none"/>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paragraph" w:customStyle="1" w:styleId="25">
    <w:name w:val="正文（缩进）"/>
    <w:basedOn w:val="1"/>
    <w:qFormat/>
    <w:uiPriority w:val="0"/>
    <w:pPr>
      <w:ind w:firstLine="480" w:firstLineChars="200"/>
    </w:pPr>
  </w:style>
  <w:style w:type="paragraph" w:customStyle="1" w:styleId="26">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7">
    <w:name w:val="页眉 Char"/>
    <w:basedOn w:val="21"/>
    <w:link w:val="15"/>
    <w:semiHidden/>
    <w:qFormat/>
    <w:uiPriority w:val="99"/>
    <w:rPr>
      <w:rFonts w:eastAsia="宋体"/>
      <w:kern w:val="2"/>
      <w:sz w:val="18"/>
      <w:szCs w:val="18"/>
    </w:rPr>
  </w:style>
  <w:style w:type="character" w:customStyle="1" w:styleId="28">
    <w:name w:val="页脚 Char"/>
    <w:basedOn w:val="21"/>
    <w:link w:val="14"/>
    <w:semiHidden/>
    <w:qFormat/>
    <w:uiPriority w:val="99"/>
    <w:rPr>
      <w:rFonts w:eastAsia="宋体"/>
      <w:kern w:val="2"/>
      <w:sz w:val="18"/>
      <w:szCs w:val="18"/>
    </w:rPr>
  </w:style>
  <w:style w:type="character" w:customStyle="1" w:styleId="29">
    <w:name w:val="批注框文本 Char"/>
    <w:basedOn w:val="21"/>
    <w:link w:val="13"/>
    <w:semiHidden/>
    <w:qFormat/>
    <w:uiPriority w:val="99"/>
    <w:rPr>
      <w:rFonts w:eastAsia="宋体"/>
      <w:kern w:val="2"/>
      <w:sz w:val="18"/>
      <w:szCs w:val="18"/>
    </w:rPr>
  </w:style>
  <w:style w:type="character" w:customStyle="1" w:styleId="30">
    <w:name w:val="纯文本 Char"/>
    <w:basedOn w:val="21"/>
    <w:link w:val="12"/>
    <w:qFormat/>
    <w:uiPriority w:val="99"/>
    <w:rPr>
      <w:rFonts w:ascii="宋体" w:hAnsi="Courier New" w:eastAsia="宋体"/>
      <w:kern w:val="2"/>
      <w:sz w:val="21"/>
    </w:rPr>
  </w:style>
  <w:style w:type="character" w:customStyle="1" w:styleId="31">
    <w:name w:val="副标题 Char"/>
    <w:qFormat/>
    <w:uiPriority w:val="0"/>
    <w:rPr>
      <w:rFonts w:ascii="Cambria" w:hAnsi="Cambria"/>
      <w:b/>
      <w:bCs/>
      <w:kern w:val="28"/>
      <w:sz w:val="32"/>
      <w:szCs w:val="32"/>
    </w:rPr>
  </w:style>
  <w:style w:type="character" w:customStyle="1" w:styleId="32">
    <w:name w:val="副标题 Char1"/>
    <w:basedOn w:val="21"/>
    <w:link w:val="16"/>
    <w:qFormat/>
    <w:uiPriority w:val="0"/>
    <w:rPr>
      <w:rFonts w:eastAsia="宋体" w:asciiTheme="majorHAnsi" w:hAnsiTheme="majorHAnsi" w:cstheme="majorBidi"/>
      <w:b/>
      <w:bCs/>
      <w:kern w:val="28"/>
      <w:sz w:val="32"/>
      <w:szCs w:val="32"/>
    </w:rPr>
  </w:style>
  <w:style w:type="paragraph" w:styleId="33">
    <w:name w:val="List Paragraph"/>
    <w:basedOn w:val="1"/>
    <w:unhideWhenUsed/>
    <w:qFormat/>
    <w:uiPriority w:val="99"/>
    <w:pPr>
      <w:ind w:firstLine="420" w:firstLineChars="200"/>
    </w:pPr>
  </w:style>
  <w:style w:type="paragraph" w:customStyle="1" w:styleId="34">
    <w:name w:val="普通文字"/>
    <w:basedOn w:val="1"/>
    <w:next w:val="1"/>
    <w:qFormat/>
    <w:uiPriority w:val="0"/>
    <w:rPr>
      <w:rFonts w:ascii="宋体"/>
      <w:kern w:val="0"/>
      <w:sz w:val="24"/>
      <w:u w:color="000000"/>
    </w:rPr>
  </w:style>
  <w:style w:type="character" w:customStyle="1" w:styleId="35">
    <w:name w:val="正文缩进 Char"/>
    <w:link w:val="5"/>
    <w:qFormat/>
    <w:uiPriority w:val="0"/>
    <w:rPr>
      <w:kern w:val="2"/>
      <w:sz w:val="21"/>
      <w:szCs w:val="24"/>
    </w:rPr>
  </w:style>
  <w:style w:type="character" w:customStyle="1" w:styleId="36">
    <w:name w:val="NormalCharacter"/>
    <w:qFormat/>
    <w:uiPriority w:val="0"/>
  </w:style>
  <w:style w:type="character" w:customStyle="1" w:styleId="37">
    <w:name w:val="font11"/>
    <w:basedOn w:val="21"/>
    <w:qFormat/>
    <w:uiPriority w:val="0"/>
    <w:rPr>
      <w:rFonts w:hint="eastAsia" w:ascii="宋体" w:hAnsi="宋体" w:eastAsia="宋体" w:cs="宋体"/>
      <w:b/>
      <w:bCs/>
      <w:color w:val="000000"/>
      <w:sz w:val="22"/>
      <w:szCs w:val="22"/>
      <w:u w:val="none"/>
    </w:rPr>
  </w:style>
  <w:style w:type="paragraph" w:customStyle="1" w:styleId="3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9">
    <w:name w:val="Blockquote Char Char"/>
    <w:link w:val="40"/>
    <w:qFormat/>
    <w:uiPriority w:val="0"/>
    <w:rPr>
      <w:sz w:val="24"/>
    </w:rPr>
  </w:style>
  <w:style w:type="paragraph" w:customStyle="1" w:styleId="40">
    <w:name w:val="Blockquote"/>
    <w:basedOn w:val="1"/>
    <w:link w:val="39"/>
    <w:qFormat/>
    <w:uiPriority w:val="0"/>
    <w:pPr>
      <w:autoSpaceDE w:val="0"/>
      <w:autoSpaceDN w:val="0"/>
      <w:adjustRightInd w:val="0"/>
      <w:spacing w:before="100" w:after="100"/>
      <w:ind w:left="360" w:right="360"/>
      <w:jc w:val="left"/>
    </w:pPr>
    <w:rPr>
      <w:kern w:val="0"/>
      <w:sz w:val="24"/>
      <w:szCs w:val="20"/>
    </w:rPr>
  </w:style>
  <w:style w:type="character" w:customStyle="1" w:styleId="41">
    <w:name w:val="正文文本 3 Char"/>
    <w:basedOn w:val="21"/>
    <w:link w:val="7"/>
    <w:qFormat/>
    <w:uiPriority w:val="0"/>
    <w:rPr>
      <w:kern w:val="2"/>
      <w:sz w:val="16"/>
      <w:szCs w:val="16"/>
    </w:rPr>
  </w:style>
  <w:style w:type="paragraph" w:customStyle="1" w:styleId="42">
    <w:name w:val="正文_0_0_0_0"/>
    <w:autoRedefine/>
    <w:qFormat/>
    <w:uiPriority w:val="0"/>
    <w:pPr>
      <w:widowControl w:val="0"/>
      <w:jc w:val="both"/>
    </w:pPr>
    <w:rPr>
      <w:rFonts w:ascii="Times New Roman" w:hAnsi="Times New Roman" w:eastAsia="宋体" w:cs="Times New Roman"/>
      <w:lang w:val="en-US" w:eastAsia="zh-CN" w:bidi="ar-SA"/>
    </w:rPr>
  </w:style>
  <w:style w:type="paragraph" w:customStyle="1" w:styleId="43">
    <w:name w:val="正文_0"/>
    <w:autoRedefine/>
    <w:qFormat/>
    <w:uiPriority w:val="0"/>
    <w:pPr>
      <w:widowControl w:val="0"/>
      <w:ind w:firstLine="36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28A6A-3249-45DC-8A58-7CE8C29C9A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46</Pages>
  <Words>21097</Words>
  <Characters>22219</Characters>
  <Lines>199</Lines>
  <Paragraphs>56</Paragraphs>
  <TotalTime>5</TotalTime>
  <ScaleCrop>false</ScaleCrop>
  <LinksUpToDate>false</LinksUpToDate>
  <CharactersWithSpaces>23297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2023-05-18T08:34:00Z</dcterms:created>
  <dc:creator>User</dc:creator>
  <cp:lastModifiedBy>不忘初心</cp:lastModifiedBy>
  <cp:lastPrinted>2004-12-31T16:23:00Z</cp:lastPrinted>
  <dcterms:modified xsi:type="dcterms:W3CDTF">2026-08-31T09:46:06Z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321979DB9202403689C8C2C463097146_13</vt:lpwstr>
  </property>
  <property fmtid="{D5CDD505-2E9C-101B-9397-08002B2CF9AE}" pid="4" name="KSOTemplateDocerSaveRecord">
    <vt:lpwstr>eyJoZGlkIjoiN2Y4ZDNhMDVmNDIzOTA1MDMwMTAyNmQxZjFhNzlmNGYiLCJ1c2VySWQiOiIzNDI2NDAzNTIifQ==</vt:lpwstr>
  </property>
</Properties>
</file>