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0713F">
      <w:pPr>
        <w:jc w:val="right"/>
        <w:rPr>
          <w:rFonts w:hint="eastAsia" w:ascii="宋体" w:hAnsi="宋体" w:cs="宋体"/>
          <w:b/>
          <w:bCs/>
          <w:color w:val="auto"/>
          <w:sz w:val="32"/>
          <w:szCs w:val="32"/>
          <w:lang w:eastAsia="zh-CN"/>
        </w:rPr>
      </w:pPr>
    </w:p>
    <w:p w14:paraId="19328A56">
      <w:pPr>
        <w:jc w:val="right"/>
        <w:rPr>
          <w:rFonts w:ascii="宋体" w:hAnsi="宋体" w:cs="宋体"/>
          <w:b/>
          <w:bCs/>
          <w:color w:val="auto"/>
          <w:sz w:val="32"/>
          <w:szCs w:val="32"/>
        </w:rPr>
      </w:pPr>
      <w:r>
        <w:rPr>
          <w:rFonts w:hint="eastAsia" w:ascii="宋体" w:hAnsi="宋体" w:cs="宋体"/>
          <w:b/>
          <w:bCs/>
          <w:color w:val="auto"/>
          <w:sz w:val="32"/>
          <w:szCs w:val="32"/>
          <w:lang w:eastAsia="zh-CN"/>
        </w:rPr>
        <w:t>YDFYSW-20261101</w:t>
      </w:r>
      <w:r>
        <w:rPr>
          <w:rFonts w:hint="eastAsia" w:ascii="宋体" w:hAnsi="宋体" w:cs="宋体"/>
          <w:b/>
          <w:bCs/>
          <w:color w:val="auto"/>
          <w:sz w:val="32"/>
          <w:szCs w:val="32"/>
        </w:rPr>
        <w:t>号</w:t>
      </w:r>
    </w:p>
    <w:p w14:paraId="75401669">
      <w:pPr>
        <w:jc w:val="left"/>
        <w:rPr>
          <w:b/>
          <w:bCs/>
          <w:color w:val="auto"/>
          <w:sz w:val="36"/>
        </w:rPr>
      </w:pPr>
    </w:p>
    <w:p w14:paraId="6596F61A">
      <w:pPr>
        <w:jc w:val="center"/>
        <w:rPr>
          <w:rFonts w:hint="eastAsia"/>
          <w:b/>
          <w:bCs/>
          <w:color w:val="auto"/>
          <w:sz w:val="36"/>
          <w:lang w:eastAsia="zh-CN"/>
        </w:rPr>
      </w:pPr>
      <w:r>
        <w:rPr>
          <w:rFonts w:hint="eastAsia"/>
          <w:b/>
          <w:bCs/>
          <w:color w:val="auto"/>
          <w:sz w:val="36"/>
          <w:lang w:eastAsia="zh-CN"/>
        </w:rPr>
        <w:t>扬州大学附属医院</w:t>
      </w:r>
    </w:p>
    <w:p w14:paraId="19995651">
      <w:pPr>
        <w:jc w:val="center"/>
        <w:rPr>
          <w:rFonts w:hint="eastAsia" w:eastAsia="宋体"/>
          <w:b/>
          <w:bCs/>
          <w:color w:val="auto"/>
          <w:sz w:val="36"/>
          <w:lang w:eastAsia="zh-CN"/>
        </w:rPr>
      </w:pPr>
      <w:r>
        <w:rPr>
          <w:rFonts w:hint="eastAsia"/>
          <w:b/>
          <w:bCs/>
          <w:color w:val="auto"/>
          <w:sz w:val="36"/>
          <w:lang w:eastAsia="zh-CN"/>
        </w:rPr>
        <w:t>住院入口（服务大厅）扩建项目、既有建筑改造项目社会稳定风险评估报告及节能评估（承诺表）</w:t>
      </w:r>
      <w:r>
        <w:rPr>
          <w:rFonts w:hint="eastAsia"/>
          <w:b/>
          <w:bCs/>
          <w:color w:val="auto"/>
          <w:sz w:val="36"/>
          <w:lang w:val="en-US" w:eastAsia="zh-CN"/>
        </w:rPr>
        <w:t>采购</w:t>
      </w:r>
      <w:r>
        <w:rPr>
          <w:rFonts w:hint="eastAsia"/>
          <w:b/>
          <w:bCs/>
          <w:color w:val="auto"/>
          <w:sz w:val="36"/>
          <w:lang w:eastAsia="zh-CN"/>
        </w:rPr>
        <w:t>项目</w:t>
      </w:r>
    </w:p>
    <w:p w14:paraId="4673F90C">
      <w:pPr>
        <w:jc w:val="center"/>
        <w:rPr>
          <w:b/>
          <w:bCs/>
          <w:color w:val="auto"/>
          <w:sz w:val="36"/>
        </w:rPr>
      </w:pPr>
      <w:r>
        <w:rPr>
          <w:b/>
          <w:bCs/>
          <w:color w:val="auto"/>
          <w:sz w:val="36"/>
        </w:rPr>
        <w:t>竞争性磋商文件</w:t>
      </w:r>
    </w:p>
    <w:p w14:paraId="086949B6">
      <w:pPr>
        <w:jc w:val="center"/>
        <w:rPr>
          <w:color w:val="auto"/>
          <w:sz w:val="36"/>
        </w:rPr>
      </w:pPr>
      <w:r>
        <w:rPr>
          <w:rFonts w:hint="eastAsia"/>
          <w:color w:val="auto"/>
          <w:sz w:val="36"/>
        </w:rPr>
        <w:drawing>
          <wp:inline distT="0" distB="0" distL="114300" distR="114300">
            <wp:extent cx="5481955" cy="4156075"/>
            <wp:effectExtent l="0" t="0" r="4445" b="1587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7"/>
                    <a:stretch>
                      <a:fillRect/>
                    </a:stretch>
                  </pic:blipFill>
                  <pic:spPr>
                    <a:xfrm>
                      <a:off x="0" y="0"/>
                      <a:ext cx="5481955" cy="4156075"/>
                    </a:xfrm>
                    <a:prstGeom prst="rect">
                      <a:avLst/>
                    </a:prstGeom>
                  </pic:spPr>
                </pic:pic>
              </a:graphicData>
            </a:graphic>
          </wp:inline>
        </w:drawing>
      </w:r>
    </w:p>
    <w:p w14:paraId="6ED27131">
      <w:pPr>
        <w:rPr>
          <w:color w:val="auto"/>
        </w:rPr>
      </w:pPr>
    </w:p>
    <w:p w14:paraId="54710529">
      <w:pPr>
        <w:jc w:val="center"/>
        <w:rPr>
          <w:b/>
          <w:bCs/>
          <w:color w:val="auto"/>
          <w:sz w:val="36"/>
        </w:rPr>
      </w:pPr>
      <w:r>
        <w:rPr>
          <w:rFonts w:hint="eastAsia"/>
          <w:b/>
          <w:bCs/>
          <w:color w:val="auto"/>
          <w:sz w:val="36"/>
        </w:rPr>
        <w:t>江苏苏维工程管理有限公司</w:t>
      </w:r>
    </w:p>
    <w:p w14:paraId="324F82F8">
      <w:pPr>
        <w:jc w:val="center"/>
        <w:rPr>
          <w:b/>
          <w:bCs/>
          <w:color w:val="auto"/>
          <w:sz w:val="36"/>
        </w:rPr>
      </w:pPr>
      <w:r>
        <w:rPr>
          <w:b/>
          <w:bCs/>
          <w:color w:val="auto"/>
          <w:sz w:val="36"/>
        </w:rPr>
        <w:t>202</w:t>
      </w:r>
      <w:r>
        <w:rPr>
          <w:rFonts w:hint="eastAsia"/>
          <w:b/>
          <w:bCs/>
          <w:color w:val="auto"/>
          <w:sz w:val="36"/>
        </w:rPr>
        <w:t>6</w:t>
      </w:r>
      <w:r>
        <w:rPr>
          <w:b/>
          <w:bCs/>
          <w:color w:val="auto"/>
          <w:sz w:val="36"/>
        </w:rPr>
        <w:t>年</w:t>
      </w:r>
      <w:r>
        <w:rPr>
          <w:rFonts w:hint="eastAsia"/>
          <w:b/>
          <w:bCs/>
          <w:color w:val="auto"/>
          <w:sz w:val="36"/>
          <w:lang w:val="en-US" w:eastAsia="zh-CN"/>
        </w:rPr>
        <w:t>11</w:t>
      </w:r>
      <w:r>
        <w:rPr>
          <w:b/>
          <w:bCs/>
          <w:color w:val="auto"/>
          <w:sz w:val="36"/>
        </w:rPr>
        <w:t>月</w:t>
      </w:r>
    </w:p>
    <w:p w14:paraId="77B3512F">
      <w:pPr>
        <w:spacing w:line="360" w:lineRule="auto"/>
        <w:jc w:val="center"/>
        <w:rPr>
          <w:color w:val="auto"/>
          <w:sz w:val="44"/>
          <w:szCs w:val="44"/>
        </w:rPr>
      </w:pPr>
    </w:p>
    <w:sdt>
      <w:sdtPr>
        <w:rPr>
          <w:rFonts w:hint="eastAsia" w:ascii="宋体" w:hAnsi="宋体" w:cs="宋体"/>
          <w:b/>
          <w:bCs/>
          <w:color w:val="auto"/>
          <w:sz w:val="24"/>
          <w:szCs w:val="24"/>
        </w:rPr>
        <w:id w:val="147452766"/>
        <w:docPartObj>
          <w:docPartGallery w:val="Table of Contents"/>
          <w:docPartUnique/>
        </w:docPartObj>
      </w:sdtPr>
      <w:sdtEndPr>
        <w:rPr>
          <w:rFonts w:hint="eastAsia" w:ascii="Times New Roman" w:hAnsi="Times New Roman" w:cs="Times New Roman"/>
          <w:b/>
          <w:bCs/>
          <w:color w:val="auto"/>
          <w:sz w:val="21"/>
          <w:szCs w:val="44"/>
        </w:rPr>
      </w:sdtEndPr>
      <w:sdtContent>
        <w:p w14:paraId="791A55F1">
          <w:pPr>
            <w:spacing w:line="545" w:lineRule="auto"/>
            <w:ind w:firstLine="482" w:firstLineChars="200"/>
            <w:jc w:val="center"/>
            <w:rPr>
              <w:rFonts w:hint="eastAsia" w:ascii="宋体" w:hAnsi="宋体" w:cs="宋体"/>
              <w:b/>
              <w:bCs/>
              <w:color w:val="auto"/>
              <w:sz w:val="24"/>
              <w:szCs w:val="24"/>
            </w:rPr>
          </w:pPr>
        </w:p>
        <w:p w14:paraId="54CA155A">
          <w:pPr>
            <w:spacing w:line="545" w:lineRule="auto"/>
            <w:ind w:firstLine="482" w:firstLineChars="200"/>
            <w:jc w:val="center"/>
            <w:rPr>
              <w:rFonts w:ascii="宋体" w:hAnsi="宋体" w:cs="宋体"/>
              <w:b/>
              <w:bCs/>
              <w:color w:val="auto"/>
              <w:sz w:val="24"/>
              <w:szCs w:val="24"/>
            </w:rPr>
          </w:pPr>
          <w:r>
            <w:rPr>
              <w:rFonts w:hint="eastAsia" w:ascii="宋体" w:hAnsi="宋体" w:cs="宋体"/>
              <w:b/>
              <w:bCs/>
              <w:color w:val="auto"/>
              <w:sz w:val="24"/>
              <w:szCs w:val="24"/>
            </w:rPr>
            <w:t>目录</w:t>
          </w:r>
        </w:p>
        <w:p w14:paraId="297F7A2E">
          <w:pPr>
            <w:pStyle w:val="21"/>
            <w:tabs>
              <w:tab w:val="right" w:leader="dot" w:pos="9740"/>
            </w:tabs>
            <w:spacing w:line="545" w:lineRule="auto"/>
            <w:ind w:firstLine="480" w:firstLineChars="200"/>
            <w:rPr>
              <w:rFonts w:ascii="宋体" w:hAnsi="宋体" w:cs="宋体"/>
              <w:color w:val="auto"/>
              <w:sz w:val="24"/>
              <w:szCs w:val="24"/>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TOC \o "1-2" \h \u </w:instrText>
          </w:r>
          <w:r>
            <w:rPr>
              <w:rFonts w:hint="eastAsia" w:ascii="宋体" w:hAnsi="宋体" w:cs="宋体"/>
              <w:color w:val="auto"/>
              <w:sz w:val="24"/>
              <w:szCs w:val="24"/>
            </w:rPr>
            <w:fldChar w:fldCharType="separate"/>
          </w:r>
          <w:r>
            <w:rPr>
              <w:color w:val="auto"/>
            </w:rPr>
            <w:fldChar w:fldCharType="begin"/>
          </w:r>
          <w:r>
            <w:rPr>
              <w:color w:val="auto"/>
            </w:rPr>
            <w:instrText xml:space="preserve"> HYPERLINK \l "_Toc28271" </w:instrText>
          </w:r>
          <w:r>
            <w:rPr>
              <w:color w:val="auto"/>
            </w:rPr>
            <w:fldChar w:fldCharType="separate"/>
          </w:r>
          <w:r>
            <w:rPr>
              <w:rFonts w:hint="eastAsia" w:ascii="宋体" w:hAnsi="宋体" w:cs="宋体"/>
              <w:color w:val="auto"/>
              <w:sz w:val="24"/>
              <w:szCs w:val="24"/>
            </w:rPr>
            <w:t>第一章 竞争性磋商采购邀请</w:t>
          </w:r>
          <w:r>
            <w:rPr>
              <w:rFonts w:hint="eastAsia" w:ascii="宋体" w:hAnsi="宋体" w:cs="宋体"/>
              <w:color w:val="auto"/>
              <w:sz w:val="24"/>
              <w:szCs w:val="24"/>
            </w:rPr>
            <w:tab/>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PAGEREF _Toc28271 \h </w:instrText>
          </w:r>
          <w:r>
            <w:rPr>
              <w:rFonts w:hint="eastAsia" w:ascii="宋体" w:hAnsi="宋体" w:cs="宋体"/>
              <w:color w:val="auto"/>
              <w:sz w:val="24"/>
              <w:szCs w:val="24"/>
            </w:rPr>
            <w:fldChar w:fldCharType="separate"/>
          </w:r>
          <w:r>
            <w:rPr>
              <w:rFonts w:hint="eastAsia" w:ascii="宋体" w:hAnsi="宋体" w:cs="宋体"/>
              <w:color w:val="auto"/>
              <w:sz w:val="24"/>
              <w:szCs w:val="24"/>
            </w:rPr>
            <w:t>- 1 -</w:t>
          </w:r>
          <w:r>
            <w:rPr>
              <w:rFonts w:hint="eastAsia" w:ascii="宋体" w:hAnsi="宋体" w:cs="宋体"/>
              <w:color w:val="auto"/>
              <w:sz w:val="24"/>
              <w:szCs w:val="24"/>
            </w:rPr>
            <w:fldChar w:fldCharType="end"/>
          </w:r>
          <w:r>
            <w:rPr>
              <w:rFonts w:hint="eastAsia" w:ascii="宋体" w:hAnsi="宋体" w:cs="宋体"/>
              <w:color w:val="auto"/>
              <w:sz w:val="24"/>
              <w:szCs w:val="24"/>
            </w:rPr>
            <w:fldChar w:fldCharType="end"/>
          </w:r>
        </w:p>
        <w:p w14:paraId="7185EA0C">
          <w:pPr>
            <w:pStyle w:val="21"/>
            <w:tabs>
              <w:tab w:val="right" w:leader="dot" w:pos="9740"/>
            </w:tabs>
            <w:spacing w:line="545" w:lineRule="auto"/>
            <w:ind w:firstLine="420" w:firstLineChars="200"/>
            <w:rPr>
              <w:rFonts w:ascii="宋体" w:hAnsi="宋体" w:cs="宋体"/>
              <w:color w:val="auto"/>
              <w:sz w:val="24"/>
              <w:szCs w:val="24"/>
            </w:rPr>
          </w:pPr>
          <w:r>
            <w:rPr>
              <w:color w:val="auto"/>
            </w:rPr>
            <w:fldChar w:fldCharType="begin"/>
          </w:r>
          <w:r>
            <w:rPr>
              <w:color w:val="auto"/>
            </w:rPr>
            <w:instrText xml:space="preserve"> HYPERLINK \l "_Toc5214" </w:instrText>
          </w:r>
          <w:r>
            <w:rPr>
              <w:color w:val="auto"/>
            </w:rPr>
            <w:fldChar w:fldCharType="separate"/>
          </w:r>
          <w:r>
            <w:rPr>
              <w:rFonts w:hint="eastAsia" w:ascii="宋体" w:hAnsi="宋体" w:cs="宋体"/>
              <w:color w:val="auto"/>
              <w:sz w:val="24"/>
              <w:szCs w:val="24"/>
            </w:rPr>
            <w:t>第二章 磋商须知</w:t>
          </w:r>
          <w:r>
            <w:rPr>
              <w:rFonts w:hint="eastAsia" w:ascii="宋体" w:hAnsi="宋体" w:cs="宋体"/>
              <w:color w:val="auto"/>
              <w:sz w:val="24"/>
              <w:szCs w:val="24"/>
            </w:rPr>
            <w:tab/>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PAGEREF _Toc5214 \h </w:instrText>
          </w:r>
          <w:r>
            <w:rPr>
              <w:rFonts w:hint="eastAsia" w:ascii="宋体" w:hAnsi="宋体" w:cs="宋体"/>
              <w:color w:val="auto"/>
              <w:sz w:val="24"/>
              <w:szCs w:val="24"/>
            </w:rPr>
            <w:fldChar w:fldCharType="separate"/>
          </w:r>
          <w:r>
            <w:rPr>
              <w:rFonts w:hint="eastAsia" w:ascii="宋体" w:hAnsi="宋体" w:cs="宋体"/>
              <w:color w:val="auto"/>
              <w:sz w:val="24"/>
              <w:szCs w:val="24"/>
            </w:rPr>
            <w:t>- 5 -</w:t>
          </w:r>
          <w:r>
            <w:rPr>
              <w:rFonts w:hint="eastAsia" w:ascii="宋体" w:hAnsi="宋体" w:cs="宋体"/>
              <w:color w:val="auto"/>
              <w:sz w:val="24"/>
              <w:szCs w:val="24"/>
            </w:rPr>
            <w:fldChar w:fldCharType="end"/>
          </w:r>
          <w:r>
            <w:rPr>
              <w:rFonts w:hint="eastAsia" w:ascii="宋体" w:hAnsi="宋体" w:cs="宋体"/>
              <w:color w:val="auto"/>
              <w:sz w:val="24"/>
              <w:szCs w:val="24"/>
            </w:rPr>
            <w:fldChar w:fldCharType="end"/>
          </w:r>
        </w:p>
        <w:p w14:paraId="0BE4978C">
          <w:pPr>
            <w:pStyle w:val="21"/>
            <w:tabs>
              <w:tab w:val="right" w:leader="dot" w:pos="9740"/>
            </w:tabs>
            <w:spacing w:line="545" w:lineRule="auto"/>
            <w:ind w:firstLine="420" w:firstLineChars="200"/>
            <w:rPr>
              <w:rFonts w:ascii="宋体" w:hAnsi="宋体" w:cs="宋体"/>
              <w:color w:val="auto"/>
              <w:sz w:val="24"/>
              <w:szCs w:val="24"/>
            </w:rPr>
          </w:pPr>
          <w:r>
            <w:rPr>
              <w:color w:val="auto"/>
            </w:rPr>
            <w:fldChar w:fldCharType="begin"/>
          </w:r>
          <w:r>
            <w:rPr>
              <w:color w:val="auto"/>
            </w:rPr>
            <w:instrText xml:space="preserve"> HYPERLINK \l "_Toc29980" </w:instrText>
          </w:r>
          <w:r>
            <w:rPr>
              <w:color w:val="auto"/>
            </w:rPr>
            <w:fldChar w:fldCharType="separate"/>
          </w:r>
          <w:r>
            <w:rPr>
              <w:rFonts w:hint="eastAsia" w:ascii="宋体" w:hAnsi="宋体" w:cs="宋体"/>
              <w:color w:val="auto"/>
              <w:sz w:val="24"/>
              <w:szCs w:val="24"/>
            </w:rPr>
            <w:t>第三章 合同条款及格式</w:t>
          </w:r>
          <w:r>
            <w:rPr>
              <w:rFonts w:hint="eastAsia" w:ascii="宋体" w:hAnsi="宋体" w:cs="宋体"/>
              <w:color w:val="auto"/>
              <w:sz w:val="24"/>
              <w:szCs w:val="24"/>
            </w:rPr>
            <w:tab/>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PAGEREF _Toc29980 \h </w:instrText>
          </w:r>
          <w:r>
            <w:rPr>
              <w:rFonts w:hint="eastAsia" w:ascii="宋体" w:hAnsi="宋体" w:cs="宋体"/>
              <w:color w:val="auto"/>
              <w:sz w:val="24"/>
              <w:szCs w:val="24"/>
            </w:rPr>
            <w:fldChar w:fldCharType="separate"/>
          </w:r>
          <w:r>
            <w:rPr>
              <w:rFonts w:hint="eastAsia" w:ascii="宋体" w:hAnsi="宋体" w:cs="宋体"/>
              <w:color w:val="auto"/>
              <w:sz w:val="24"/>
              <w:szCs w:val="24"/>
            </w:rPr>
            <w:t>- 15 -</w:t>
          </w:r>
          <w:r>
            <w:rPr>
              <w:rFonts w:hint="eastAsia" w:ascii="宋体" w:hAnsi="宋体" w:cs="宋体"/>
              <w:color w:val="auto"/>
              <w:sz w:val="24"/>
              <w:szCs w:val="24"/>
            </w:rPr>
            <w:fldChar w:fldCharType="end"/>
          </w:r>
          <w:r>
            <w:rPr>
              <w:rFonts w:hint="eastAsia" w:ascii="宋体" w:hAnsi="宋体" w:cs="宋体"/>
              <w:color w:val="auto"/>
              <w:sz w:val="24"/>
              <w:szCs w:val="24"/>
            </w:rPr>
            <w:fldChar w:fldCharType="end"/>
          </w:r>
        </w:p>
        <w:p w14:paraId="4C5EC0CC">
          <w:pPr>
            <w:pStyle w:val="21"/>
            <w:tabs>
              <w:tab w:val="right" w:leader="dot" w:pos="9740"/>
            </w:tabs>
            <w:spacing w:line="545" w:lineRule="auto"/>
            <w:ind w:firstLine="420" w:firstLineChars="200"/>
            <w:rPr>
              <w:rFonts w:ascii="宋体" w:hAnsi="宋体" w:cs="宋体"/>
              <w:color w:val="auto"/>
              <w:sz w:val="24"/>
              <w:szCs w:val="24"/>
            </w:rPr>
          </w:pPr>
          <w:r>
            <w:rPr>
              <w:color w:val="auto"/>
            </w:rPr>
            <w:fldChar w:fldCharType="begin"/>
          </w:r>
          <w:r>
            <w:rPr>
              <w:color w:val="auto"/>
            </w:rPr>
            <w:instrText xml:space="preserve"> HYPERLINK \l "_Toc15541" </w:instrText>
          </w:r>
          <w:r>
            <w:rPr>
              <w:color w:val="auto"/>
            </w:rPr>
            <w:fldChar w:fldCharType="separate"/>
          </w:r>
          <w:r>
            <w:rPr>
              <w:rFonts w:hint="eastAsia" w:ascii="宋体" w:hAnsi="宋体" w:cs="宋体"/>
              <w:color w:val="auto"/>
              <w:sz w:val="24"/>
              <w:szCs w:val="24"/>
            </w:rPr>
            <w:t>第四章 项目需求</w:t>
          </w:r>
          <w:r>
            <w:rPr>
              <w:rFonts w:hint="eastAsia" w:ascii="宋体" w:hAnsi="宋体" w:cs="宋体"/>
              <w:color w:val="auto"/>
              <w:sz w:val="24"/>
              <w:szCs w:val="24"/>
            </w:rPr>
            <w:tab/>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PAGEREF _Toc15541 \h </w:instrText>
          </w:r>
          <w:r>
            <w:rPr>
              <w:rFonts w:hint="eastAsia" w:ascii="宋体" w:hAnsi="宋体" w:cs="宋体"/>
              <w:color w:val="auto"/>
              <w:sz w:val="24"/>
              <w:szCs w:val="24"/>
            </w:rPr>
            <w:fldChar w:fldCharType="separate"/>
          </w:r>
          <w:r>
            <w:rPr>
              <w:rFonts w:hint="eastAsia" w:ascii="宋体" w:hAnsi="宋体" w:cs="宋体"/>
              <w:color w:val="auto"/>
              <w:sz w:val="24"/>
              <w:szCs w:val="24"/>
            </w:rPr>
            <w:t>- 20 -</w:t>
          </w:r>
          <w:r>
            <w:rPr>
              <w:rFonts w:hint="eastAsia" w:ascii="宋体" w:hAnsi="宋体" w:cs="宋体"/>
              <w:color w:val="auto"/>
              <w:sz w:val="24"/>
              <w:szCs w:val="24"/>
            </w:rPr>
            <w:fldChar w:fldCharType="end"/>
          </w:r>
          <w:r>
            <w:rPr>
              <w:rFonts w:hint="eastAsia" w:ascii="宋体" w:hAnsi="宋体" w:cs="宋体"/>
              <w:color w:val="auto"/>
              <w:sz w:val="24"/>
              <w:szCs w:val="24"/>
            </w:rPr>
            <w:fldChar w:fldCharType="end"/>
          </w:r>
        </w:p>
        <w:p w14:paraId="4CFB4B5D">
          <w:pPr>
            <w:pStyle w:val="21"/>
            <w:tabs>
              <w:tab w:val="right" w:leader="dot" w:pos="9740"/>
            </w:tabs>
            <w:spacing w:line="545" w:lineRule="auto"/>
            <w:ind w:firstLine="420" w:firstLineChars="200"/>
            <w:rPr>
              <w:rFonts w:ascii="宋体" w:hAnsi="宋体" w:cs="宋体"/>
              <w:color w:val="auto"/>
              <w:sz w:val="24"/>
              <w:szCs w:val="24"/>
            </w:rPr>
          </w:pPr>
          <w:r>
            <w:rPr>
              <w:color w:val="auto"/>
            </w:rPr>
            <w:fldChar w:fldCharType="begin"/>
          </w:r>
          <w:r>
            <w:rPr>
              <w:color w:val="auto"/>
            </w:rPr>
            <w:instrText xml:space="preserve"> HYPERLINK \l "_Toc17441" </w:instrText>
          </w:r>
          <w:r>
            <w:rPr>
              <w:color w:val="auto"/>
            </w:rPr>
            <w:fldChar w:fldCharType="separate"/>
          </w:r>
          <w:r>
            <w:rPr>
              <w:rFonts w:hint="eastAsia" w:ascii="宋体" w:hAnsi="宋体" w:cs="宋体"/>
              <w:color w:val="auto"/>
              <w:sz w:val="24"/>
              <w:szCs w:val="24"/>
            </w:rPr>
            <w:t>第五章 评审方法和评审标准</w:t>
          </w:r>
          <w:r>
            <w:rPr>
              <w:rFonts w:hint="eastAsia" w:ascii="宋体" w:hAnsi="宋体" w:cs="宋体"/>
              <w:color w:val="auto"/>
              <w:sz w:val="24"/>
              <w:szCs w:val="24"/>
            </w:rPr>
            <w:tab/>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PAGEREF _Toc17441 \h </w:instrText>
          </w:r>
          <w:r>
            <w:rPr>
              <w:rFonts w:hint="eastAsia" w:ascii="宋体" w:hAnsi="宋体" w:cs="宋体"/>
              <w:color w:val="auto"/>
              <w:sz w:val="24"/>
              <w:szCs w:val="24"/>
            </w:rPr>
            <w:fldChar w:fldCharType="separate"/>
          </w:r>
          <w:r>
            <w:rPr>
              <w:rFonts w:hint="eastAsia" w:ascii="宋体" w:hAnsi="宋体" w:cs="宋体"/>
              <w:color w:val="auto"/>
              <w:sz w:val="24"/>
              <w:szCs w:val="24"/>
            </w:rPr>
            <w:t>- 24 -</w:t>
          </w:r>
          <w:r>
            <w:rPr>
              <w:rFonts w:hint="eastAsia" w:ascii="宋体" w:hAnsi="宋体" w:cs="宋体"/>
              <w:color w:val="auto"/>
              <w:sz w:val="24"/>
              <w:szCs w:val="24"/>
            </w:rPr>
            <w:fldChar w:fldCharType="end"/>
          </w:r>
          <w:r>
            <w:rPr>
              <w:rFonts w:hint="eastAsia" w:ascii="宋体" w:hAnsi="宋体" w:cs="宋体"/>
              <w:color w:val="auto"/>
              <w:sz w:val="24"/>
              <w:szCs w:val="24"/>
            </w:rPr>
            <w:fldChar w:fldCharType="end"/>
          </w:r>
        </w:p>
        <w:p w14:paraId="6177F451">
          <w:pPr>
            <w:pStyle w:val="21"/>
            <w:tabs>
              <w:tab w:val="right" w:leader="dot" w:pos="9740"/>
            </w:tabs>
            <w:spacing w:line="545" w:lineRule="auto"/>
            <w:ind w:firstLine="420" w:firstLineChars="200"/>
            <w:rPr>
              <w:rFonts w:ascii="宋体" w:hAnsi="宋体" w:cs="宋体"/>
              <w:color w:val="auto"/>
              <w:sz w:val="24"/>
              <w:szCs w:val="24"/>
            </w:rPr>
          </w:pPr>
          <w:r>
            <w:rPr>
              <w:color w:val="auto"/>
            </w:rPr>
            <w:fldChar w:fldCharType="begin"/>
          </w:r>
          <w:r>
            <w:rPr>
              <w:color w:val="auto"/>
            </w:rPr>
            <w:instrText xml:space="preserve"> HYPERLINK \l "_Toc41" </w:instrText>
          </w:r>
          <w:r>
            <w:rPr>
              <w:color w:val="auto"/>
            </w:rPr>
            <w:fldChar w:fldCharType="separate"/>
          </w:r>
          <w:r>
            <w:rPr>
              <w:rFonts w:hint="eastAsia" w:ascii="宋体" w:hAnsi="宋体" w:cs="宋体"/>
              <w:color w:val="auto"/>
              <w:sz w:val="24"/>
              <w:szCs w:val="24"/>
            </w:rPr>
            <w:t>第六章 竞争性磋商响应文件格式</w:t>
          </w:r>
          <w:r>
            <w:rPr>
              <w:rFonts w:hint="eastAsia" w:ascii="宋体" w:hAnsi="宋体" w:cs="宋体"/>
              <w:color w:val="auto"/>
              <w:sz w:val="24"/>
              <w:szCs w:val="24"/>
            </w:rPr>
            <w:tab/>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PAGEREF _Toc41 \h </w:instrText>
          </w:r>
          <w:r>
            <w:rPr>
              <w:rFonts w:hint="eastAsia" w:ascii="宋体" w:hAnsi="宋体" w:cs="宋体"/>
              <w:color w:val="auto"/>
              <w:sz w:val="24"/>
              <w:szCs w:val="24"/>
            </w:rPr>
            <w:fldChar w:fldCharType="separate"/>
          </w:r>
          <w:r>
            <w:rPr>
              <w:rFonts w:hint="eastAsia" w:ascii="宋体" w:hAnsi="宋体" w:cs="宋体"/>
              <w:color w:val="auto"/>
              <w:sz w:val="24"/>
              <w:szCs w:val="24"/>
            </w:rPr>
            <w:t>- 28 -</w:t>
          </w:r>
          <w:r>
            <w:rPr>
              <w:rFonts w:hint="eastAsia" w:ascii="宋体" w:hAnsi="宋体" w:cs="宋体"/>
              <w:color w:val="auto"/>
              <w:sz w:val="24"/>
              <w:szCs w:val="24"/>
            </w:rPr>
            <w:fldChar w:fldCharType="end"/>
          </w:r>
          <w:r>
            <w:rPr>
              <w:rFonts w:hint="eastAsia" w:ascii="宋体" w:hAnsi="宋体" w:cs="宋体"/>
              <w:color w:val="auto"/>
              <w:sz w:val="24"/>
              <w:szCs w:val="24"/>
            </w:rPr>
            <w:fldChar w:fldCharType="end"/>
          </w:r>
        </w:p>
        <w:p w14:paraId="5A1B131E">
          <w:pPr>
            <w:pStyle w:val="22"/>
            <w:tabs>
              <w:tab w:val="right" w:leader="dot" w:pos="9740"/>
            </w:tabs>
            <w:spacing w:line="545" w:lineRule="auto"/>
            <w:ind w:left="0" w:leftChars="0" w:firstLine="480" w:firstLineChars="200"/>
            <w:rPr>
              <w:rFonts w:ascii="宋体" w:hAnsi="宋体" w:cs="宋体"/>
              <w:color w:val="auto"/>
              <w:sz w:val="24"/>
              <w:szCs w:val="24"/>
            </w:rPr>
          </w:pPr>
        </w:p>
        <w:p w14:paraId="2805C08B">
          <w:pPr>
            <w:spacing w:line="545" w:lineRule="auto"/>
            <w:ind w:firstLine="480" w:firstLineChars="200"/>
            <w:jc w:val="center"/>
            <w:rPr>
              <w:color w:val="auto"/>
              <w:szCs w:val="44"/>
            </w:rPr>
          </w:pPr>
          <w:r>
            <w:rPr>
              <w:rFonts w:hint="eastAsia" w:ascii="宋体" w:hAnsi="宋体" w:cs="宋体"/>
              <w:color w:val="auto"/>
              <w:sz w:val="24"/>
              <w:szCs w:val="24"/>
            </w:rPr>
            <w:fldChar w:fldCharType="end"/>
          </w:r>
        </w:p>
      </w:sdtContent>
    </w:sdt>
    <w:p w14:paraId="02874DC3">
      <w:pPr>
        <w:spacing w:line="360" w:lineRule="auto"/>
        <w:jc w:val="center"/>
        <w:rPr>
          <w:color w:val="auto"/>
          <w:szCs w:val="44"/>
        </w:rPr>
      </w:pPr>
    </w:p>
    <w:p w14:paraId="1D59743A">
      <w:pPr>
        <w:spacing w:line="360" w:lineRule="auto"/>
        <w:jc w:val="center"/>
        <w:rPr>
          <w:color w:val="auto"/>
          <w:sz w:val="44"/>
          <w:szCs w:val="44"/>
        </w:rPr>
        <w:sectPr>
          <w:headerReference r:id="rId3" w:type="default"/>
          <w:footerReference r:id="rId4" w:type="default"/>
          <w:pgSz w:w="11906" w:h="16838"/>
          <w:pgMar w:top="1270" w:right="1083" w:bottom="1270" w:left="1083" w:header="1191" w:footer="992" w:gutter="0"/>
          <w:pgBorders>
            <w:top w:val="none" w:sz="0" w:space="0"/>
            <w:left w:val="none" w:sz="0" w:space="0"/>
            <w:bottom w:val="none" w:sz="0" w:space="0"/>
            <w:right w:val="none" w:sz="0" w:space="0"/>
          </w:pgBorders>
          <w:pgNumType w:fmt="numberInDash" w:start="1"/>
          <w:cols w:space="0" w:num="1"/>
          <w:docGrid w:type="lines" w:linePitch="325" w:charSpace="0"/>
        </w:sectPr>
      </w:pPr>
    </w:p>
    <w:p w14:paraId="4D3A167E">
      <w:pPr>
        <w:spacing w:line="360" w:lineRule="auto"/>
        <w:jc w:val="center"/>
        <w:rPr>
          <w:b/>
          <w:bCs/>
          <w:color w:val="auto"/>
          <w:kern w:val="44"/>
          <w:sz w:val="36"/>
          <w:szCs w:val="36"/>
        </w:rPr>
      </w:pPr>
      <w:bookmarkStart w:id="0" w:name="_Toc14936"/>
      <w:bookmarkStart w:id="1" w:name="_Toc497145839"/>
    </w:p>
    <w:p w14:paraId="11129E7D">
      <w:pPr>
        <w:pStyle w:val="2"/>
        <w:rPr>
          <w:color w:val="auto"/>
          <w:szCs w:val="36"/>
        </w:rPr>
      </w:pPr>
      <w:bookmarkStart w:id="2" w:name="_Toc28271"/>
      <w:r>
        <w:rPr>
          <w:color w:val="auto"/>
        </w:rPr>
        <w:t>第一章 竞争性磋商采购</w:t>
      </w:r>
      <w:bookmarkEnd w:id="0"/>
      <w:bookmarkEnd w:id="1"/>
      <w:bookmarkStart w:id="3" w:name="_Toc497145840"/>
      <w:r>
        <w:rPr>
          <w:rFonts w:hint="eastAsia"/>
          <w:color w:val="auto"/>
        </w:rPr>
        <w:t>邀请</w:t>
      </w:r>
      <w:bookmarkEnd w:id="2"/>
    </w:p>
    <w:p w14:paraId="25B42882">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u w:val="single"/>
        </w:rPr>
        <w:t>江苏苏维工程管理有限公司</w:t>
      </w:r>
      <w:r>
        <w:rPr>
          <w:rFonts w:hint="eastAsia" w:ascii="宋体" w:hAnsi="宋体" w:cs="宋体"/>
          <w:color w:val="auto"/>
          <w:sz w:val="21"/>
          <w:szCs w:val="21"/>
          <w:highlight w:val="none"/>
        </w:rPr>
        <w:t>受</w:t>
      </w:r>
      <w:r>
        <w:rPr>
          <w:rFonts w:hint="eastAsia" w:ascii="宋体" w:hAnsi="宋体" w:cs="宋体"/>
          <w:color w:val="auto"/>
          <w:sz w:val="21"/>
          <w:szCs w:val="21"/>
          <w:highlight w:val="none"/>
          <w:u w:val="single"/>
        </w:rPr>
        <w:t>扬州大学附属医院</w:t>
      </w:r>
      <w:r>
        <w:rPr>
          <w:rFonts w:hint="eastAsia" w:ascii="宋体" w:hAnsi="宋体" w:cs="宋体"/>
          <w:color w:val="auto"/>
          <w:sz w:val="21"/>
          <w:szCs w:val="21"/>
          <w:highlight w:val="none"/>
        </w:rPr>
        <w:t>的委托，</w:t>
      </w:r>
      <w:r>
        <w:rPr>
          <w:rFonts w:hint="eastAsia" w:ascii="宋体" w:hAnsi="宋体" w:cs="宋体"/>
          <w:bCs/>
          <w:color w:val="auto"/>
          <w:sz w:val="21"/>
          <w:szCs w:val="21"/>
          <w:highlight w:val="none"/>
        </w:rPr>
        <w:t>就</w:t>
      </w:r>
      <w:r>
        <w:rPr>
          <w:rFonts w:hint="eastAsia" w:ascii="宋体" w:hAnsi="宋体" w:cs="宋体"/>
          <w:bCs/>
          <w:color w:val="auto"/>
          <w:sz w:val="21"/>
          <w:szCs w:val="21"/>
          <w:highlight w:val="none"/>
          <w:u w:val="single"/>
          <w:lang w:eastAsia="zh-CN"/>
        </w:rPr>
        <w:t>扬州大学附属医院住院入口（服务大厅）扩建项目、既有建筑改造项目社会稳定风险评估报告及节能评估（承诺表）采购项目</w:t>
      </w:r>
      <w:r>
        <w:rPr>
          <w:rFonts w:hint="eastAsia" w:ascii="宋体" w:hAnsi="宋体" w:cs="宋体"/>
          <w:color w:val="auto"/>
          <w:sz w:val="21"/>
          <w:szCs w:val="21"/>
          <w:highlight w:val="none"/>
        </w:rPr>
        <w:t>实施竞争性磋商采购，欢迎符合相关条件的供应商参加磋商。</w:t>
      </w:r>
    </w:p>
    <w:p w14:paraId="11A6AAED">
      <w:pPr>
        <w:spacing w:line="360" w:lineRule="auto"/>
        <w:ind w:firstLine="422" w:firstLineChars="200"/>
        <w:rPr>
          <w:rFonts w:ascii="宋体" w:hAnsi="宋体" w:cs="宋体"/>
          <w:b/>
          <w:color w:val="auto"/>
          <w:sz w:val="21"/>
          <w:szCs w:val="21"/>
          <w:highlight w:val="none"/>
        </w:rPr>
      </w:pPr>
      <w:r>
        <w:rPr>
          <w:rFonts w:hint="eastAsia" w:ascii="宋体" w:hAnsi="宋体" w:cs="宋体"/>
          <w:b/>
          <w:color w:val="auto"/>
          <w:sz w:val="21"/>
          <w:szCs w:val="21"/>
          <w:highlight w:val="none"/>
        </w:rPr>
        <w:t>一、</w:t>
      </w:r>
      <w:r>
        <w:rPr>
          <w:rFonts w:hint="eastAsia" w:ascii="宋体" w:hAnsi="宋体" w:cs="宋体"/>
          <w:b/>
          <w:bCs/>
          <w:color w:val="auto"/>
          <w:sz w:val="21"/>
          <w:szCs w:val="21"/>
          <w:highlight w:val="none"/>
        </w:rPr>
        <w:t>采购项目名称</w:t>
      </w:r>
      <w:r>
        <w:rPr>
          <w:rFonts w:hint="eastAsia" w:ascii="宋体" w:hAnsi="宋体" w:cs="宋体"/>
          <w:b/>
          <w:color w:val="auto"/>
          <w:sz w:val="21"/>
          <w:szCs w:val="21"/>
          <w:highlight w:val="none"/>
        </w:rPr>
        <w:t>及编号</w:t>
      </w:r>
    </w:p>
    <w:p w14:paraId="3E46A47A">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项目名称：</w:t>
      </w:r>
      <w:r>
        <w:rPr>
          <w:rFonts w:hint="eastAsia" w:ascii="宋体" w:hAnsi="宋体" w:cs="宋体"/>
          <w:color w:val="auto"/>
          <w:sz w:val="21"/>
          <w:szCs w:val="21"/>
          <w:highlight w:val="none"/>
          <w:lang w:eastAsia="zh-CN"/>
        </w:rPr>
        <w:t>扬州大学附属医院住院入口（服务大厅）扩建项目、既有建筑改造项目社会稳定风险评估报告及节能评估（承诺表）采购项目</w:t>
      </w:r>
    </w:p>
    <w:p w14:paraId="39F1AA25">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项目编号：</w:t>
      </w:r>
      <w:r>
        <w:rPr>
          <w:rFonts w:hint="eastAsia" w:ascii="宋体" w:hAnsi="宋体" w:cs="宋体"/>
          <w:color w:val="auto"/>
          <w:sz w:val="21"/>
          <w:szCs w:val="21"/>
          <w:highlight w:val="none"/>
          <w:lang w:eastAsia="zh-CN"/>
        </w:rPr>
        <w:t>YDFYSW-20261101</w:t>
      </w:r>
      <w:r>
        <w:rPr>
          <w:rFonts w:hint="eastAsia" w:ascii="宋体" w:hAnsi="宋体" w:cs="宋体"/>
          <w:color w:val="auto"/>
          <w:sz w:val="21"/>
          <w:szCs w:val="21"/>
          <w:highlight w:val="none"/>
        </w:rPr>
        <w:t>号</w:t>
      </w:r>
    </w:p>
    <w:p w14:paraId="59FF6940">
      <w:pPr>
        <w:tabs>
          <w:tab w:val="left" w:pos="900"/>
        </w:tabs>
        <w:spacing w:line="360" w:lineRule="auto"/>
        <w:ind w:firstLine="422" w:firstLineChars="200"/>
        <w:rPr>
          <w:rFonts w:ascii="宋体" w:hAnsi="宋体" w:cs="宋体"/>
          <w:color w:val="auto"/>
          <w:sz w:val="21"/>
          <w:szCs w:val="21"/>
          <w:highlight w:val="none"/>
        </w:rPr>
      </w:pPr>
      <w:r>
        <w:rPr>
          <w:rFonts w:hint="eastAsia" w:ascii="宋体" w:hAnsi="宋体" w:cs="宋体"/>
          <w:b/>
          <w:bCs/>
          <w:color w:val="auto"/>
          <w:sz w:val="21"/>
          <w:szCs w:val="21"/>
          <w:highlight w:val="none"/>
        </w:rPr>
        <w:t>二、采购项目简要说明及预算金额</w:t>
      </w:r>
    </w:p>
    <w:p w14:paraId="79AB5940">
      <w:pPr>
        <w:tabs>
          <w:tab w:val="left" w:pos="900"/>
        </w:tabs>
        <w:spacing w:line="360" w:lineRule="auto"/>
        <w:ind w:firstLine="420" w:firstLineChars="200"/>
        <w:rPr>
          <w:rFonts w:ascii="宋体" w:hAnsi="宋体" w:cs="宋体"/>
          <w:color w:val="auto"/>
          <w:sz w:val="21"/>
          <w:szCs w:val="21"/>
          <w:highlight w:val="none"/>
        </w:rPr>
      </w:pPr>
      <w:r>
        <w:rPr>
          <w:rFonts w:hint="eastAsia" w:ascii="宋体" w:hAnsi="宋体" w:cs="宋体"/>
          <w:bCs/>
          <w:color w:val="auto"/>
          <w:sz w:val="21"/>
          <w:szCs w:val="21"/>
          <w:highlight w:val="none"/>
        </w:rPr>
        <w:t>项目简要说明：</w:t>
      </w:r>
      <w:r>
        <w:rPr>
          <w:rFonts w:hint="eastAsia" w:ascii="宋体" w:hAnsi="宋体" w:cs="宋体"/>
          <w:color w:val="auto"/>
          <w:sz w:val="21"/>
          <w:szCs w:val="21"/>
          <w:highlight w:val="none"/>
          <w:lang w:eastAsia="zh-CN"/>
        </w:rPr>
        <w:t>扬州大学附属医院住院入口（服务大厅）扩建项目、既有建筑改造项目社会稳定风险评估报告及节能评估（承诺表）采购项目</w:t>
      </w:r>
      <w:r>
        <w:rPr>
          <w:rFonts w:hint="eastAsia" w:ascii="宋体" w:hAnsi="宋体" w:cs="宋体"/>
          <w:bCs/>
          <w:color w:val="auto"/>
          <w:sz w:val="21"/>
          <w:szCs w:val="21"/>
          <w:highlight w:val="none"/>
        </w:rPr>
        <w:t>，具体详见本磋商文件第四章。</w:t>
      </w:r>
    </w:p>
    <w:p w14:paraId="598006AC">
      <w:pPr>
        <w:tabs>
          <w:tab w:val="left" w:pos="900"/>
        </w:tabs>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预算金额：</w:t>
      </w:r>
      <w:r>
        <w:rPr>
          <w:rFonts w:hint="eastAsia" w:ascii="宋体" w:hAnsi="宋体" w:cs="宋体"/>
          <w:color w:val="auto"/>
          <w:sz w:val="21"/>
          <w:szCs w:val="21"/>
          <w:highlight w:val="none"/>
          <w:lang w:val="en-US" w:eastAsia="zh-CN"/>
        </w:rPr>
        <w:t>11.57</w:t>
      </w:r>
      <w:r>
        <w:rPr>
          <w:rFonts w:hint="eastAsia" w:ascii="宋体" w:hAnsi="宋体" w:cs="宋体"/>
          <w:color w:val="auto"/>
          <w:sz w:val="21"/>
          <w:szCs w:val="21"/>
          <w:highlight w:val="none"/>
        </w:rPr>
        <w:t>万元</w:t>
      </w:r>
    </w:p>
    <w:p w14:paraId="5AE3D6FD">
      <w:pPr>
        <w:tabs>
          <w:tab w:val="left" w:pos="900"/>
        </w:tabs>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本项目设定最高限价，最高限价为</w:t>
      </w:r>
      <w:r>
        <w:rPr>
          <w:rFonts w:hint="eastAsia" w:ascii="宋体" w:hAnsi="宋体" w:cs="宋体"/>
          <w:color w:val="auto"/>
          <w:sz w:val="21"/>
          <w:szCs w:val="21"/>
          <w:highlight w:val="none"/>
          <w:lang w:val="en-US" w:eastAsia="zh-CN"/>
        </w:rPr>
        <w:t>11.57</w:t>
      </w:r>
      <w:r>
        <w:rPr>
          <w:rFonts w:hint="eastAsia" w:ascii="宋体" w:hAnsi="宋体" w:cs="宋体"/>
          <w:color w:val="auto"/>
          <w:sz w:val="21"/>
          <w:szCs w:val="21"/>
          <w:highlight w:val="none"/>
        </w:rPr>
        <w:t>万元，</w:t>
      </w:r>
      <w:r>
        <w:rPr>
          <w:rFonts w:hint="eastAsia" w:ascii="宋体" w:hAnsi="宋体" w:cs="宋体"/>
          <w:i/>
          <w:iCs/>
          <w:color w:val="auto"/>
          <w:sz w:val="21"/>
          <w:szCs w:val="21"/>
          <w:highlight w:val="none"/>
          <w:u w:val="single"/>
        </w:rPr>
        <w:t>响应报价超过最高限价的为无效报价，按照无效响应处理</w:t>
      </w:r>
      <w:r>
        <w:rPr>
          <w:rFonts w:hint="eastAsia" w:ascii="宋体" w:hAnsi="宋体" w:cs="宋体"/>
          <w:color w:val="auto"/>
          <w:sz w:val="21"/>
          <w:szCs w:val="21"/>
          <w:highlight w:val="none"/>
        </w:rPr>
        <w:t>。</w:t>
      </w:r>
    </w:p>
    <w:p w14:paraId="18B1D10F">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合同履行期限：合同生效后供应商即刻启动资料搜集与前期筹备，收到采购人指令后</w:t>
      </w:r>
      <w:r>
        <w:rPr>
          <w:rFonts w:hint="eastAsia" w:ascii="宋体" w:hAnsi="宋体" w:cs="宋体"/>
          <w:color w:val="auto"/>
          <w:sz w:val="21"/>
          <w:szCs w:val="21"/>
          <w:highlight w:val="none"/>
          <w:lang w:val="en-US" w:eastAsia="zh-CN"/>
        </w:rPr>
        <w:t>15</w:t>
      </w:r>
      <w:r>
        <w:rPr>
          <w:rFonts w:hint="eastAsia" w:ascii="宋体" w:hAnsi="宋体" w:cs="宋体"/>
          <w:color w:val="auto"/>
          <w:sz w:val="21"/>
          <w:szCs w:val="21"/>
          <w:highlight w:val="none"/>
        </w:rPr>
        <w:t>个日历天内完成全部项目</w:t>
      </w:r>
      <w:r>
        <w:rPr>
          <w:rFonts w:hint="eastAsia" w:ascii="宋体" w:hAnsi="宋体" w:cs="宋体"/>
          <w:color w:val="auto"/>
          <w:sz w:val="21"/>
          <w:szCs w:val="21"/>
          <w:highlight w:val="none"/>
          <w:lang w:val="en-US" w:eastAsia="zh-CN"/>
        </w:rPr>
        <w:t>初稿</w:t>
      </w:r>
      <w:r>
        <w:rPr>
          <w:rFonts w:hint="eastAsia" w:ascii="宋体" w:hAnsi="宋体" w:cs="宋体"/>
          <w:color w:val="auto"/>
          <w:sz w:val="21"/>
          <w:szCs w:val="21"/>
          <w:highlight w:val="none"/>
        </w:rPr>
        <w:t>，15个日历天内完成报告编制</w:t>
      </w:r>
      <w:r>
        <w:rPr>
          <w:rFonts w:hint="eastAsia" w:ascii="宋体" w:hAnsi="宋体" w:cs="宋体"/>
          <w:color w:val="auto"/>
          <w:sz w:val="21"/>
          <w:szCs w:val="21"/>
          <w:highlight w:val="none"/>
          <w:lang w:val="en-US" w:eastAsia="zh-CN"/>
        </w:rPr>
        <w:t>并完成备案</w:t>
      </w:r>
      <w:r>
        <w:rPr>
          <w:rFonts w:hint="eastAsia" w:ascii="宋体" w:hAnsi="宋体" w:cs="宋体"/>
          <w:color w:val="auto"/>
          <w:sz w:val="21"/>
          <w:szCs w:val="21"/>
          <w:highlight w:val="none"/>
        </w:rPr>
        <w:t>。供应商须根据时限要求细化分项工作计划，按需配置人力，保障各节点按期落地。</w:t>
      </w:r>
    </w:p>
    <w:p w14:paraId="21A845E3">
      <w:pPr>
        <w:pStyle w:val="99"/>
        <w:adjustRightInd/>
        <w:spacing w:line="360" w:lineRule="auto"/>
        <w:ind w:firstLine="420" w:firstLineChars="200"/>
        <w:rPr>
          <w:rFonts w:hAnsi="宋体"/>
          <w:color w:val="auto"/>
          <w:sz w:val="21"/>
          <w:szCs w:val="21"/>
          <w:highlight w:val="none"/>
        </w:rPr>
      </w:pPr>
      <w:r>
        <w:rPr>
          <w:rFonts w:hint="eastAsia" w:hAnsi="宋体"/>
          <w:color w:val="auto"/>
          <w:sz w:val="21"/>
          <w:szCs w:val="21"/>
          <w:highlight w:val="none"/>
        </w:rPr>
        <w:t>本项目</w:t>
      </w:r>
      <w:r>
        <w:rPr>
          <w:rFonts w:hint="eastAsia" w:hAnsi="宋体"/>
          <w:color w:val="auto"/>
          <w:sz w:val="21"/>
          <w:szCs w:val="21"/>
          <w:highlight w:val="none"/>
          <w:u w:val="single"/>
        </w:rPr>
        <w:t>不接受</w:t>
      </w:r>
      <w:r>
        <w:rPr>
          <w:rFonts w:hint="eastAsia" w:hAnsi="宋体"/>
          <w:color w:val="auto"/>
          <w:sz w:val="21"/>
          <w:szCs w:val="21"/>
          <w:highlight w:val="none"/>
        </w:rPr>
        <w:t>联合体参与磋商。</w:t>
      </w:r>
    </w:p>
    <w:p w14:paraId="7CED7C9D">
      <w:pPr>
        <w:numPr>
          <w:ilvl w:val="0"/>
          <w:numId w:val="3"/>
        </w:numPr>
        <w:tabs>
          <w:tab w:val="left" w:pos="900"/>
        </w:tabs>
        <w:spacing w:line="360" w:lineRule="auto"/>
        <w:ind w:firstLine="422" w:firstLineChars="200"/>
        <w:rPr>
          <w:rFonts w:ascii="宋体" w:hAnsi="宋体" w:cs="宋体"/>
          <w:color w:val="auto"/>
          <w:sz w:val="21"/>
          <w:szCs w:val="21"/>
          <w:highlight w:val="none"/>
        </w:rPr>
      </w:pPr>
      <w:r>
        <w:rPr>
          <w:rFonts w:hint="eastAsia" w:ascii="宋体" w:hAnsi="宋体" w:cs="宋体"/>
          <w:b/>
          <w:bCs/>
          <w:color w:val="auto"/>
          <w:sz w:val="21"/>
          <w:szCs w:val="21"/>
          <w:highlight w:val="none"/>
        </w:rPr>
        <w:t>申请人的资格要求</w:t>
      </w:r>
    </w:p>
    <w:p w14:paraId="52CF1BF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（一）通用资格要求</w:t>
      </w:r>
    </w:p>
    <w:p w14:paraId="0EEA565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1.满足《中华人民共和国政府采购法》第二十二条规定，并提供下列材料：</w:t>
      </w:r>
    </w:p>
    <w:p w14:paraId="08EA561E">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1.1 法人或者其他组织的营业执照等证明文件，自然人的身份证明（身份证为正、反面）；</w:t>
      </w:r>
    </w:p>
    <w:p w14:paraId="275E7F9C">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1.2若法定代表人参加磋商的，须提供本人身份证复印件（原件备查）；若授权代表参加的，须提供《法人授权书》原件和授权代表身份证复印件（原件备查）；</w:t>
      </w:r>
    </w:p>
    <w:p w14:paraId="70912CE8">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1.3 上一年度的财务状况报告（成立不满一年无需提供）；</w:t>
      </w:r>
    </w:p>
    <w:p w14:paraId="7BFABCD0">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1.4依法缴纳税收和社会保障资金的相关材料（提供提交响应文件截止时间前一年内至少一个月依法缴纳税收及缴纳社会保障资金的证明材料。供应商依法享受缓缴、免缴税收、社会保障资金的提供相应证明材料。）；</w:t>
      </w:r>
    </w:p>
    <w:p w14:paraId="4C698249">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1.5具备履行合同所必需的设备和专业技术能力的书面声明；（原件加盖供应商公章）</w:t>
      </w:r>
    </w:p>
    <w:p w14:paraId="7A3F96A9">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1.6参加政府采购活动前3年内在经营活动中没有重大违法记录的书面声明；（原件加盖供应商公章）</w:t>
      </w:r>
    </w:p>
    <w:p w14:paraId="53329585">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1.7供应商信用承诺书。（原件加盖供应商公章）</w:t>
      </w:r>
    </w:p>
    <w:p w14:paraId="69A9C696">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1.8未被“信用中国”网站（www.creditchina.gov.cn）、“中国政府采购网”</w:t>
      </w:r>
      <w:r>
        <w:rPr>
          <w:rFonts w:hint="eastAsia" w:ascii="宋体" w:hAnsi="宋体" w:cs="宋体"/>
          <w:i/>
          <w:iCs/>
          <w:color w:val="auto"/>
          <w:szCs w:val="21"/>
          <w:highlight w:val="none"/>
          <w:u w:val="single"/>
          <w:lang w:eastAsia="zh-CN"/>
        </w:rPr>
        <w:t>（</w:t>
      </w:r>
      <w:r>
        <w:rPr>
          <w:rFonts w:hint="eastAsia" w:ascii="宋体" w:hAnsi="宋体" w:cs="宋体"/>
          <w:i/>
          <w:iCs/>
          <w:color w:val="auto"/>
          <w:szCs w:val="21"/>
          <w:highlight w:val="none"/>
          <w:u w:val="single"/>
        </w:rPr>
        <w:t>www.ccgp.gov.cn）列入失信被执行人、重大税收违法案件当事人名单、政府采购严重违法失信行为记录名单（响应文件中无需提供证明材料）。</w:t>
      </w:r>
    </w:p>
    <w:p w14:paraId="17863AEB">
      <w:pPr>
        <w:widowControl/>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kern w:val="2"/>
          <w:sz w:val="21"/>
          <w:szCs w:val="21"/>
          <w:highlight w:val="none"/>
          <w:lang w:val="en-US" w:eastAsia="zh-CN" w:bidi="ar-SA"/>
        </w:rPr>
        <w:t>（二）本项目的特定资格要求：</w:t>
      </w:r>
      <w:r>
        <w:rPr>
          <w:rFonts w:hint="eastAsia" w:ascii="宋体" w:hAnsi="宋体" w:cs="宋体"/>
          <w:i/>
          <w:iCs/>
          <w:color w:val="auto"/>
          <w:szCs w:val="21"/>
          <w:highlight w:val="none"/>
          <w:u w:val="single"/>
        </w:rPr>
        <w:t>本项目根据《扬州市重大决策社会稳定风险评估第三方机构管理办法（试行）》（扬委法〔2022〕57号），供应商应在扬州市2026-2028年度可参与重大决策社会稳定风险评估第三方机构名单内。（提供有效证明材料复印件加盖供应商公章）</w:t>
      </w:r>
      <w:r>
        <w:rPr>
          <w:rFonts w:hint="eastAsia" w:ascii="宋体" w:hAnsi="宋体" w:cs="宋体"/>
          <w:i/>
          <w:iCs/>
          <w:color w:val="auto"/>
          <w:szCs w:val="21"/>
          <w:highlight w:val="none"/>
          <w:u w:val="single"/>
          <w:lang w:eastAsia="zh-CN"/>
        </w:rPr>
        <w:t>（《关于公布扬州市2026-2028年度可参与重大决策社会稳定风险评估第三方机构名单的通知》</w:t>
      </w:r>
      <w:r>
        <w:rPr>
          <w:rFonts w:hint="eastAsia" w:ascii="宋体" w:hAnsi="宋体" w:cs="宋体"/>
          <w:i/>
          <w:iCs/>
          <w:color w:val="auto"/>
          <w:szCs w:val="21"/>
          <w:highlight w:val="none"/>
          <w:u w:val="single"/>
          <w:lang w:val="en-US" w:eastAsia="zh-CN"/>
        </w:rPr>
        <w:t>查询网址：http://caw.yangzhou.gov.cn/gsgg/art/2026/art_a31680c585ea4f0a86707f2dd15a6749.html</w:t>
      </w:r>
      <w:r>
        <w:rPr>
          <w:rFonts w:hint="eastAsia" w:ascii="宋体" w:hAnsi="宋体" w:cs="宋体"/>
          <w:i/>
          <w:iCs/>
          <w:color w:val="auto"/>
          <w:szCs w:val="21"/>
          <w:highlight w:val="none"/>
          <w:u w:val="single"/>
          <w:lang w:eastAsia="zh-CN"/>
        </w:rPr>
        <w:t>）</w:t>
      </w:r>
    </w:p>
    <w:p w14:paraId="3578DF7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（三）拒绝下述供应商参加本次采购活动：</w:t>
      </w:r>
    </w:p>
    <w:p w14:paraId="089B584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3.1单位负责人为同一人或者存在直接控股、管理关系的不同供应商，不得参加同一合同项下的政府采购活动；</w:t>
      </w:r>
    </w:p>
    <w:p w14:paraId="5A13D46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3.2除单一来源采购项目外，为采购项目提供整体设计、规范编制或者项目管理、监理、检测等服务的供应商，不得再参加该采购项目的其他采购活动。</w:t>
      </w:r>
    </w:p>
    <w:p w14:paraId="35C1D66F">
      <w:pPr>
        <w:spacing w:line="360" w:lineRule="auto"/>
        <w:ind w:firstLine="422" w:firstLineChars="200"/>
        <w:rPr>
          <w:rFonts w:ascii="宋体" w:hAnsi="宋体" w:cs="宋体"/>
          <w:color w:val="auto"/>
          <w:szCs w:val="21"/>
          <w:highlight w:val="none"/>
        </w:rPr>
      </w:pPr>
      <w:r>
        <w:rPr>
          <w:rFonts w:hint="eastAsia" w:ascii="宋体" w:hAnsi="宋体" w:cs="宋体"/>
          <w:b/>
          <w:bCs/>
          <w:color w:val="auto"/>
          <w:szCs w:val="21"/>
          <w:highlight w:val="none"/>
        </w:rPr>
        <w:t>四、获取采购文件</w:t>
      </w:r>
    </w:p>
    <w:p w14:paraId="4D881277">
      <w:pPr>
        <w:tabs>
          <w:tab w:val="left" w:pos="900"/>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时间：</w:t>
      </w:r>
      <w:r>
        <w:rPr>
          <w:rFonts w:hint="eastAsia" w:ascii="宋体" w:hAnsi="宋体" w:cs="宋体"/>
          <w:color w:val="auto"/>
          <w:szCs w:val="21"/>
          <w:highlight w:val="none"/>
          <w:u w:val="single"/>
        </w:rPr>
        <w:t>2026年</w:t>
      </w:r>
      <w:r>
        <w:rPr>
          <w:rFonts w:hint="eastAsia" w:ascii="宋体" w:hAnsi="宋体" w:cs="宋体"/>
          <w:color w:val="auto"/>
          <w:szCs w:val="21"/>
          <w:highlight w:val="none"/>
          <w:u w:val="single"/>
          <w:lang w:val="en-US" w:eastAsia="zh-CN"/>
        </w:rPr>
        <w:t>11</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lang w:eastAsia="zh-CN"/>
        </w:rPr>
        <w:t>日起至2026年</w:t>
      </w:r>
      <w:r>
        <w:rPr>
          <w:rFonts w:hint="eastAsia" w:ascii="宋体" w:hAnsi="宋体" w:cs="宋体"/>
          <w:color w:val="auto"/>
          <w:szCs w:val="21"/>
          <w:highlight w:val="none"/>
          <w:u w:val="single"/>
          <w:lang w:val="en-US" w:eastAsia="zh-CN"/>
        </w:rPr>
        <w:t>11</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13</w:t>
      </w:r>
      <w:r>
        <w:rPr>
          <w:rFonts w:hint="eastAsia" w:ascii="宋体" w:hAnsi="宋体" w:cs="宋体"/>
          <w:color w:val="auto"/>
          <w:szCs w:val="21"/>
          <w:highlight w:val="none"/>
          <w:u w:val="single"/>
        </w:rPr>
        <w:t>日</w:t>
      </w:r>
      <w:r>
        <w:rPr>
          <w:rFonts w:hint="eastAsia" w:ascii="宋体" w:hAnsi="宋体" w:cs="宋体"/>
          <w:color w:val="auto"/>
          <w:szCs w:val="21"/>
          <w:highlight w:val="none"/>
        </w:rPr>
        <w:t>（北京时间上午9:30-11:30，下午2:30-5:30，法定节假日除外）</w:t>
      </w:r>
    </w:p>
    <w:p w14:paraId="4C095FEF">
      <w:pPr>
        <w:tabs>
          <w:tab w:val="left" w:pos="900"/>
        </w:tabs>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eastAsia="zh-CN"/>
        </w:rPr>
        <w:t>采购文件</w:t>
      </w:r>
      <w:r>
        <w:rPr>
          <w:rFonts w:hint="eastAsia" w:ascii="宋体" w:hAnsi="宋体" w:cs="宋体"/>
          <w:bCs/>
          <w:color w:val="auto"/>
          <w:szCs w:val="21"/>
          <w:highlight w:val="none"/>
        </w:rPr>
        <w:t>在</w:t>
      </w:r>
      <w:r>
        <w:rPr>
          <w:rFonts w:hint="eastAsia" w:ascii="宋体" w:hAnsi="宋体" w:cs="宋体"/>
          <w:color w:val="auto"/>
          <w:szCs w:val="21"/>
          <w:highlight w:val="none"/>
          <w:lang w:eastAsia="zh-CN"/>
        </w:rPr>
        <w:t>“扬州大学附属医院”和“江苏招标采购服务平台”</w:t>
      </w:r>
      <w:r>
        <w:rPr>
          <w:rFonts w:hint="eastAsia" w:ascii="宋体" w:hAnsi="宋体" w:cs="宋体"/>
          <w:bCs/>
          <w:color w:val="auto"/>
          <w:szCs w:val="21"/>
          <w:highlight w:val="none"/>
        </w:rPr>
        <w:t>上</w:t>
      </w:r>
      <w:r>
        <w:rPr>
          <w:rFonts w:hint="eastAsia" w:ascii="宋体" w:hAnsi="宋体" w:cs="宋体"/>
          <w:bCs/>
          <w:color w:val="auto"/>
          <w:szCs w:val="21"/>
          <w:highlight w:val="none"/>
          <w:lang w:val="en-US" w:eastAsia="zh-CN"/>
        </w:rPr>
        <w:t>自行</w:t>
      </w:r>
      <w:r>
        <w:rPr>
          <w:rFonts w:hint="eastAsia" w:ascii="宋体" w:hAnsi="宋体" w:cs="宋体"/>
          <w:bCs/>
          <w:color w:val="auto"/>
          <w:szCs w:val="21"/>
          <w:highlight w:val="none"/>
        </w:rPr>
        <w:t>下载，</w:t>
      </w:r>
      <w:r>
        <w:rPr>
          <w:rFonts w:hint="eastAsia" w:ascii="宋体" w:hAnsi="宋体" w:cs="宋体"/>
          <w:bCs/>
          <w:color w:val="auto"/>
          <w:szCs w:val="21"/>
          <w:highlight w:val="none"/>
          <w:lang w:val="en-US" w:eastAsia="zh-CN"/>
        </w:rPr>
        <w:t>供应商</w:t>
      </w:r>
      <w:r>
        <w:rPr>
          <w:rFonts w:hint="eastAsia" w:ascii="宋体" w:hAnsi="宋体" w:cs="宋体"/>
          <w:bCs/>
          <w:color w:val="auto"/>
          <w:szCs w:val="21"/>
          <w:highlight w:val="none"/>
        </w:rPr>
        <w:t>如确定参加</w:t>
      </w:r>
      <w:r>
        <w:rPr>
          <w:rFonts w:hint="eastAsia" w:ascii="宋体" w:hAnsi="宋体" w:cs="宋体"/>
          <w:bCs/>
          <w:color w:val="auto"/>
          <w:szCs w:val="21"/>
          <w:highlight w:val="none"/>
          <w:lang w:val="en-US" w:eastAsia="zh-CN"/>
        </w:rPr>
        <w:t>磋商</w:t>
      </w:r>
      <w:r>
        <w:rPr>
          <w:rFonts w:hint="eastAsia" w:ascii="宋体" w:hAnsi="宋体" w:cs="宋体"/>
          <w:bCs/>
          <w:color w:val="auto"/>
          <w:szCs w:val="21"/>
          <w:highlight w:val="none"/>
        </w:rPr>
        <w:t>，请如实填写《供应商参加</w:t>
      </w:r>
      <w:r>
        <w:rPr>
          <w:rFonts w:hint="eastAsia" w:ascii="宋体" w:hAnsi="宋体" w:cs="宋体"/>
          <w:bCs/>
          <w:color w:val="auto"/>
          <w:szCs w:val="21"/>
          <w:highlight w:val="none"/>
          <w:lang w:val="en-US" w:eastAsia="zh-CN"/>
        </w:rPr>
        <w:t>磋商</w:t>
      </w:r>
      <w:r>
        <w:rPr>
          <w:rFonts w:hint="eastAsia" w:ascii="宋体" w:hAnsi="宋体" w:cs="宋体"/>
          <w:bCs/>
          <w:color w:val="auto"/>
          <w:szCs w:val="21"/>
          <w:highlight w:val="none"/>
        </w:rPr>
        <w:t>确认函》，填写打印后加盖公章，拍照或扫描发送至邮箱（电子邮箱：376671107@qq.com，邮件标题备注企业全称+项目简称，联系电话：0514-82129116）。如</w:t>
      </w:r>
      <w:r>
        <w:rPr>
          <w:rFonts w:hint="eastAsia" w:ascii="宋体" w:hAnsi="宋体" w:cs="宋体"/>
          <w:bCs/>
          <w:color w:val="auto"/>
          <w:szCs w:val="21"/>
          <w:highlight w:val="none"/>
          <w:lang w:val="en-US" w:eastAsia="zh-CN"/>
        </w:rPr>
        <w:t>供应商</w:t>
      </w:r>
      <w:r>
        <w:rPr>
          <w:rFonts w:hint="eastAsia" w:ascii="宋体" w:hAnsi="宋体" w:cs="宋体"/>
          <w:bCs/>
          <w:color w:val="auto"/>
          <w:szCs w:val="21"/>
          <w:highlight w:val="none"/>
        </w:rPr>
        <w:t>未按上述要求去做，将自行承担所产生的风险。《供应商参加</w:t>
      </w:r>
      <w:r>
        <w:rPr>
          <w:rFonts w:hint="eastAsia" w:ascii="宋体" w:hAnsi="宋体" w:cs="宋体"/>
          <w:bCs/>
          <w:color w:val="auto"/>
          <w:szCs w:val="21"/>
          <w:highlight w:val="none"/>
          <w:lang w:val="en-US" w:eastAsia="zh-CN"/>
        </w:rPr>
        <w:t>磋商</w:t>
      </w:r>
      <w:r>
        <w:rPr>
          <w:rFonts w:hint="eastAsia" w:ascii="宋体" w:hAnsi="宋体" w:cs="宋体"/>
          <w:bCs/>
          <w:color w:val="auto"/>
          <w:szCs w:val="21"/>
          <w:highlight w:val="none"/>
        </w:rPr>
        <w:t>确认函》格式详见“</w:t>
      </w:r>
      <w:r>
        <w:rPr>
          <w:rFonts w:hint="eastAsia" w:ascii="宋体" w:hAnsi="宋体" w:cs="宋体"/>
          <w:bCs/>
          <w:color w:val="auto"/>
          <w:szCs w:val="21"/>
          <w:highlight w:val="none"/>
          <w:lang w:eastAsia="zh-CN"/>
        </w:rPr>
        <w:t>采购文件</w:t>
      </w:r>
      <w:r>
        <w:rPr>
          <w:rFonts w:hint="eastAsia" w:ascii="宋体" w:hAnsi="宋体" w:cs="宋体"/>
          <w:bCs/>
          <w:color w:val="auto"/>
          <w:szCs w:val="21"/>
          <w:highlight w:val="none"/>
        </w:rPr>
        <w:t>第</w:t>
      </w:r>
      <w:r>
        <w:rPr>
          <w:rFonts w:hint="eastAsia" w:ascii="宋体" w:hAnsi="宋体" w:cs="宋体"/>
          <w:bCs/>
          <w:color w:val="auto"/>
          <w:szCs w:val="21"/>
          <w:highlight w:val="none"/>
          <w:lang w:val="en-US" w:eastAsia="zh-CN"/>
        </w:rPr>
        <w:t>六</w:t>
      </w:r>
      <w:r>
        <w:rPr>
          <w:rFonts w:hint="eastAsia" w:ascii="宋体" w:hAnsi="宋体" w:cs="宋体"/>
          <w:bCs/>
          <w:color w:val="auto"/>
          <w:szCs w:val="21"/>
          <w:highlight w:val="none"/>
        </w:rPr>
        <w:t>章竞争性磋商响应文件格式”。本次采购文件报名费200元/份，递交</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文件时缴纳，售后不退。</w:t>
      </w:r>
    </w:p>
    <w:p w14:paraId="0F9BA3AA">
      <w:pPr>
        <w:tabs>
          <w:tab w:val="left" w:pos="900"/>
        </w:tabs>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如供应商未按上述要求去做，将自行承担所产生的风险。上述材料不全或不符合要求者，报名不予受理。未报名（未购买磋商文件）者、超过时限者不得前来磋商。</w:t>
      </w:r>
    </w:p>
    <w:p w14:paraId="23CB9261">
      <w:pPr>
        <w:spacing w:line="360" w:lineRule="auto"/>
        <w:ind w:firstLine="422" w:firstLineChars="200"/>
        <w:rPr>
          <w:rFonts w:ascii="宋体" w:hAnsi="宋体" w:cs="宋体"/>
          <w:color w:val="auto"/>
          <w:szCs w:val="21"/>
          <w:highlight w:val="none"/>
        </w:rPr>
      </w:pPr>
      <w:r>
        <w:rPr>
          <w:rFonts w:hint="eastAsia" w:ascii="宋体" w:hAnsi="宋体" w:cs="宋体"/>
          <w:b/>
          <w:bCs/>
          <w:color w:val="auto"/>
          <w:szCs w:val="21"/>
          <w:highlight w:val="none"/>
        </w:rPr>
        <w:t>五、磋商响应文件接收截止时间和地点</w:t>
      </w:r>
    </w:p>
    <w:p w14:paraId="55E160A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（一）响应文件接收开始时间：2026年</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17</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下午2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00</w:t>
      </w:r>
      <w:r>
        <w:rPr>
          <w:rFonts w:hint="eastAsia" w:ascii="宋体" w:hAnsi="宋体" w:cs="宋体"/>
          <w:color w:val="auto"/>
          <w:szCs w:val="21"/>
          <w:highlight w:val="none"/>
        </w:rPr>
        <w:t>（北京时间）</w:t>
      </w:r>
    </w:p>
    <w:p w14:paraId="3C8202E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（二）响应文件接收截止时间：2026年</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17</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下午2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（北京时间），逾期送达将作无效响应处理。</w:t>
      </w:r>
    </w:p>
    <w:p w14:paraId="4DEC56A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（三）响应文件接收地点：江苏苏维工程管理有限公司开标室（扬州市翠岗路48号）。</w:t>
      </w:r>
    </w:p>
    <w:p w14:paraId="76B7D5D4">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六、磋商响应文件开启信息</w:t>
      </w:r>
    </w:p>
    <w:p w14:paraId="3003D6C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（一）响应文件开启时间：2026年11月</w:t>
      </w:r>
      <w:r>
        <w:rPr>
          <w:rFonts w:hint="eastAsia" w:ascii="宋体" w:hAnsi="宋体" w:cs="宋体"/>
          <w:color w:val="auto"/>
          <w:szCs w:val="21"/>
          <w:highlight w:val="none"/>
          <w:lang w:val="en-US" w:eastAsia="zh-CN"/>
        </w:rPr>
        <w:t>17</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下午2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（北京时间）</w:t>
      </w:r>
    </w:p>
    <w:p w14:paraId="5B4DB89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（二）响应文件开启地点：江苏苏维工程管理有限公司三楼评标五室（扬州市翠岗路48号）。</w:t>
      </w:r>
    </w:p>
    <w:p w14:paraId="7131919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（三）磋商地点：江苏苏维工程管理有限公司三楼评标五室（扬州市翠岗路48号）。</w:t>
      </w:r>
    </w:p>
    <w:p w14:paraId="2426635B">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七、本次磋商响应文件制作份数要求</w:t>
      </w:r>
    </w:p>
    <w:p w14:paraId="052D4E5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响应文件份数：纸质版一式五份（壹份正本、肆份副本）、电子版壹份【一般应为U盘形式，含完整磋商响应文件的电子版（PDF格式盖章版），随纸质正本文件一并提交】。当电子版文件和纸质正本文件不一致时，以纸质正本文件为准。电子版文件用于辅助评标和存档，供应商需承担前述不一致造成的不利后果。每份响应文件须清</w:t>
      </w:r>
      <w:r>
        <w:rPr>
          <w:rFonts w:hint="eastAsia" w:ascii="宋体" w:hAnsi="宋体" w:cs="宋体"/>
          <w:color w:val="auto"/>
          <w:szCs w:val="21"/>
          <w:highlight w:val="none"/>
          <w:lang w:eastAsia="zh-CN"/>
        </w:rPr>
        <w:t>楚地</w:t>
      </w:r>
      <w:r>
        <w:rPr>
          <w:rFonts w:hint="eastAsia" w:ascii="宋体" w:hAnsi="宋体" w:cs="宋体"/>
          <w:color w:val="auto"/>
          <w:szCs w:val="21"/>
          <w:highlight w:val="none"/>
        </w:rPr>
        <w:t>标明“正本”或“副本”字样。一旦正本和副本不符，以正本为准。</w:t>
      </w:r>
    </w:p>
    <w:p w14:paraId="14DEBB08">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八、本次磋商保证金要求</w:t>
      </w:r>
    </w:p>
    <w:p w14:paraId="6D8A7E73">
      <w:pPr>
        <w:spacing w:line="360" w:lineRule="auto"/>
        <w:ind w:left="420" w:leftChars="200"/>
        <w:rPr>
          <w:rFonts w:ascii="宋体" w:hAnsi="宋体" w:cs="宋体"/>
          <w:b/>
          <w:bCs/>
          <w:color w:val="auto"/>
          <w:szCs w:val="21"/>
          <w:highlight w:val="none"/>
        </w:rPr>
      </w:pPr>
      <w:r>
        <w:rPr>
          <w:rFonts w:hint="eastAsia" w:ascii="宋体" w:hAnsi="宋体"/>
          <w:bCs/>
          <w:color w:val="auto"/>
          <w:szCs w:val="21"/>
          <w:highlight w:val="none"/>
        </w:rPr>
        <w:t>本次磋商不收取磋商保证金</w:t>
      </w:r>
    </w:p>
    <w:p w14:paraId="45CC7BF8">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九、其他说明事项：</w:t>
      </w:r>
    </w:p>
    <w:p w14:paraId="174C825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（一）集中考察或召开答疑会：供应商自行踏勘现场。</w:t>
      </w:r>
    </w:p>
    <w:p w14:paraId="74C31E3A">
      <w:pPr>
        <w:spacing w:line="360" w:lineRule="auto"/>
        <w:ind w:firstLine="420" w:firstLineChars="200"/>
        <w:rPr>
          <w:rFonts w:ascii="宋体" w:hAnsi="宋体" w:cs="宋体"/>
          <w:iCs/>
          <w:color w:val="auto"/>
          <w:szCs w:val="21"/>
          <w:highlight w:val="none"/>
        </w:rPr>
      </w:pPr>
      <w:r>
        <w:rPr>
          <w:rFonts w:hint="eastAsia" w:ascii="宋体" w:hAnsi="宋体" w:cs="宋体"/>
          <w:i/>
          <w:color w:val="auto"/>
          <w:szCs w:val="21"/>
          <w:highlight w:val="none"/>
          <w:u w:val="single"/>
        </w:rPr>
        <w:t>（二）本磋商文件中斜体下划线部分为实质性响应条件，为必须遵守的条件，如不满足将作无效响应文件处理。</w:t>
      </w:r>
    </w:p>
    <w:p w14:paraId="2D701E7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（三）公告期限：自磋商公告在 </w:t>
      </w:r>
      <w:r>
        <w:rPr>
          <w:rFonts w:hint="eastAsia" w:ascii="宋体" w:hAnsi="宋体" w:cs="宋体"/>
          <w:color w:val="auto"/>
          <w:szCs w:val="21"/>
          <w:highlight w:val="none"/>
          <w:lang w:eastAsia="zh-CN"/>
        </w:rPr>
        <w:t>“扬州大学附属医院”和“江苏招标采购服务平台”</w:t>
      </w:r>
      <w:r>
        <w:rPr>
          <w:rFonts w:hint="eastAsia" w:ascii="宋体" w:hAnsi="宋体" w:cs="宋体"/>
          <w:color w:val="auto"/>
          <w:szCs w:val="21"/>
          <w:highlight w:val="none"/>
        </w:rPr>
        <w:t>网站发布之日起3个工作日。有关本次磋商的事项若存在变动或修改，敬请及时关注</w:t>
      </w:r>
      <w:r>
        <w:rPr>
          <w:rFonts w:hint="eastAsia" w:ascii="宋体" w:hAnsi="宋体" w:cs="宋体"/>
          <w:color w:val="auto"/>
          <w:szCs w:val="21"/>
          <w:highlight w:val="none"/>
          <w:lang w:eastAsia="zh-CN"/>
        </w:rPr>
        <w:t>“扬州大学附属医院”和“江苏招标采购服务平台”</w:t>
      </w:r>
      <w:r>
        <w:rPr>
          <w:rFonts w:hint="eastAsia" w:ascii="宋体" w:hAnsi="宋体" w:cs="宋体"/>
          <w:color w:val="auto"/>
          <w:szCs w:val="21"/>
          <w:highlight w:val="none"/>
        </w:rPr>
        <w:t>网站发布的信息或更正公告。</w:t>
      </w:r>
    </w:p>
    <w:p w14:paraId="41985D5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（四）为落实好政府采购履约资金扶持政策，中标/成交供应商可凭政府采购合同办理融资贷款，详见江苏政府采购网“政采贷”专栏。</w:t>
      </w:r>
    </w:p>
    <w:p w14:paraId="40D6989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五）本项目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投标/响应文件中提供所投产品的相关证书（由国家确定的认证机构出具的、处于有效期之内的节能产品、环境标志产品认证证书）。节能产品、环境标志产品品目清单以递交响应文件截止时已正式公布的最近一期信息为准，如属政府强制采购产品未提供认证证书的或认证证书提供不全的将视为未实质性响应采购要求。其他条件相同情况下，本项目优先采购节能产品、环境标志产品。</w:t>
      </w:r>
    </w:p>
    <w:p w14:paraId="3F91D942">
      <w:pPr>
        <w:spacing w:line="360" w:lineRule="auto"/>
        <w:ind w:firstLine="420" w:firstLineChars="200"/>
        <w:rPr>
          <w:rFonts w:ascii="宋体" w:hAnsi="宋体" w:cs="宋体"/>
          <w:b/>
          <w:bCs/>
          <w:color w:val="auto"/>
          <w:szCs w:val="21"/>
          <w:highlight w:val="none"/>
        </w:rPr>
      </w:pPr>
      <w:r>
        <w:rPr>
          <w:rFonts w:hint="eastAsia" w:ascii="宋体" w:hAnsi="宋体" w:cs="宋体"/>
          <w:color w:val="auto"/>
          <w:szCs w:val="21"/>
          <w:highlight w:val="none"/>
        </w:rPr>
        <w:t>（六）供应商对于所投产品的包装应按照“财办库〔2020〕123号《关于印发《商品包装政府采购需求标准（试行）》《快递包装政府采购需求标准（试行）》的通知》”执行。</w:t>
      </w:r>
    </w:p>
    <w:p w14:paraId="4AD0B071">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十、本次磋商采购联系事项</w:t>
      </w:r>
    </w:p>
    <w:p w14:paraId="4A15BC9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（一）采购单位信息：</w:t>
      </w:r>
    </w:p>
    <w:p w14:paraId="6BA3E33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名称：扬州大学附属医院</w:t>
      </w:r>
    </w:p>
    <w:p w14:paraId="27D3A57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联系人：张老师</w:t>
      </w:r>
    </w:p>
    <w:p w14:paraId="001F699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电话：0514-82099552</w:t>
      </w:r>
    </w:p>
    <w:p w14:paraId="5476D3E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地址：扬州市邗江中路368号</w:t>
      </w:r>
    </w:p>
    <w:p w14:paraId="7DBF1EA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（二）采购代理机构信息：</w:t>
      </w:r>
    </w:p>
    <w:p w14:paraId="79ACD4B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名  称：江苏苏维工程管理有限公司</w:t>
      </w:r>
    </w:p>
    <w:p w14:paraId="29880C3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地　址：扬州市翠岗路48号</w:t>
      </w:r>
    </w:p>
    <w:p w14:paraId="61616AA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联系人：陈秋萍</w:t>
      </w:r>
    </w:p>
    <w:p w14:paraId="4D36B9A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　话：</w:t>
      </w:r>
      <w:bookmarkStart w:id="4" w:name="_Toc22962"/>
      <w:r>
        <w:rPr>
          <w:rFonts w:hint="eastAsia" w:ascii="宋体" w:hAnsi="宋体" w:cs="宋体"/>
          <w:color w:val="auto"/>
          <w:szCs w:val="21"/>
          <w:highlight w:val="none"/>
        </w:rPr>
        <w:t>0514-82129116</w:t>
      </w:r>
    </w:p>
    <w:p w14:paraId="3C2CCE06">
      <w:pPr>
        <w:spacing w:line="360" w:lineRule="auto"/>
        <w:ind w:firstLine="420" w:firstLineChars="200"/>
        <w:jc w:val="right"/>
        <w:rPr>
          <w:rFonts w:hint="eastAsia" w:ascii="宋体" w:hAnsi="宋体" w:cs="宋体"/>
          <w:color w:val="auto"/>
          <w:szCs w:val="21"/>
          <w:highlight w:val="none"/>
        </w:rPr>
      </w:pPr>
      <w:r>
        <w:rPr>
          <w:rFonts w:hint="eastAsia" w:ascii="宋体" w:hAnsi="宋体" w:cs="宋体"/>
          <w:color w:val="auto"/>
          <w:szCs w:val="21"/>
          <w:highlight w:val="none"/>
        </w:rPr>
        <w:t>江苏苏维工程管理有限公司</w:t>
      </w:r>
    </w:p>
    <w:p w14:paraId="0DD2A4C2">
      <w:pPr>
        <w:spacing w:line="360" w:lineRule="auto"/>
        <w:ind w:firstLine="420" w:firstLineChars="200"/>
        <w:jc w:val="right"/>
        <w:rPr>
          <w:rFonts w:ascii="宋体" w:hAnsi="宋体" w:cs="宋体"/>
          <w:color w:val="auto"/>
          <w:szCs w:val="21"/>
          <w:highlight w:val="none"/>
        </w:rPr>
      </w:pPr>
      <w:r>
        <w:rPr>
          <w:rFonts w:hint="eastAsia" w:ascii="宋体" w:hAnsi="宋体" w:cs="宋体"/>
          <w:color w:val="auto"/>
          <w:szCs w:val="21"/>
          <w:highlight w:val="none"/>
        </w:rPr>
        <w:t>2026年</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日</w:t>
      </w:r>
    </w:p>
    <w:p w14:paraId="0803C133">
      <w:pPr>
        <w:pStyle w:val="2"/>
        <w:rPr>
          <w:color w:val="auto"/>
          <w:szCs w:val="36"/>
        </w:rPr>
      </w:pPr>
      <w:r>
        <w:rPr>
          <w:color w:val="auto"/>
        </w:rPr>
        <w:br w:type="page"/>
      </w:r>
      <w:bookmarkStart w:id="5" w:name="_Toc5214"/>
      <w:r>
        <w:rPr>
          <w:color w:val="auto"/>
        </w:rPr>
        <w:t xml:space="preserve">第二章 </w:t>
      </w:r>
      <w:r>
        <w:rPr>
          <w:rFonts w:hint="eastAsia"/>
          <w:color w:val="auto"/>
        </w:rPr>
        <w:t>磋商</w:t>
      </w:r>
      <w:r>
        <w:rPr>
          <w:color w:val="auto"/>
        </w:rPr>
        <w:t>须知</w:t>
      </w:r>
      <w:bookmarkEnd w:id="3"/>
      <w:bookmarkEnd w:id="4"/>
      <w:bookmarkEnd w:id="5"/>
    </w:p>
    <w:p w14:paraId="68A19852">
      <w:pPr>
        <w:spacing w:line="360" w:lineRule="auto"/>
        <w:jc w:val="center"/>
        <w:rPr>
          <w:b/>
          <w:bCs/>
          <w:color w:val="auto"/>
          <w:szCs w:val="21"/>
        </w:rPr>
      </w:pPr>
      <w:bookmarkStart w:id="6" w:name="_Toc16938520"/>
      <w:bookmarkStart w:id="7" w:name="_Toc20823276"/>
      <w:bookmarkStart w:id="8" w:name="_Toc513029204"/>
      <w:bookmarkStart w:id="9" w:name="_Toc458694821"/>
      <w:r>
        <w:rPr>
          <w:bCs/>
          <w:color w:val="auto"/>
          <w:szCs w:val="21"/>
        </w:rPr>
        <w:t>（参加竞争性磋商的供应商以下简称“磋商供应商”）</w:t>
      </w:r>
    </w:p>
    <w:bookmarkEnd w:id="6"/>
    <w:bookmarkEnd w:id="7"/>
    <w:bookmarkEnd w:id="8"/>
    <w:bookmarkEnd w:id="9"/>
    <w:p w14:paraId="2555126C">
      <w:pPr>
        <w:tabs>
          <w:tab w:val="left" w:pos="900"/>
        </w:tabs>
        <w:spacing w:line="360" w:lineRule="auto"/>
        <w:ind w:firstLine="422" w:firstLineChars="200"/>
        <w:rPr>
          <w:rFonts w:ascii="宋体" w:hAnsi="宋体" w:cs="宋体"/>
          <w:b/>
          <w:color w:val="auto"/>
          <w:szCs w:val="21"/>
        </w:rPr>
      </w:pPr>
      <w:bookmarkStart w:id="10" w:name="OLE_LINK69"/>
      <w:bookmarkEnd w:id="10"/>
      <w:r>
        <w:rPr>
          <w:rFonts w:hint="eastAsia" w:ascii="宋体" w:hAnsi="宋体" w:cs="宋体"/>
          <w:b/>
          <w:color w:val="auto"/>
          <w:szCs w:val="21"/>
        </w:rPr>
        <w:t>一、总则</w:t>
      </w:r>
    </w:p>
    <w:p w14:paraId="408DD1BD">
      <w:pPr>
        <w:tabs>
          <w:tab w:val="left" w:pos="900"/>
        </w:tabs>
        <w:spacing w:line="360" w:lineRule="auto"/>
        <w:ind w:firstLine="420" w:firstLineChars="200"/>
        <w:rPr>
          <w:rFonts w:ascii="宋体" w:hAnsi="宋体" w:cs="宋体"/>
          <w:color w:val="auto"/>
          <w:szCs w:val="21"/>
        </w:rPr>
      </w:pPr>
      <w:r>
        <w:rPr>
          <w:rFonts w:hint="eastAsia" w:ascii="宋体" w:hAnsi="宋体" w:cs="宋体"/>
          <w:color w:val="auto"/>
          <w:szCs w:val="21"/>
          <w:lang w:eastAsia="zh-CN"/>
        </w:rPr>
        <w:t>1.</w:t>
      </w:r>
      <w:r>
        <w:rPr>
          <w:rFonts w:hint="eastAsia" w:ascii="宋体" w:hAnsi="宋体" w:cs="宋体"/>
          <w:color w:val="auto"/>
          <w:szCs w:val="21"/>
        </w:rPr>
        <w:t>适用范围</w:t>
      </w:r>
    </w:p>
    <w:p w14:paraId="47A438F0">
      <w:pPr>
        <w:tabs>
          <w:tab w:val="left" w:pos="900"/>
        </w:tabs>
        <w:spacing w:line="360" w:lineRule="auto"/>
        <w:ind w:firstLine="420" w:firstLineChars="200"/>
        <w:rPr>
          <w:rFonts w:ascii="宋体" w:hAnsi="宋体" w:cs="宋体"/>
          <w:color w:val="auto"/>
          <w:szCs w:val="21"/>
        </w:rPr>
      </w:pPr>
      <w:r>
        <w:rPr>
          <w:rFonts w:hint="eastAsia" w:ascii="宋体" w:hAnsi="宋体" w:cs="宋体"/>
          <w:color w:val="auto"/>
          <w:szCs w:val="21"/>
        </w:rPr>
        <w:t>1.1 本竞争性磋商文件（以下简称磋商文件）仅适</w:t>
      </w:r>
      <w:r>
        <w:rPr>
          <w:rFonts w:hint="eastAsia" w:ascii="宋体" w:hAnsi="宋体" w:cs="宋体"/>
          <w:color w:val="auto"/>
          <w:szCs w:val="21"/>
          <w:lang w:eastAsia="zh-CN"/>
        </w:rPr>
        <w:t>用于</w:t>
      </w:r>
      <w:r>
        <w:rPr>
          <w:rFonts w:hint="eastAsia" w:ascii="宋体" w:hAnsi="宋体" w:cs="宋体"/>
          <w:color w:val="auto"/>
          <w:szCs w:val="21"/>
        </w:rPr>
        <w:t>此项目。</w:t>
      </w:r>
    </w:p>
    <w:p w14:paraId="0ED7A351">
      <w:pPr>
        <w:tabs>
          <w:tab w:val="left" w:pos="900"/>
        </w:tabs>
        <w:spacing w:line="360" w:lineRule="auto"/>
        <w:ind w:firstLine="420" w:firstLineChars="200"/>
        <w:rPr>
          <w:rFonts w:ascii="宋体" w:hAnsi="宋体" w:cs="宋体"/>
          <w:color w:val="auto"/>
          <w:szCs w:val="21"/>
        </w:rPr>
      </w:pPr>
      <w:r>
        <w:rPr>
          <w:rFonts w:hint="eastAsia" w:ascii="宋体" w:hAnsi="宋体" w:cs="宋体"/>
          <w:color w:val="auto"/>
          <w:szCs w:val="21"/>
          <w:lang w:eastAsia="zh-CN"/>
        </w:rPr>
        <w:t>2.</w:t>
      </w:r>
      <w:r>
        <w:rPr>
          <w:rFonts w:hint="eastAsia" w:ascii="宋体" w:hAnsi="宋体" w:cs="宋体"/>
          <w:color w:val="auto"/>
          <w:szCs w:val="21"/>
        </w:rPr>
        <w:t>项目采购方式</w:t>
      </w:r>
    </w:p>
    <w:p w14:paraId="43532C5D">
      <w:pPr>
        <w:tabs>
          <w:tab w:val="left" w:pos="900"/>
        </w:tabs>
        <w:spacing w:line="360" w:lineRule="auto"/>
        <w:ind w:firstLine="420" w:firstLineChars="200"/>
        <w:rPr>
          <w:rFonts w:ascii="宋体" w:hAnsi="宋体" w:cs="宋体"/>
          <w:color w:val="auto"/>
          <w:szCs w:val="21"/>
        </w:rPr>
      </w:pPr>
      <w:r>
        <w:rPr>
          <w:rFonts w:hint="eastAsia" w:ascii="宋体" w:hAnsi="宋体" w:cs="宋体"/>
          <w:color w:val="auto"/>
          <w:szCs w:val="21"/>
        </w:rPr>
        <w:t>本次采购采取竞争性磋商的方式。</w:t>
      </w:r>
    </w:p>
    <w:p w14:paraId="2744F0D9">
      <w:pPr>
        <w:tabs>
          <w:tab w:val="left" w:pos="900"/>
        </w:tabs>
        <w:spacing w:line="360" w:lineRule="auto"/>
        <w:ind w:firstLine="420" w:firstLineChars="200"/>
        <w:rPr>
          <w:rFonts w:ascii="宋体" w:hAnsi="宋体" w:cs="宋体"/>
          <w:color w:val="auto"/>
          <w:szCs w:val="21"/>
        </w:rPr>
      </w:pPr>
      <w:r>
        <w:rPr>
          <w:rFonts w:hint="eastAsia" w:ascii="宋体" w:hAnsi="宋体" w:cs="宋体"/>
          <w:color w:val="auto"/>
          <w:szCs w:val="21"/>
          <w:lang w:eastAsia="zh-CN"/>
        </w:rPr>
        <w:t>3.</w:t>
      </w:r>
      <w:r>
        <w:rPr>
          <w:rFonts w:hint="eastAsia" w:ascii="宋体" w:hAnsi="宋体" w:cs="宋体"/>
          <w:color w:val="auto"/>
          <w:szCs w:val="21"/>
        </w:rPr>
        <w:t>合格的磋商供应商</w:t>
      </w:r>
    </w:p>
    <w:p w14:paraId="2072C87E">
      <w:pPr>
        <w:tabs>
          <w:tab w:val="left" w:pos="900"/>
        </w:tabs>
        <w:spacing w:line="360" w:lineRule="auto"/>
        <w:ind w:firstLine="420" w:firstLineChars="200"/>
        <w:rPr>
          <w:rFonts w:ascii="宋体" w:hAnsi="宋体" w:cs="宋体"/>
          <w:color w:val="auto"/>
          <w:szCs w:val="21"/>
        </w:rPr>
      </w:pPr>
      <w:r>
        <w:rPr>
          <w:rFonts w:hint="eastAsia" w:ascii="宋体" w:hAnsi="宋体" w:cs="宋体"/>
          <w:color w:val="auto"/>
          <w:szCs w:val="21"/>
        </w:rPr>
        <w:t>3.1满足本磋商文件“竞争性磋商采购邀请”中合格磋商供应商资格要求的规定。</w:t>
      </w:r>
    </w:p>
    <w:p w14:paraId="41C360DB">
      <w:pPr>
        <w:tabs>
          <w:tab w:val="left" w:pos="900"/>
        </w:tabs>
        <w:spacing w:line="360" w:lineRule="auto"/>
        <w:ind w:firstLine="420" w:firstLineChars="200"/>
        <w:rPr>
          <w:rFonts w:ascii="宋体" w:hAnsi="宋体" w:cs="宋体"/>
          <w:color w:val="auto"/>
          <w:szCs w:val="21"/>
        </w:rPr>
      </w:pPr>
      <w:r>
        <w:rPr>
          <w:rFonts w:hint="eastAsia" w:ascii="宋体" w:hAnsi="宋体" w:cs="宋体"/>
          <w:color w:val="auto"/>
          <w:szCs w:val="21"/>
        </w:rPr>
        <w:t>3.2 满足本磋商文件实质性要求和条件的规定。</w:t>
      </w:r>
    </w:p>
    <w:p w14:paraId="4FF28872">
      <w:pPr>
        <w:tabs>
          <w:tab w:val="left" w:pos="900"/>
        </w:tabs>
        <w:spacing w:line="360" w:lineRule="auto"/>
        <w:ind w:firstLine="420" w:firstLineChars="200"/>
        <w:rPr>
          <w:rFonts w:ascii="宋体" w:hAnsi="宋体" w:cs="宋体"/>
          <w:color w:val="auto"/>
          <w:szCs w:val="21"/>
        </w:rPr>
      </w:pPr>
      <w:r>
        <w:rPr>
          <w:rFonts w:hint="eastAsia" w:ascii="宋体" w:hAnsi="宋体" w:cs="宋体"/>
          <w:color w:val="auto"/>
          <w:szCs w:val="21"/>
          <w:lang w:eastAsia="zh-CN"/>
        </w:rPr>
        <w:t>4.</w:t>
      </w:r>
      <w:r>
        <w:rPr>
          <w:rFonts w:hint="eastAsia" w:ascii="宋体" w:hAnsi="宋体" w:cs="宋体"/>
          <w:color w:val="auto"/>
          <w:szCs w:val="21"/>
        </w:rPr>
        <w:t>参加磋商费用</w:t>
      </w:r>
    </w:p>
    <w:p w14:paraId="7BA6E411">
      <w:pPr>
        <w:tabs>
          <w:tab w:val="left" w:pos="900"/>
        </w:tabs>
        <w:spacing w:line="360" w:lineRule="auto"/>
        <w:ind w:firstLine="420" w:firstLineChars="200"/>
        <w:rPr>
          <w:rFonts w:ascii="宋体" w:hAnsi="宋体" w:cs="宋体"/>
          <w:color w:val="auto"/>
          <w:szCs w:val="21"/>
        </w:rPr>
      </w:pPr>
      <w:r>
        <w:rPr>
          <w:rFonts w:hint="eastAsia" w:ascii="宋体" w:hAnsi="宋体" w:cs="宋体"/>
          <w:color w:val="auto"/>
          <w:szCs w:val="21"/>
        </w:rPr>
        <w:t>4.1参加磋商供应商应自行承担所有与参加磋商有关的费用。不论最终的成交结果如何，江苏苏维工程管理有限公司（以下简称代理机构）和采购人在任何情况下均无义务和责任承担这些费用。</w:t>
      </w:r>
    </w:p>
    <w:p w14:paraId="08C4A71F">
      <w:pPr>
        <w:spacing w:line="360" w:lineRule="auto"/>
        <w:ind w:firstLine="422" w:firstLineChars="200"/>
        <w:jc w:val="left"/>
        <w:rPr>
          <w:rFonts w:ascii="宋体" w:hAnsi="宋体" w:cs="宋体"/>
          <w:b/>
          <w:bCs/>
          <w:color w:val="auto"/>
          <w:szCs w:val="21"/>
        </w:rPr>
      </w:pPr>
      <w:r>
        <w:rPr>
          <w:rFonts w:hint="eastAsia" w:ascii="宋体" w:hAnsi="宋体" w:cs="宋体"/>
          <w:b/>
          <w:bCs/>
          <w:color w:val="auto"/>
          <w:szCs w:val="21"/>
        </w:rPr>
        <w:t>4.2 标书工本费200元，</w:t>
      </w:r>
      <w:r>
        <w:rPr>
          <w:rFonts w:hint="eastAsia" w:ascii="宋体" w:hAnsi="宋体" w:cs="宋体"/>
          <w:b/>
          <w:bCs/>
          <w:color w:val="auto"/>
          <w:szCs w:val="21"/>
          <w:lang w:val="en-US" w:eastAsia="zh-CN"/>
        </w:rPr>
        <w:t>递交响应文件时</w:t>
      </w:r>
      <w:r>
        <w:rPr>
          <w:rFonts w:hint="eastAsia" w:ascii="宋体" w:hAnsi="宋体" w:cs="宋体"/>
          <w:b/>
          <w:bCs/>
          <w:color w:val="auto"/>
          <w:szCs w:val="21"/>
        </w:rPr>
        <w:t>缴纳，售后不退。</w:t>
      </w:r>
    </w:p>
    <w:p w14:paraId="773A2D2C">
      <w:pPr>
        <w:spacing w:line="360" w:lineRule="auto"/>
        <w:ind w:firstLine="422" w:firstLineChars="200"/>
        <w:jc w:val="left"/>
        <w:rPr>
          <w:rFonts w:ascii="宋体" w:hAnsi="宋体" w:cs="宋体"/>
          <w:b/>
          <w:bCs/>
          <w:color w:val="auto"/>
          <w:szCs w:val="21"/>
        </w:rPr>
      </w:pPr>
      <w:r>
        <w:rPr>
          <w:rFonts w:hint="eastAsia" w:ascii="宋体" w:hAnsi="宋体" w:cs="宋体"/>
          <w:b/>
          <w:bCs/>
          <w:color w:val="auto"/>
          <w:szCs w:val="21"/>
        </w:rPr>
        <w:t>4.3本次采购由中标单位在领取中标通知书前一次性支付给招标代理机构代理服务费（具体计算方式详见下表）。</w:t>
      </w:r>
    </w:p>
    <w:tbl>
      <w:tblPr>
        <w:tblStyle w:val="30"/>
        <w:tblW w:w="9783" w:type="dxa"/>
        <w:jc w:val="center"/>
        <w:tblLayout w:type="autofit"/>
        <w:tblCellMar>
          <w:top w:w="0" w:type="dxa"/>
          <w:left w:w="0" w:type="dxa"/>
          <w:bottom w:w="0" w:type="dxa"/>
          <w:right w:w="0" w:type="dxa"/>
        </w:tblCellMar>
      </w:tblPr>
      <w:tblGrid>
        <w:gridCol w:w="2502"/>
        <w:gridCol w:w="2560"/>
        <w:gridCol w:w="1984"/>
        <w:gridCol w:w="2737"/>
      </w:tblGrid>
      <w:tr w14:paraId="034E36DD">
        <w:tblPrEx>
          <w:tblCellMar>
            <w:top w:w="0" w:type="dxa"/>
            <w:left w:w="0" w:type="dxa"/>
            <w:bottom w:w="0" w:type="dxa"/>
            <w:right w:w="0" w:type="dxa"/>
          </w:tblCellMar>
        </w:tblPrEx>
        <w:trPr>
          <w:trHeight w:val="0" w:hRule="atLeast"/>
          <w:tblHeader/>
          <w:jc w:val="center"/>
        </w:trPr>
        <w:tc>
          <w:tcPr>
            <w:tcW w:w="2502" w:type="dxa"/>
            <w:vMerge w:val="restart"/>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46AECFB">
            <w:pPr>
              <w:pStyle w:val="25"/>
              <w:adjustRightInd w:val="0"/>
              <w:snapToGrid w:val="0"/>
              <w:spacing w:before="0" w:beforeAutospacing="0" w:after="0" w:afterAutospacing="0" w:line="440" w:lineRule="exact"/>
              <w:jc w:val="center"/>
              <w:rPr>
                <w:rFonts w:hint="eastAsia"/>
                <w:b w:val="0"/>
                <w:bCs/>
                <w:color w:val="auto"/>
                <w:spacing w:val="40"/>
                <w:kern w:val="2"/>
              </w:rPr>
            </w:pPr>
            <w:r>
              <w:rPr>
                <w:rFonts w:hint="eastAsia"/>
                <w:b w:val="0"/>
                <w:bCs/>
                <w:color w:val="auto"/>
                <w:spacing w:val="40"/>
                <w:kern w:val="2"/>
              </w:rPr>
              <w:t>服务项目名称</w:t>
            </w:r>
          </w:p>
        </w:tc>
        <w:tc>
          <w:tcPr>
            <w:tcW w:w="25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9E697AA">
            <w:pPr>
              <w:pStyle w:val="25"/>
              <w:adjustRightInd w:val="0"/>
              <w:snapToGrid w:val="0"/>
              <w:spacing w:before="0" w:beforeAutospacing="0" w:after="0" w:afterAutospacing="0" w:line="440" w:lineRule="exact"/>
              <w:jc w:val="center"/>
              <w:rPr>
                <w:rFonts w:hint="eastAsia"/>
                <w:b w:val="0"/>
                <w:bCs/>
                <w:color w:val="auto"/>
                <w:kern w:val="2"/>
              </w:rPr>
            </w:pPr>
            <w:r>
              <w:rPr>
                <w:rFonts w:hint="eastAsia"/>
                <w:b w:val="0"/>
                <w:bCs/>
                <w:color w:val="auto"/>
                <w:kern w:val="2"/>
              </w:rPr>
              <w:t>100万以下</w:t>
            </w:r>
          </w:p>
        </w:tc>
        <w:tc>
          <w:tcPr>
            <w:tcW w:w="198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81F6FD7">
            <w:pPr>
              <w:pStyle w:val="25"/>
              <w:adjustRightInd w:val="0"/>
              <w:snapToGrid w:val="0"/>
              <w:spacing w:before="0" w:beforeAutospacing="0" w:after="0" w:afterAutospacing="0" w:line="440" w:lineRule="exact"/>
              <w:jc w:val="center"/>
              <w:rPr>
                <w:rFonts w:hint="eastAsia"/>
                <w:b w:val="0"/>
                <w:bCs/>
                <w:color w:val="auto"/>
                <w:kern w:val="2"/>
              </w:rPr>
            </w:pPr>
            <w:r>
              <w:rPr>
                <w:rFonts w:hint="eastAsia"/>
                <w:b w:val="0"/>
                <w:bCs/>
                <w:color w:val="auto"/>
                <w:kern w:val="2"/>
              </w:rPr>
              <w:t>100万以上</w:t>
            </w:r>
          </w:p>
        </w:tc>
        <w:tc>
          <w:tcPr>
            <w:tcW w:w="27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B72517">
            <w:pPr>
              <w:pStyle w:val="25"/>
              <w:adjustRightInd w:val="0"/>
              <w:snapToGrid w:val="0"/>
              <w:spacing w:before="0" w:beforeAutospacing="0" w:after="0" w:afterAutospacing="0" w:line="440" w:lineRule="exact"/>
              <w:jc w:val="center"/>
              <w:rPr>
                <w:rFonts w:hint="eastAsia"/>
                <w:b w:val="0"/>
                <w:bCs/>
                <w:color w:val="auto"/>
                <w:kern w:val="2"/>
              </w:rPr>
            </w:pPr>
            <w:r>
              <w:rPr>
                <w:rFonts w:hint="eastAsia"/>
                <w:b w:val="0"/>
                <w:bCs/>
                <w:color w:val="auto"/>
                <w:kern w:val="2"/>
              </w:rPr>
              <w:t>代理服务费最高限价</w:t>
            </w:r>
          </w:p>
        </w:tc>
      </w:tr>
      <w:tr w14:paraId="091D6FD6">
        <w:tblPrEx>
          <w:tblCellMar>
            <w:top w:w="0" w:type="dxa"/>
            <w:left w:w="0" w:type="dxa"/>
            <w:bottom w:w="0" w:type="dxa"/>
            <w:right w:w="0" w:type="dxa"/>
          </w:tblCellMar>
        </w:tblPrEx>
        <w:trPr>
          <w:trHeight w:val="0" w:hRule="atLeast"/>
          <w:tblHeader/>
          <w:jc w:val="center"/>
        </w:trPr>
        <w:tc>
          <w:tcPr>
            <w:tcW w:w="2502" w:type="dxa"/>
            <w:vMerge w:val="continue"/>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BC5DE30">
            <w:pPr>
              <w:widowControl/>
              <w:snapToGrid w:val="0"/>
              <w:spacing w:line="440" w:lineRule="exact"/>
              <w:jc w:val="center"/>
              <w:rPr>
                <w:b w:val="0"/>
                <w:bCs/>
                <w:color w:val="auto"/>
              </w:rPr>
            </w:pPr>
          </w:p>
        </w:tc>
        <w:tc>
          <w:tcPr>
            <w:tcW w:w="25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C155E0">
            <w:pPr>
              <w:pStyle w:val="25"/>
              <w:adjustRightInd w:val="0"/>
              <w:snapToGrid w:val="0"/>
              <w:spacing w:before="0" w:beforeAutospacing="0" w:after="0" w:afterAutospacing="0" w:line="440" w:lineRule="exact"/>
              <w:jc w:val="center"/>
              <w:rPr>
                <w:rFonts w:hint="eastAsia"/>
                <w:b w:val="0"/>
                <w:bCs/>
                <w:color w:val="auto"/>
                <w:kern w:val="2"/>
              </w:rPr>
            </w:pPr>
            <w:r>
              <w:rPr>
                <w:rFonts w:hint="eastAsia"/>
                <w:b w:val="0"/>
                <w:bCs/>
                <w:color w:val="auto"/>
                <w:kern w:val="2"/>
              </w:rPr>
              <w:t>（单位：元）</w:t>
            </w:r>
          </w:p>
        </w:tc>
        <w:tc>
          <w:tcPr>
            <w:tcW w:w="198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305E066">
            <w:pPr>
              <w:pStyle w:val="25"/>
              <w:adjustRightInd w:val="0"/>
              <w:snapToGrid w:val="0"/>
              <w:spacing w:before="0" w:beforeAutospacing="0" w:after="0" w:afterAutospacing="0" w:line="440" w:lineRule="exact"/>
              <w:jc w:val="center"/>
              <w:rPr>
                <w:rFonts w:hint="eastAsia"/>
                <w:b w:val="0"/>
                <w:bCs/>
                <w:color w:val="auto"/>
                <w:kern w:val="2"/>
              </w:rPr>
            </w:pPr>
            <w:r>
              <w:rPr>
                <w:rFonts w:hint="eastAsia"/>
                <w:b w:val="0"/>
                <w:bCs/>
                <w:color w:val="auto"/>
                <w:kern w:val="2"/>
              </w:rPr>
              <w:t>（折扣）</w:t>
            </w:r>
          </w:p>
        </w:tc>
        <w:tc>
          <w:tcPr>
            <w:tcW w:w="27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5034058">
            <w:pPr>
              <w:pStyle w:val="25"/>
              <w:adjustRightInd w:val="0"/>
              <w:snapToGrid w:val="0"/>
              <w:spacing w:before="0" w:beforeAutospacing="0" w:after="0" w:afterAutospacing="0" w:line="440" w:lineRule="exact"/>
              <w:jc w:val="center"/>
              <w:rPr>
                <w:rFonts w:hint="eastAsia"/>
                <w:b w:val="0"/>
                <w:bCs/>
                <w:color w:val="auto"/>
                <w:kern w:val="2"/>
              </w:rPr>
            </w:pPr>
            <w:r>
              <w:rPr>
                <w:rFonts w:hint="eastAsia"/>
                <w:b w:val="0"/>
                <w:bCs/>
                <w:color w:val="auto"/>
                <w:kern w:val="2"/>
              </w:rPr>
              <w:t>（单位：元）</w:t>
            </w:r>
          </w:p>
        </w:tc>
      </w:tr>
      <w:tr w14:paraId="7D46F307">
        <w:tblPrEx>
          <w:tblCellMar>
            <w:top w:w="0" w:type="dxa"/>
            <w:left w:w="0" w:type="dxa"/>
            <w:bottom w:w="0" w:type="dxa"/>
            <w:right w:w="0" w:type="dxa"/>
          </w:tblCellMar>
        </w:tblPrEx>
        <w:trPr>
          <w:trHeight w:val="0" w:hRule="atLeast"/>
          <w:tblHeader/>
          <w:jc w:val="center"/>
        </w:trPr>
        <w:tc>
          <w:tcPr>
            <w:tcW w:w="2502"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66B414F">
            <w:pPr>
              <w:pStyle w:val="25"/>
              <w:adjustRightInd w:val="0"/>
              <w:snapToGrid w:val="0"/>
              <w:spacing w:before="0" w:beforeAutospacing="0" w:after="0" w:afterAutospacing="0" w:line="440" w:lineRule="exact"/>
              <w:jc w:val="center"/>
              <w:rPr>
                <w:rFonts w:hint="eastAsia"/>
                <w:b w:val="0"/>
                <w:bCs/>
                <w:color w:val="auto"/>
                <w:kern w:val="2"/>
              </w:rPr>
            </w:pPr>
            <w:r>
              <w:rPr>
                <w:rFonts w:hint="eastAsia"/>
                <w:b w:val="0"/>
                <w:bCs/>
                <w:color w:val="auto"/>
                <w:kern w:val="2"/>
              </w:rPr>
              <w:t>采购代理</w:t>
            </w:r>
          </w:p>
        </w:tc>
        <w:tc>
          <w:tcPr>
            <w:tcW w:w="25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0CC5CC9">
            <w:pPr>
              <w:pStyle w:val="25"/>
              <w:adjustRightInd w:val="0"/>
              <w:snapToGrid w:val="0"/>
              <w:spacing w:before="0" w:beforeAutospacing="0" w:after="0" w:afterAutospacing="0" w:line="440" w:lineRule="exact"/>
              <w:jc w:val="center"/>
              <w:rPr>
                <w:rFonts w:hint="default" w:eastAsia="宋体"/>
                <w:b w:val="0"/>
                <w:bCs/>
                <w:color w:val="auto"/>
                <w:kern w:val="2"/>
                <w:lang w:val="en-US" w:eastAsia="zh-CN"/>
              </w:rPr>
            </w:pPr>
            <w:r>
              <w:rPr>
                <w:rFonts w:hint="eastAsia"/>
                <w:b w:val="0"/>
                <w:bCs/>
                <w:color w:val="auto"/>
                <w:kern w:val="2"/>
                <w:lang w:val="en-US" w:eastAsia="zh-CN"/>
              </w:rPr>
              <w:t>2000</w:t>
            </w:r>
          </w:p>
        </w:tc>
        <w:tc>
          <w:tcPr>
            <w:tcW w:w="198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3C697BD">
            <w:pPr>
              <w:pStyle w:val="25"/>
              <w:adjustRightInd w:val="0"/>
              <w:snapToGrid w:val="0"/>
              <w:spacing w:before="0" w:beforeAutospacing="0" w:after="0" w:afterAutospacing="0" w:line="440" w:lineRule="exact"/>
              <w:jc w:val="center"/>
              <w:rPr>
                <w:rFonts w:hint="default" w:eastAsia="宋体"/>
                <w:b w:val="0"/>
                <w:bCs/>
                <w:color w:val="auto"/>
                <w:kern w:val="2"/>
                <w:lang w:val="en-US" w:eastAsia="zh-CN"/>
              </w:rPr>
            </w:pPr>
            <w:r>
              <w:rPr>
                <w:rFonts w:hint="eastAsia"/>
                <w:b w:val="0"/>
                <w:bCs/>
                <w:color w:val="auto"/>
                <w:kern w:val="2"/>
                <w:lang w:val="en-US" w:eastAsia="zh-CN"/>
              </w:rPr>
              <w:t>18%</w:t>
            </w:r>
          </w:p>
        </w:tc>
        <w:tc>
          <w:tcPr>
            <w:tcW w:w="2737"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54FC81">
            <w:pPr>
              <w:pStyle w:val="25"/>
              <w:adjustRightInd w:val="0"/>
              <w:snapToGrid w:val="0"/>
              <w:spacing w:before="0" w:beforeAutospacing="0" w:after="0" w:afterAutospacing="0" w:line="440" w:lineRule="exact"/>
              <w:jc w:val="center"/>
              <w:rPr>
                <w:rFonts w:hint="default" w:eastAsia="宋体"/>
                <w:b w:val="0"/>
                <w:bCs/>
                <w:color w:val="auto"/>
                <w:kern w:val="2"/>
                <w:lang w:val="en-US" w:eastAsia="zh-CN"/>
              </w:rPr>
            </w:pPr>
            <w:r>
              <w:rPr>
                <w:rFonts w:hint="eastAsia"/>
                <w:b w:val="0"/>
                <w:bCs/>
                <w:color w:val="auto"/>
                <w:kern w:val="2"/>
                <w:lang w:val="en-US" w:eastAsia="zh-CN"/>
              </w:rPr>
              <w:t>10000</w:t>
            </w:r>
          </w:p>
        </w:tc>
      </w:tr>
    </w:tbl>
    <w:p w14:paraId="390FA736">
      <w:pPr>
        <w:widowControl/>
        <w:spacing w:line="440" w:lineRule="exact"/>
        <w:ind w:right="-57" w:rightChars="-27" w:firstLine="174" w:firstLineChars="83"/>
        <w:jc w:val="center"/>
        <w:rPr>
          <w:rFonts w:hint="eastAsia" w:ascii="宋体" w:hAnsi="宋体" w:eastAsia="宋体" w:cs="宋体"/>
          <w:b w:val="0"/>
          <w:bCs w:val="0"/>
          <w:color w:val="auto"/>
          <w:szCs w:val="21"/>
        </w:rPr>
      </w:pPr>
      <w:r>
        <w:rPr>
          <w:rFonts w:hint="eastAsia" w:ascii="宋体" w:hAnsi="宋体" w:eastAsia="宋体" w:cs="宋体"/>
          <w:b w:val="0"/>
          <w:bCs w:val="0"/>
          <w:color w:val="auto"/>
          <w:szCs w:val="21"/>
        </w:rPr>
        <w:t>基准费率表</w:t>
      </w:r>
    </w:p>
    <w:tbl>
      <w:tblPr>
        <w:tblStyle w:val="30"/>
        <w:tblW w:w="9754" w:type="dxa"/>
        <w:jc w:val="center"/>
        <w:tblCellSpacing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autofit"/>
        <w:tblCellMar>
          <w:top w:w="0" w:type="dxa"/>
          <w:left w:w="0" w:type="dxa"/>
          <w:bottom w:w="0" w:type="dxa"/>
          <w:right w:w="0" w:type="dxa"/>
        </w:tblCellMar>
      </w:tblPr>
      <w:tblGrid>
        <w:gridCol w:w="5521"/>
        <w:gridCol w:w="1411"/>
        <w:gridCol w:w="1411"/>
        <w:gridCol w:w="1411"/>
      </w:tblGrid>
      <w:tr w14:paraId="3E1B11CF">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Header/>
          <w:tblCellSpacing w:w="0" w:type="dxa"/>
          <w:jc w:val="center"/>
        </w:trPr>
        <w:tc>
          <w:tcPr>
            <w:tcW w:w="0" w:type="auto"/>
            <w:tcBorders>
              <w:tl2br w:val="nil"/>
              <w:tr2bl w:val="nil"/>
            </w:tcBorders>
            <w:noWrap w:val="0"/>
            <w:vAlign w:val="center"/>
          </w:tcPr>
          <w:p w14:paraId="3553DE20">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中标（成交）金额（万元）</w:t>
            </w:r>
          </w:p>
        </w:tc>
        <w:tc>
          <w:tcPr>
            <w:tcW w:w="0" w:type="auto"/>
            <w:tcBorders>
              <w:tl2br w:val="nil"/>
              <w:tr2bl w:val="nil"/>
            </w:tcBorders>
            <w:noWrap w:val="0"/>
            <w:vAlign w:val="center"/>
          </w:tcPr>
          <w:p w14:paraId="5BBFC7EF">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货物</w:t>
            </w:r>
          </w:p>
        </w:tc>
        <w:tc>
          <w:tcPr>
            <w:tcW w:w="0" w:type="auto"/>
            <w:tcBorders>
              <w:tl2br w:val="nil"/>
              <w:tr2bl w:val="nil"/>
            </w:tcBorders>
            <w:noWrap w:val="0"/>
            <w:vAlign w:val="center"/>
          </w:tcPr>
          <w:p w14:paraId="5CB22F24">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服务</w:t>
            </w:r>
          </w:p>
        </w:tc>
        <w:tc>
          <w:tcPr>
            <w:tcW w:w="1411" w:type="dxa"/>
            <w:tcBorders>
              <w:tl2br w:val="nil"/>
              <w:tr2bl w:val="nil"/>
            </w:tcBorders>
            <w:noWrap w:val="0"/>
            <w:vAlign w:val="center"/>
          </w:tcPr>
          <w:p w14:paraId="1355E3D7">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工程</w:t>
            </w:r>
          </w:p>
        </w:tc>
      </w:tr>
      <w:tr w14:paraId="4D283EF3">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0" w:type="auto"/>
            <w:tcBorders>
              <w:tl2br w:val="nil"/>
              <w:tr2bl w:val="nil"/>
            </w:tcBorders>
            <w:noWrap w:val="0"/>
            <w:vAlign w:val="center"/>
          </w:tcPr>
          <w:p w14:paraId="45C7F11C">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100以下</w:t>
            </w:r>
          </w:p>
        </w:tc>
        <w:tc>
          <w:tcPr>
            <w:tcW w:w="0" w:type="auto"/>
            <w:tcBorders>
              <w:tl2br w:val="nil"/>
              <w:tr2bl w:val="nil"/>
            </w:tcBorders>
            <w:noWrap w:val="0"/>
            <w:vAlign w:val="center"/>
          </w:tcPr>
          <w:p w14:paraId="36921F13">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1.5</w:t>
            </w:r>
            <w:r>
              <w:rPr>
                <w:rFonts w:hint="eastAsia" w:cs="宋体"/>
                <w:b w:val="0"/>
                <w:bCs/>
                <w:color w:val="auto"/>
                <w:spacing w:val="40"/>
                <w:kern w:val="2"/>
                <w:lang w:eastAsia="zh-CN"/>
              </w:rPr>
              <w:t>%</w:t>
            </w:r>
          </w:p>
        </w:tc>
        <w:tc>
          <w:tcPr>
            <w:tcW w:w="0" w:type="auto"/>
            <w:tcBorders>
              <w:tl2br w:val="nil"/>
              <w:tr2bl w:val="nil"/>
            </w:tcBorders>
            <w:noWrap w:val="0"/>
            <w:vAlign w:val="center"/>
          </w:tcPr>
          <w:p w14:paraId="10068FD1">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1.5</w:t>
            </w:r>
            <w:r>
              <w:rPr>
                <w:rFonts w:hint="eastAsia" w:cs="宋体"/>
                <w:b w:val="0"/>
                <w:bCs/>
                <w:color w:val="auto"/>
                <w:spacing w:val="40"/>
                <w:kern w:val="2"/>
                <w:lang w:eastAsia="zh-CN"/>
              </w:rPr>
              <w:t>%</w:t>
            </w:r>
          </w:p>
        </w:tc>
        <w:tc>
          <w:tcPr>
            <w:tcW w:w="1411" w:type="dxa"/>
            <w:tcBorders>
              <w:tl2br w:val="nil"/>
              <w:tr2bl w:val="nil"/>
            </w:tcBorders>
            <w:noWrap w:val="0"/>
            <w:vAlign w:val="center"/>
          </w:tcPr>
          <w:p w14:paraId="11F7F4DD">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1.0</w:t>
            </w:r>
            <w:r>
              <w:rPr>
                <w:rFonts w:hint="eastAsia" w:cs="宋体"/>
                <w:b w:val="0"/>
                <w:bCs/>
                <w:color w:val="auto"/>
                <w:spacing w:val="40"/>
                <w:kern w:val="2"/>
                <w:lang w:eastAsia="zh-CN"/>
              </w:rPr>
              <w:t>%</w:t>
            </w:r>
          </w:p>
        </w:tc>
      </w:tr>
      <w:tr w14:paraId="33AE252E">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0" w:type="auto"/>
            <w:tcBorders>
              <w:tl2br w:val="nil"/>
              <w:tr2bl w:val="nil"/>
            </w:tcBorders>
            <w:noWrap w:val="0"/>
            <w:vAlign w:val="center"/>
          </w:tcPr>
          <w:p w14:paraId="6236A411">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100—500</w:t>
            </w:r>
          </w:p>
        </w:tc>
        <w:tc>
          <w:tcPr>
            <w:tcW w:w="0" w:type="auto"/>
            <w:tcBorders>
              <w:tl2br w:val="nil"/>
              <w:tr2bl w:val="nil"/>
            </w:tcBorders>
            <w:noWrap w:val="0"/>
            <w:vAlign w:val="center"/>
          </w:tcPr>
          <w:p w14:paraId="33B3E5F5">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1.1</w:t>
            </w:r>
            <w:r>
              <w:rPr>
                <w:rFonts w:hint="eastAsia" w:cs="宋体"/>
                <w:b w:val="0"/>
                <w:bCs/>
                <w:color w:val="auto"/>
                <w:spacing w:val="40"/>
                <w:kern w:val="2"/>
                <w:lang w:eastAsia="zh-CN"/>
              </w:rPr>
              <w:t>%</w:t>
            </w:r>
          </w:p>
        </w:tc>
        <w:tc>
          <w:tcPr>
            <w:tcW w:w="0" w:type="auto"/>
            <w:tcBorders>
              <w:tl2br w:val="nil"/>
              <w:tr2bl w:val="nil"/>
            </w:tcBorders>
            <w:noWrap w:val="0"/>
            <w:vAlign w:val="center"/>
          </w:tcPr>
          <w:p w14:paraId="4B59A1CD">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0.8</w:t>
            </w:r>
            <w:r>
              <w:rPr>
                <w:rFonts w:hint="eastAsia" w:cs="宋体"/>
                <w:b w:val="0"/>
                <w:bCs/>
                <w:color w:val="auto"/>
                <w:spacing w:val="40"/>
                <w:kern w:val="2"/>
                <w:lang w:eastAsia="zh-CN"/>
              </w:rPr>
              <w:t>%</w:t>
            </w:r>
          </w:p>
        </w:tc>
        <w:tc>
          <w:tcPr>
            <w:tcW w:w="1411" w:type="dxa"/>
            <w:tcBorders>
              <w:tl2br w:val="nil"/>
              <w:tr2bl w:val="nil"/>
            </w:tcBorders>
            <w:noWrap w:val="0"/>
            <w:vAlign w:val="center"/>
          </w:tcPr>
          <w:p w14:paraId="2F257868">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0.7</w:t>
            </w:r>
            <w:r>
              <w:rPr>
                <w:rFonts w:hint="eastAsia" w:cs="宋体"/>
                <w:b w:val="0"/>
                <w:bCs/>
                <w:color w:val="auto"/>
                <w:spacing w:val="40"/>
                <w:kern w:val="2"/>
                <w:lang w:eastAsia="zh-CN"/>
              </w:rPr>
              <w:t>%</w:t>
            </w:r>
          </w:p>
        </w:tc>
      </w:tr>
      <w:tr w14:paraId="39216D46">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0" w:type="auto"/>
            <w:tcBorders>
              <w:tl2br w:val="nil"/>
              <w:tr2bl w:val="nil"/>
            </w:tcBorders>
            <w:noWrap w:val="0"/>
            <w:vAlign w:val="center"/>
          </w:tcPr>
          <w:p w14:paraId="085C5909">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500—1000</w:t>
            </w:r>
          </w:p>
        </w:tc>
        <w:tc>
          <w:tcPr>
            <w:tcW w:w="0" w:type="auto"/>
            <w:tcBorders>
              <w:tl2br w:val="nil"/>
              <w:tr2bl w:val="nil"/>
            </w:tcBorders>
            <w:noWrap w:val="0"/>
            <w:vAlign w:val="center"/>
          </w:tcPr>
          <w:p w14:paraId="6B8635BD">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0.8</w:t>
            </w:r>
            <w:r>
              <w:rPr>
                <w:rFonts w:hint="eastAsia" w:cs="宋体"/>
                <w:b w:val="0"/>
                <w:bCs/>
                <w:color w:val="auto"/>
                <w:spacing w:val="40"/>
                <w:kern w:val="2"/>
                <w:lang w:eastAsia="zh-CN"/>
              </w:rPr>
              <w:t>%</w:t>
            </w:r>
          </w:p>
        </w:tc>
        <w:tc>
          <w:tcPr>
            <w:tcW w:w="0" w:type="auto"/>
            <w:tcBorders>
              <w:tl2br w:val="nil"/>
              <w:tr2bl w:val="nil"/>
            </w:tcBorders>
            <w:noWrap w:val="0"/>
            <w:vAlign w:val="center"/>
          </w:tcPr>
          <w:p w14:paraId="54C4DF72">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0.45</w:t>
            </w:r>
            <w:r>
              <w:rPr>
                <w:rFonts w:hint="eastAsia" w:cs="宋体"/>
                <w:b w:val="0"/>
                <w:bCs/>
                <w:color w:val="auto"/>
                <w:spacing w:val="40"/>
                <w:kern w:val="2"/>
                <w:lang w:eastAsia="zh-CN"/>
              </w:rPr>
              <w:t>%</w:t>
            </w:r>
          </w:p>
        </w:tc>
        <w:tc>
          <w:tcPr>
            <w:tcW w:w="1411" w:type="dxa"/>
            <w:tcBorders>
              <w:tl2br w:val="nil"/>
              <w:tr2bl w:val="nil"/>
            </w:tcBorders>
            <w:noWrap w:val="0"/>
            <w:vAlign w:val="center"/>
          </w:tcPr>
          <w:p w14:paraId="40E149A7">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0.55</w:t>
            </w:r>
            <w:r>
              <w:rPr>
                <w:rFonts w:hint="eastAsia" w:cs="宋体"/>
                <w:b w:val="0"/>
                <w:bCs/>
                <w:color w:val="auto"/>
                <w:spacing w:val="40"/>
                <w:kern w:val="2"/>
                <w:lang w:eastAsia="zh-CN"/>
              </w:rPr>
              <w:t>%</w:t>
            </w:r>
          </w:p>
        </w:tc>
      </w:tr>
      <w:tr w14:paraId="307B6C4F">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0" w:type="auto"/>
            <w:tcBorders>
              <w:tl2br w:val="nil"/>
              <w:tr2bl w:val="nil"/>
            </w:tcBorders>
            <w:noWrap w:val="0"/>
            <w:vAlign w:val="center"/>
          </w:tcPr>
          <w:p w14:paraId="7FE6C9BC">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1000—5000</w:t>
            </w:r>
          </w:p>
        </w:tc>
        <w:tc>
          <w:tcPr>
            <w:tcW w:w="0" w:type="auto"/>
            <w:tcBorders>
              <w:tl2br w:val="nil"/>
              <w:tr2bl w:val="nil"/>
            </w:tcBorders>
            <w:noWrap w:val="0"/>
            <w:vAlign w:val="center"/>
          </w:tcPr>
          <w:p w14:paraId="7225B82C">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0.5</w:t>
            </w:r>
            <w:r>
              <w:rPr>
                <w:rFonts w:hint="eastAsia" w:cs="宋体"/>
                <w:b w:val="0"/>
                <w:bCs/>
                <w:color w:val="auto"/>
                <w:spacing w:val="40"/>
                <w:kern w:val="2"/>
                <w:lang w:eastAsia="zh-CN"/>
              </w:rPr>
              <w:t>%</w:t>
            </w:r>
          </w:p>
        </w:tc>
        <w:tc>
          <w:tcPr>
            <w:tcW w:w="0" w:type="auto"/>
            <w:tcBorders>
              <w:tl2br w:val="nil"/>
              <w:tr2bl w:val="nil"/>
            </w:tcBorders>
            <w:noWrap w:val="0"/>
            <w:vAlign w:val="center"/>
          </w:tcPr>
          <w:p w14:paraId="487A2C6A">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0.25</w:t>
            </w:r>
            <w:r>
              <w:rPr>
                <w:rFonts w:hint="eastAsia" w:cs="宋体"/>
                <w:b w:val="0"/>
                <w:bCs/>
                <w:color w:val="auto"/>
                <w:spacing w:val="40"/>
                <w:kern w:val="2"/>
                <w:lang w:eastAsia="zh-CN"/>
              </w:rPr>
              <w:t>%</w:t>
            </w:r>
          </w:p>
        </w:tc>
        <w:tc>
          <w:tcPr>
            <w:tcW w:w="1411" w:type="dxa"/>
            <w:tcBorders>
              <w:tl2br w:val="nil"/>
              <w:tr2bl w:val="nil"/>
            </w:tcBorders>
            <w:noWrap w:val="0"/>
            <w:vAlign w:val="center"/>
          </w:tcPr>
          <w:p w14:paraId="03469026">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0.35</w:t>
            </w:r>
            <w:r>
              <w:rPr>
                <w:rFonts w:hint="eastAsia" w:cs="宋体"/>
                <w:b w:val="0"/>
                <w:bCs/>
                <w:color w:val="auto"/>
                <w:spacing w:val="40"/>
                <w:kern w:val="2"/>
                <w:lang w:eastAsia="zh-CN"/>
              </w:rPr>
              <w:t>%</w:t>
            </w:r>
          </w:p>
        </w:tc>
      </w:tr>
      <w:tr w14:paraId="478628E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5521" w:type="dxa"/>
            <w:tcBorders>
              <w:tl2br w:val="nil"/>
              <w:tr2bl w:val="nil"/>
            </w:tcBorders>
            <w:noWrap w:val="0"/>
            <w:vAlign w:val="center"/>
          </w:tcPr>
          <w:p w14:paraId="105AEE97">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5000—10000</w:t>
            </w:r>
          </w:p>
        </w:tc>
        <w:tc>
          <w:tcPr>
            <w:tcW w:w="1411" w:type="dxa"/>
            <w:tcBorders>
              <w:tl2br w:val="nil"/>
              <w:tr2bl w:val="nil"/>
            </w:tcBorders>
            <w:noWrap w:val="0"/>
            <w:vAlign w:val="center"/>
          </w:tcPr>
          <w:p w14:paraId="4D4181A6">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0.25</w:t>
            </w:r>
            <w:r>
              <w:rPr>
                <w:rFonts w:hint="eastAsia" w:cs="宋体"/>
                <w:b w:val="0"/>
                <w:bCs/>
                <w:color w:val="auto"/>
                <w:spacing w:val="40"/>
                <w:kern w:val="2"/>
                <w:lang w:eastAsia="zh-CN"/>
              </w:rPr>
              <w:t>%</w:t>
            </w:r>
          </w:p>
        </w:tc>
        <w:tc>
          <w:tcPr>
            <w:tcW w:w="1411" w:type="dxa"/>
            <w:tcBorders>
              <w:tl2br w:val="nil"/>
              <w:tr2bl w:val="nil"/>
            </w:tcBorders>
            <w:noWrap w:val="0"/>
            <w:vAlign w:val="center"/>
          </w:tcPr>
          <w:p w14:paraId="21F8D535">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0.1</w:t>
            </w:r>
            <w:r>
              <w:rPr>
                <w:rFonts w:hint="eastAsia" w:cs="宋体"/>
                <w:b w:val="0"/>
                <w:bCs/>
                <w:color w:val="auto"/>
                <w:spacing w:val="40"/>
                <w:kern w:val="2"/>
                <w:lang w:eastAsia="zh-CN"/>
              </w:rPr>
              <w:t>%</w:t>
            </w:r>
          </w:p>
        </w:tc>
        <w:tc>
          <w:tcPr>
            <w:tcW w:w="1411" w:type="dxa"/>
            <w:tcBorders>
              <w:tl2br w:val="nil"/>
              <w:tr2bl w:val="nil"/>
            </w:tcBorders>
            <w:noWrap w:val="0"/>
            <w:vAlign w:val="center"/>
          </w:tcPr>
          <w:p w14:paraId="02DC48A8">
            <w:pPr>
              <w:pStyle w:val="25"/>
              <w:adjustRightInd w:val="0"/>
              <w:snapToGrid w:val="0"/>
              <w:spacing w:before="0" w:beforeAutospacing="0" w:after="0" w:afterAutospacing="0" w:line="440" w:lineRule="exact"/>
              <w:jc w:val="center"/>
              <w:rPr>
                <w:rFonts w:hint="eastAsia" w:ascii="宋体" w:hAnsi="宋体" w:eastAsia="宋体" w:cs="宋体"/>
                <w:b w:val="0"/>
                <w:bCs/>
                <w:color w:val="auto"/>
                <w:spacing w:val="40"/>
                <w:kern w:val="2"/>
              </w:rPr>
            </w:pPr>
            <w:r>
              <w:rPr>
                <w:rFonts w:hint="eastAsia" w:ascii="宋体" w:hAnsi="宋体" w:eastAsia="宋体" w:cs="宋体"/>
                <w:b w:val="0"/>
                <w:bCs/>
                <w:color w:val="auto"/>
                <w:spacing w:val="40"/>
                <w:kern w:val="2"/>
              </w:rPr>
              <w:t>0.2</w:t>
            </w:r>
            <w:r>
              <w:rPr>
                <w:rFonts w:hint="eastAsia" w:cs="宋体"/>
                <w:b w:val="0"/>
                <w:bCs/>
                <w:color w:val="auto"/>
                <w:spacing w:val="40"/>
                <w:kern w:val="2"/>
                <w:lang w:eastAsia="zh-CN"/>
              </w:rPr>
              <w:t>%</w:t>
            </w:r>
          </w:p>
        </w:tc>
      </w:tr>
    </w:tbl>
    <w:p w14:paraId="32C4463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（1）代理服务费以人民币支付；</w:t>
      </w:r>
    </w:p>
    <w:p w14:paraId="73884E9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2</w:t>
      </w:r>
      <w:r>
        <w:rPr>
          <w:rFonts w:hint="eastAsia" w:ascii="宋体" w:hAnsi="宋体" w:cs="宋体"/>
          <w:color w:val="auto"/>
          <w:szCs w:val="21"/>
        </w:rPr>
        <w:t>）代理服务费一次性以电汇或转账等非现金形式支付。</w:t>
      </w:r>
    </w:p>
    <w:p w14:paraId="2675352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代理服务费开户银行：中国工商银行扬州雍华府支行</w:t>
      </w:r>
    </w:p>
    <w:p w14:paraId="6612ECE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开户名称：江苏苏维工程管理有限公司</w:t>
      </w:r>
    </w:p>
    <w:p w14:paraId="3DE86C1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kern w:val="0"/>
          <w:szCs w:val="21"/>
        </w:rPr>
      </w:pPr>
      <w:r>
        <w:rPr>
          <w:rFonts w:hint="eastAsia" w:ascii="宋体" w:hAnsi="宋体" w:cs="宋体"/>
          <w:color w:val="auto"/>
          <w:szCs w:val="21"/>
        </w:rPr>
        <w:t>开户账号：1108020819100000612</w:t>
      </w:r>
    </w:p>
    <w:p w14:paraId="41C82D1E">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ascii="宋体" w:hAnsi="宋体" w:cs="宋体"/>
          <w:b/>
          <w:bCs/>
          <w:color w:val="auto"/>
          <w:kern w:val="0"/>
          <w:szCs w:val="21"/>
        </w:rPr>
      </w:pPr>
      <w:r>
        <w:rPr>
          <w:rFonts w:hint="eastAsia" w:ascii="宋体" w:hAnsi="宋体" w:cs="宋体"/>
          <w:b/>
          <w:bCs/>
          <w:color w:val="auto"/>
          <w:kern w:val="0"/>
          <w:szCs w:val="21"/>
        </w:rPr>
        <w:t>4.4专家评审费</w:t>
      </w:r>
      <w:r>
        <w:rPr>
          <w:rFonts w:hint="eastAsia" w:ascii="宋体" w:hAnsi="宋体" w:cs="宋体"/>
          <w:b/>
          <w:bCs/>
          <w:color w:val="auto"/>
          <w:kern w:val="0"/>
          <w:szCs w:val="21"/>
          <w:lang w:val="en-US" w:eastAsia="zh-CN"/>
        </w:rPr>
        <w:t>参照</w:t>
      </w:r>
      <w:r>
        <w:rPr>
          <w:rFonts w:hint="eastAsia" w:ascii="宋体" w:hAnsi="宋体" w:cs="宋体"/>
          <w:b/>
          <w:bCs/>
          <w:color w:val="auto"/>
          <w:kern w:val="0"/>
          <w:szCs w:val="21"/>
        </w:rPr>
        <w:t>《关于规范江苏省政府采购专家评审费标准的通知》（苏财购〔2016〕48号）执行。</w:t>
      </w:r>
    </w:p>
    <w:p w14:paraId="5ED75F4B">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5.</w:t>
      </w:r>
      <w:r>
        <w:rPr>
          <w:rFonts w:hint="eastAsia" w:ascii="宋体" w:hAnsi="宋体" w:cs="宋体"/>
          <w:color w:val="auto"/>
          <w:szCs w:val="21"/>
        </w:rPr>
        <w:t>磋商文件的约束力</w:t>
      </w:r>
    </w:p>
    <w:p w14:paraId="11F03E1F">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供应商一旦获取本磋商文件并决定参加磋商，即被认为接受了本磋商文件的规定和约束，并且视为自竞争性磋商公告期限届满之日起已经知道或应当知道自身权益是否受到了损害。</w:t>
      </w:r>
    </w:p>
    <w:p w14:paraId="38ADF737">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6.</w:t>
      </w:r>
      <w:bookmarkStart w:id="11" w:name="_Toc16938527"/>
      <w:bookmarkStart w:id="12" w:name="_Toc513029211"/>
      <w:bookmarkStart w:id="13" w:name="_Toc20823283"/>
      <w:bookmarkStart w:id="14" w:name="_Toc462564070"/>
      <w:r>
        <w:rPr>
          <w:rFonts w:hint="eastAsia" w:ascii="宋体" w:hAnsi="宋体" w:cs="宋体"/>
          <w:color w:val="auto"/>
          <w:szCs w:val="21"/>
        </w:rPr>
        <w:t>磋商文件的</w:t>
      </w:r>
      <w:bookmarkEnd w:id="11"/>
      <w:bookmarkEnd w:id="12"/>
      <w:bookmarkEnd w:id="13"/>
      <w:bookmarkEnd w:id="14"/>
      <w:r>
        <w:rPr>
          <w:rFonts w:hint="eastAsia" w:ascii="宋体" w:hAnsi="宋体" w:cs="宋体"/>
          <w:color w:val="auto"/>
          <w:szCs w:val="21"/>
        </w:rPr>
        <w:t>询问及修改</w:t>
      </w:r>
    </w:p>
    <w:p w14:paraId="51E2E6C2">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任何要求对磋商文件进行询问的供应商，均应在提交首次响应文件截止时间5日前按采购邀请中的通讯地址，向代理机构提出。提交首次响应文件截止之日前，代理机构可以对已发出的磋商文件进行必要的澄清或者修改，澄清或者修改的内容作为磋商文件的组成部分。澄清或者修改的内容可能影响响应文件编制的，代理机构将在提交首次响应文件截止时间至少5日前，在</w:t>
      </w:r>
      <w:r>
        <w:rPr>
          <w:rFonts w:hint="eastAsia" w:ascii="宋体" w:hAnsi="宋体" w:cs="宋体"/>
          <w:color w:val="auto"/>
          <w:szCs w:val="21"/>
          <w:lang w:eastAsia="zh-CN"/>
        </w:rPr>
        <w:t>“扬州大学附属医院”和“江苏招标采购服务平台”</w:t>
      </w:r>
      <w:r>
        <w:rPr>
          <w:rFonts w:hint="eastAsia" w:ascii="宋体" w:hAnsi="宋体" w:cs="宋体"/>
          <w:color w:val="auto"/>
          <w:szCs w:val="21"/>
        </w:rPr>
        <w:t>网站上发布更正公告通知所有获取磋商文件的供应商。不足5日的，代理机构应当顺延提交首次响应文件截止时间。</w:t>
      </w:r>
    </w:p>
    <w:p w14:paraId="5CE89F81">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6.2代理机构或采购人可以视采购项目的具体情况，组织供应商进行现场考察或召开磋商前答疑会，但不单独或分别组织只有一个供应商参加的现场考察和答疑会。</w:t>
      </w:r>
    </w:p>
    <w:p w14:paraId="6CF7674D">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7.</w:t>
      </w:r>
      <w:r>
        <w:rPr>
          <w:rFonts w:hint="eastAsia" w:ascii="宋体" w:hAnsi="宋体" w:cs="宋体"/>
          <w:color w:val="auto"/>
          <w:szCs w:val="21"/>
        </w:rPr>
        <w:t>磋商文件的解释</w:t>
      </w:r>
    </w:p>
    <w:p w14:paraId="35526A1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bCs/>
          <w:color w:val="auto"/>
          <w:szCs w:val="21"/>
        </w:rPr>
      </w:pPr>
      <w:r>
        <w:rPr>
          <w:rFonts w:hint="eastAsia" w:ascii="宋体" w:hAnsi="宋体" w:cs="宋体"/>
          <w:bCs/>
          <w:color w:val="auto"/>
          <w:szCs w:val="21"/>
        </w:rPr>
        <w:t>本磋商文件由代理机构负责解释。</w:t>
      </w:r>
    </w:p>
    <w:p w14:paraId="6C51AD6A">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color w:val="auto"/>
          <w:szCs w:val="21"/>
        </w:rPr>
      </w:pPr>
      <w:bookmarkStart w:id="15" w:name="_Hlt26670345"/>
      <w:bookmarkEnd w:id="15"/>
      <w:bookmarkStart w:id="16" w:name="_Hlt26954828"/>
      <w:bookmarkEnd w:id="16"/>
      <w:bookmarkStart w:id="17" w:name="_Hlt26668969"/>
      <w:bookmarkEnd w:id="17"/>
      <w:bookmarkStart w:id="18" w:name="_Hlt26670354"/>
      <w:bookmarkEnd w:id="18"/>
      <w:bookmarkStart w:id="19" w:name="_Hlt26954832"/>
      <w:bookmarkEnd w:id="19"/>
      <w:bookmarkStart w:id="20" w:name="_Hlt26670348"/>
      <w:bookmarkEnd w:id="20"/>
      <w:bookmarkStart w:id="21" w:name="_Hlt26954830"/>
      <w:bookmarkEnd w:id="21"/>
      <w:bookmarkStart w:id="22" w:name="_Toc513029213"/>
      <w:bookmarkStart w:id="23" w:name="_Toc14577351"/>
      <w:bookmarkStart w:id="24" w:name="_Toc61149553"/>
      <w:bookmarkStart w:id="25" w:name="_Toc462564072"/>
      <w:r>
        <w:rPr>
          <w:rFonts w:hint="eastAsia" w:ascii="宋体" w:hAnsi="宋体" w:cs="宋体"/>
          <w:b/>
          <w:color w:val="auto"/>
          <w:szCs w:val="21"/>
        </w:rPr>
        <w:t>二、磋商响应文件的编制</w:t>
      </w:r>
      <w:bookmarkEnd w:id="22"/>
      <w:bookmarkEnd w:id="23"/>
      <w:bookmarkEnd w:id="24"/>
      <w:bookmarkEnd w:id="25"/>
    </w:p>
    <w:p w14:paraId="15B514CE">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bookmarkStart w:id="26" w:name="_Toc61149561"/>
      <w:bookmarkStart w:id="27" w:name="_Toc14577361"/>
      <w:bookmarkStart w:id="28" w:name="_Toc513029223"/>
      <w:r>
        <w:rPr>
          <w:rFonts w:hint="eastAsia" w:ascii="宋体" w:hAnsi="宋体" w:cs="宋体"/>
          <w:color w:val="auto"/>
          <w:szCs w:val="21"/>
        </w:rPr>
        <w:t>1.磋商响应文件份数和签署</w:t>
      </w:r>
      <w:bookmarkEnd w:id="26"/>
      <w:bookmarkEnd w:id="27"/>
      <w:bookmarkEnd w:id="28"/>
    </w:p>
    <w:p w14:paraId="15B14544">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1.1磋商供应商应严格按照采购邀请要求准备磋商响应文件（以下简称响应文件），每份响应文件须清楚地标明“正本”或“副本”字样。</w:t>
      </w:r>
    </w:p>
    <w:p w14:paraId="06D3650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响应文件的正本和所有的副本均需打印或复印。响应文件正本中，磋商文件要求提供原件的必须按照要求提供，文字材料需打印或用不褪色墨水书写，响应文件正本须经法定代表人或授权代表签字和加盖磋商供应商公章。本磋商文件所表述（指定）的公章是指刻有供应商法定名称的印章，不包括合同、财务、税务、发票等形式的业务专用章。</w:t>
      </w:r>
    </w:p>
    <w:p w14:paraId="58E4E79B">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1.2 除磋商供应商对错处做必要修改外，响应文件不得行间插字、涂改或增删。如有修改错漏处，必须由响应文件签署人签字或盖章。</w:t>
      </w:r>
    </w:p>
    <w:p w14:paraId="584E5CE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bookmarkStart w:id="29" w:name="_Hlt26954834"/>
      <w:bookmarkEnd w:id="29"/>
      <w:bookmarkStart w:id="30" w:name="_Toc14577353"/>
      <w:bookmarkStart w:id="31" w:name="_Toc513029215"/>
      <w:bookmarkStart w:id="32" w:name="_Toc462564074"/>
      <w:bookmarkStart w:id="33" w:name="_Toc61149555"/>
      <w:bookmarkStart w:id="34" w:name="_Toc513029214"/>
      <w:bookmarkStart w:id="35" w:name="_Toc14577352"/>
      <w:bookmarkStart w:id="36" w:name="_Toc61149554"/>
      <w:bookmarkStart w:id="37" w:name="_Toc462564073"/>
      <w:r>
        <w:rPr>
          <w:rFonts w:hint="eastAsia" w:ascii="宋体" w:hAnsi="宋体" w:cs="宋体"/>
          <w:color w:val="auto"/>
          <w:szCs w:val="21"/>
          <w:lang w:eastAsia="zh-CN"/>
        </w:rPr>
        <w:t>2.</w:t>
      </w:r>
      <w:r>
        <w:rPr>
          <w:rFonts w:hint="eastAsia" w:ascii="宋体" w:hAnsi="宋体" w:cs="宋体"/>
          <w:color w:val="auto"/>
          <w:szCs w:val="21"/>
        </w:rPr>
        <w:t>响应文件</w:t>
      </w:r>
      <w:bookmarkEnd w:id="30"/>
      <w:bookmarkEnd w:id="31"/>
      <w:bookmarkEnd w:id="32"/>
      <w:bookmarkEnd w:id="33"/>
      <w:r>
        <w:rPr>
          <w:rFonts w:hint="eastAsia" w:ascii="宋体" w:hAnsi="宋体" w:cs="宋体"/>
          <w:color w:val="auto"/>
          <w:szCs w:val="21"/>
        </w:rPr>
        <w:t>编制要求</w:t>
      </w:r>
    </w:p>
    <w:bookmarkEnd w:id="34"/>
    <w:bookmarkEnd w:id="35"/>
    <w:bookmarkEnd w:id="36"/>
    <w:bookmarkEnd w:id="37"/>
    <w:p w14:paraId="00E0533A">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2.1磋商供应商提交的响应文件以及磋商供应商与代理机构及采购人就有关磋商的所有来往函电均应使用简体中文。磋商文件中既有中文也有外文的，以中文意义为准。</w:t>
      </w:r>
    </w:p>
    <w:p w14:paraId="2A62E727">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2.2 除技术性能另有规定外，响应文件所使用的度量衡单位，均须采用国家法定计量单位。</w:t>
      </w:r>
    </w:p>
    <w:p w14:paraId="3E9946E2">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bookmarkStart w:id="38" w:name="_Hlt26670357"/>
      <w:bookmarkEnd w:id="38"/>
      <w:bookmarkStart w:id="39" w:name="_Hlt26954836"/>
      <w:bookmarkEnd w:id="39"/>
      <w:bookmarkStart w:id="40" w:name="_Toc14577357"/>
      <w:bookmarkStart w:id="41" w:name="_Toc61149558"/>
      <w:bookmarkStart w:id="42" w:name="_Toc513029219"/>
      <w:bookmarkStart w:id="43" w:name="_Toc513029217"/>
      <w:bookmarkStart w:id="44" w:name="_Toc14577355"/>
      <w:bookmarkStart w:id="45" w:name="_Toc61149557"/>
      <w:r>
        <w:rPr>
          <w:rFonts w:hint="eastAsia" w:ascii="宋体" w:hAnsi="宋体" w:cs="宋体"/>
          <w:color w:val="auto"/>
          <w:szCs w:val="21"/>
          <w:lang w:eastAsia="zh-CN"/>
        </w:rPr>
        <w:t>3.</w:t>
      </w:r>
      <w:r>
        <w:rPr>
          <w:rFonts w:hint="eastAsia" w:ascii="宋体" w:hAnsi="宋体" w:cs="宋体"/>
          <w:color w:val="auto"/>
          <w:szCs w:val="21"/>
        </w:rPr>
        <w:t>参加磋商供应商资格的文件</w:t>
      </w:r>
      <w:bookmarkEnd w:id="40"/>
      <w:bookmarkEnd w:id="41"/>
      <w:bookmarkEnd w:id="42"/>
      <w:r>
        <w:rPr>
          <w:rFonts w:hint="eastAsia" w:ascii="宋体" w:hAnsi="宋体" w:cs="宋体"/>
          <w:color w:val="auto"/>
          <w:szCs w:val="21"/>
        </w:rPr>
        <w:t>证明</w:t>
      </w:r>
    </w:p>
    <w:p w14:paraId="29D273E6">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bookmarkStart w:id="46" w:name="_Hlt26668999"/>
      <w:bookmarkEnd w:id="46"/>
      <w:r>
        <w:rPr>
          <w:rFonts w:hint="eastAsia" w:ascii="宋体" w:hAnsi="宋体" w:cs="宋体"/>
          <w:color w:val="auto"/>
          <w:szCs w:val="21"/>
        </w:rPr>
        <w:t>3.1磋商供应商应提交证明其有资格参加磋商和成交后有能力独立履行合同的文件，并作为其响应文件的一部分。</w:t>
      </w:r>
    </w:p>
    <w:p w14:paraId="5AB951CD">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3.2磋商供应商除必须具有履行合同所需提供的设备以及服务的能力外，还必须具备相应的财务、技术方面的能力。</w:t>
      </w:r>
    </w:p>
    <w:p w14:paraId="258D5C19">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3.3磋商供应商应填写并提交磋商文件所附的“资格证明文件”。</w:t>
      </w:r>
    </w:p>
    <w:p w14:paraId="4F924FA4">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4.</w:t>
      </w:r>
      <w:r>
        <w:rPr>
          <w:rFonts w:hint="eastAsia" w:ascii="宋体" w:hAnsi="宋体" w:cs="宋体"/>
          <w:color w:val="auto"/>
          <w:szCs w:val="21"/>
        </w:rPr>
        <w:t>磋商响应报价</w:t>
      </w:r>
      <w:bookmarkEnd w:id="43"/>
      <w:bookmarkEnd w:id="44"/>
      <w:bookmarkStart w:id="47" w:name="_Hlt26670373"/>
      <w:bookmarkEnd w:id="47"/>
      <w:r>
        <w:rPr>
          <w:rFonts w:hint="eastAsia" w:ascii="宋体" w:hAnsi="宋体" w:cs="宋体"/>
          <w:color w:val="auto"/>
          <w:szCs w:val="21"/>
        </w:rPr>
        <w:t>表</w:t>
      </w:r>
      <w:bookmarkEnd w:id="45"/>
    </w:p>
    <w:p w14:paraId="1F6867C1">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4.1磋商供应商应按照磋商文件规定格式填报磋商响应报价表（含分项报价）。每项产品或服务只允许有一个报价，任何有选择的报价将不予接受，磋商文件中另有规定的按规定执行。</w:t>
      </w:r>
    </w:p>
    <w:p w14:paraId="77C2282D">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4.2标的物</w:t>
      </w:r>
    </w:p>
    <w:p w14:paraId="507F028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详见第四章项目需求。</w:t>
      </w:r>
    </w:p>
    <w:p w14:paraId="6E4A5B56">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4.3有关费用处理</w:t>
      </w:r>
    </w:p>
    <w:p w14:paraId="771222EC">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本次采购磋商供应商的总报价应包括为完成本项目发生的所有费用，本磋商文件中另有规定的除外。</w:t>
      </w:r>
    </w:p>
    <w:p w14:paraId="3422913E">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4.4其它费用处理</w:t>
      </w:r>
    </w:p>
    <w:p w14:paraId="7B77108C">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磋商文件未列明，而磋商供应商认为必需的费用也须列入报价。</w:t>
      </w:r>
    </w:p>
    <w:p w14:paraId="62037B6B">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4.5报价采用的货币</w:t>
      </w:r>
    </w:p>
    <w:p w14:paraId="7A2EDED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响应文件中的单价和总价，无特殊规定的采用人民币报价，以元为单位标注。磋商文件中另有规定的按规定执行。</w:t>
      </w:r>
    </w:p>
    <w:p w14:paraId="1A8373B1">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4.6 磋商响应报价表上的价格应按磋商文件规定填写。</w:t>
      </w:r>
    </w:p>
    <w:p w14:paraId="1ABADB4E">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bookmarkStart w:id="48" w:name="_Hlt26954846"/>
      <w:bookmarkEnd w:id="48"/>
      <w:bookmarkStart w:id="49" w:name="_Hlt26670425"/>
      <w:bookmarkEnd w:id="49"/>
      <w:bookmarkStart w:id="50" w:name="_Hlt26954731"/>
      <w:bookmarkEnd w:id="50"/>
      <w:bookmarkStart w:id="51" w:name="_Hlt26670486"/>
      <w:bookmarkEnd w:id="51"/>
      <w:bookmarkStart w:id="52" w:name="_Hlt26954844"/>
      <w:bookmarkEnd w:id="52"/>
      <w:bookmarkStart w:id="53" w:name="_Hlt26954848"/>
      <w:bookmarkEnd w:id="53"/>
      <w:bookmarkStart w:id="54" w:name="_Hlt26954842"/>
      <w:bookmarkEnd w:id="54"/>
      <w:bookmarkStart w:id="55" w:name="_Hlt26668983"/>
      <w:bookmarkEnd w:id="55"/>
      <w:bookmarkStart w:id="56" w:name="_Hlt26670403"/>
      <w:bookmarkEnd w:id="56"/>
      <w:bookmarkStart w:id="57" w:name="_Hlt26670482"/>
      <w:bookmarkEnd w:id="57"/>
      <w:bookmarkStart w:id="58" w:name="_Toc61149559"/>
      <w:bookmarkStart w:id="59" w:name="_Toc513029221"/>
      <w:bookmarkStart w:id="60" w:name="_Toc14577359"/>
      <w:r>
        <w:rPr>
          <w:rFonts w:hint="eastAsia" w:ascii="宋体" w:hAnsi="宋体" w:cs="宋体"/>
          <w:color w:val="auto"/>
          <w:szCs w:val="21"/>
          <w:lang w:eastAsia="zh-CN"/>
        </w:rPr>
        <w:t>5.</w:t>
      </w:r>
      <w:r>
        <w:rPr>
          <w:rFonts w:hint="eastAsia" w:ascii="宋体" w:hAnsi="宋体" w:cs="宋体"/>
          <w:color w:val="auto"/>
          <w:szCs w:val="21"/>
        </w:rPr>
        <w:t>项目需求响应方案</w:t>
      </w:r>
    </w:p>
    <w:p w14:paraId="564E0DA0">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5.1提供为完成本项目的总体实施方案。</w:t>
      </w:r>
    </w:p>
    <w:p w14:paraId="0A6962CA">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5.2对磋商文件中项目需求的技术与商务条款要求逐项作出应答，并提供依据或说明。</w:t>
      </w:r>
    </w:p>
    <w:p w14:paraId="37E2644E">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5.3磋商供应商认为需要的其他技术文件或说明。</w:t>
      </w:r>
    </w:p>
    <w:p w14:paraId="24F0B3C3">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6.</w:t>
      </w:r>
      <w:r>
        <w:rPr>
          <w:rFonts w:hint="eastAsia" w:ascii="宋体" w:hAnsi="宋体" w:cs="宋体"/>
          <w:color w:val="auto"/>
          <w:szCs w:val="21"/>
        </w:rPr>
        <w:t>磋商保证金</w:t>
      </w:r>
      <w:bookmarkEnd w:id="58"/>
      <w:bookmarkEnd w:id="59"/>
      <w:bookmarkEnd w:id="60"/>
    </w:p>
    <w:p w14:paraId="56EECDCA">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本项目无磋商保证金</w:t>
      </w:r>
    </w:p>
    <w:p w14:paraId="732B0E4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color w:val="auto"/>
          <w:szCs w:val="21"/>
        </w:rPr>
      </w:pPr>
      <w:bookmarkStart w:id="61" w:name="_Hlt26954852"/>
      <w:bookmarkEnd w:id="61"/>
      <w:bookmarkStart w:id="62" w:name="_Hlt26670493"/>
      <w:bookmarkEnd w:id="62"/>
      <w:bookmarkStart w:id="63" w:name="_Hlt26954734"/>
      <w:bookmarkEnd w:id="63"/>
      <w:bookmarkStart w:id="64" w:name="_Hlt26954854"/>
      <w:bookmarkEnd w:id="64"/>
      <w:bookmarkStart w:id="65" w:name="_Hlt26954739"/>
      <w:bookmarkEnd w:id="65"/>
      <w:bookmarkStart w:id="66" w:name="_Hlt26670489"/>
      <w:bookmarkEnd w:id="66"/>
      <w:bookmarkStart w:id="67" w:name="_Hlt26954850"/>
      <w:bookmarkEnd w:id="67"/>
      <w:bookmarkStart w:id="68" w:name="_Hlt26954749"/>
      <w:bookmarkEnd w:id="68"/>
      <w:bookmarkStart w:id="69" w:name="_Toc14577362"/>
      <w:bookmarkStart w:id="70" w:name="_Toc513029224"/>
      <w:bookmarkStart w:id="71" w:name="_Toc61149562"/>
      <w:r>
        <w:rPr>
          <w:rFonts w:hint="eastAsia" w:ascii="宋体" w:hAnsi="宋体" w:cs="宋体"/>
          <w:b/>
          <w:color w:val="auto"/>
          <w:szCs w:val="21"/>
        </w:rPr>
        <w:t>三、响应文件的递交</w:t>
      </w:r>
      <w:bookmarkEnd w:id="69"/>
      <w:bookmarkEnd w:id="70"/>
      <w:bookmarkEnd w:id="71"/>
    </w:p>
    <w:p w14:paraId="1045505C">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bookmarkStart w:id="72" w:name="_Hlt26954856"/>
      <w:bookmarkEnd w:id="72"/>
      <w:bookmarkStart w:id="73" w:name="_Toc61149563"/>
      <w:bookmarkStart w:id="74" w:name="_Toc14577363"/>
      <w:bookmarkStart w:id="75" w:name="_Toc462564084"/>
      <w:bookmarkStart w:id="76" w:name="_Toc513029225"/>
      <w:r>
        <w:rPr>
          <w:rFonts w:hint="eastAsia" w:ascii="宋体" w:hAnsi="宋体" w:cs="宋体"/>
          <w:color w:val="auto"/>
          <w:szCs w:val="21"/>
        </w:rPr>
        <w:t>1.响应文件</w:t>
      </w:r>
      <w:bookmarkStart w:id="77" w:name="_Hlt26954743"/>
      <w:bookmarkEnd w:id="77"/>
      <w:r>
        <w:rPr>
          <w:rFonts w:hint="eastAsia" w:ascii="宋体" w:hAnsi="宋体" w:cs="宋体"/>
          <w:color w:val="auto"/>
          <w:szCs w:val="21"/>
        </w:rPr>
        <w:t>的密封和标记</w:t>
      </w:r>
      <w:bookmarkEnd w:id="73"/>
      <w:bookmarkEnd w:id="74"/>
      <w:bookmarkEnd w:id="75"/>
      <w:bookmarkEnd w:id="76"/>
    </w:p>
    <w:p w14:paraId="781BD8D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 xml:space="preserve">1.1磋商供应商应严格按照采购邀请要求的份数准备响应文件，每份响应文件须清楚地标明“正本”或“副本”字样。一旦正本和副本不符，以正本为准。磋商供应商应将响应文件正本和所有副本密封。 </w:t>
      </w:r>
    </w:p>
    <w:p w14:paraId="1F06ABC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1.2密封的响应文件应：</w:t>
      </w:r>
    </w:p>
    <w:p w14:paraId="5C09BAD9">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（1）按采购邀请中注明的地址送达规定地点；</w:t>
      </w:r>
    </w:p>
    <w:p w14:paraId="2FD5655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（2）注明参加磋商项目名称、项目编号及参加的分包号（如有）；</w:t>
      </w:r>
    </w:p>
    <w:p w14:paraId="0900E6DD">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（3）密封包装上应写明磋商供应商名称和地址。</w:t>
      </w:r>
    </w:p>
    <w:p w14:paraId="19018013">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1.3如果密封包装未按要求密封和加写标记，代理机构对误投或过早启封概不负责。对由此造成提前开封的响应文件，代理机构将予以拒绝，作无效响应处理。</w:t>
      </w:r>
    </w:p>
    <w:p w14:paraId="7AB9770E">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bookmarkStart w:id="78" w:name="_Hlt26954858"/>
      <w:bookmarkEnd w:id="78"/>
      <w:bookmarkStart w:id="79" w:name="_Hlt26954752"/>
      <w:bookmarkEnd w:id="79"/>
      <w:bookmarkStart w:id="80" w:name="_Hlt26954864"/>
      <w:bookmarkEnd w:id="80"/>
      <w:bookmarkStart w:id="81" w:name="_Hlt26670523"/>
      <w:bookmarkEnd w:id="81"/>
      <w:bookmarkStart w:id="82" w:name="_Hlt26670496"/>
      <w:bookmarkEnd w:id="82"/>
      <w:bookmarkStart w:id="83" w:name="_Toc513029226"/>
      <w:bookmarkStart w:id="84" w:name="_Toc61149564"/>
      <w:bookmarkStart w:id="85" w:name="_Toc14577364"/>
      <w:r>
        <w:rPr>
          <w:rFonts w:hint="eastAsia" w:ascii="宋体" w:hAnsi="宋体" w:cs="宋体"/>
          <w:color w:val="auto"/>
          <w:szCs w:val="21"/>
          <w:lang w:eastAsia="zh-CN"/>
        </w:rPr>
        <w:t>2.</w:t>
      </w:r>
      <w:bookmarkEnd w:id="83"/>
      <w:bookmarkEnd w:id="84"/>
      <w:bookmarkEnd w:id="85"/>
      <w:r>
        <w:rPr>
          <w:rFonts w:hint="eastAsia" w:ascii="宋体" w:hAnsi="宋体" w:cs="宋体"/>
          <w:color w:val="auto"/>
          <w:szCs w:val="21"/>
        </w:rPr>
        <w:t>响应文件开启时间</w:t>
      </w:r>
    </w:p>
    <w:p w14:paraId="2D5691A0">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2.1代理机构收到响应文件的时间不得迟于本磋商文件规定的响应文件接收截止时间。</w:t>
      </w:r>
    </w:p>
    <w:p w14:paraId="34FC1361">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2.2代理机构有权通过修改磋商文件推迟响应文件接收截止时间，在此情况下，磋商供应商的所有权利和义务以及受制的响应文件接收截止时间均应以延长后新的响应文件接收截止时间为准。</w:t>
      </w:r>
    </w:p>
    <w:p w14:paraId="10C3D64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bookmarkStart w:id="86" w:name="_Hlt26954860"/>
      <w:bookmarkEnd w:id="86"/>
      <w:bookmarkStart w:id="87" w:name="_Toc61149565"/>
      <w:bookmarkStart w:id="88" w:name="_Toc513029227"/>
      <w:bookmarkStart w:id="89" w:name="_Toc14577365"/>
      <w:r>
        <w:rPr>
          <w:rFonts w:hint="eastAsia" w:ascii="宋体" w:hAnsi="宋体" w:cs="宋体"/>
          <w:color w:val="auto"/>
          <w:szCs w:val="21"/>
          <w:lang w:eastAsia="zh-CN"/>
        </w:rPr>
        <w:t>3.</w:t>
      </w:r>
      <w:r>
        <w:rPr>
          <w:rFonts w:hint="eastAsia" w:ascii="宋体" w:hAnsi="宋体" w:cs="宋体"/>
          <w:color w:val="auto"/>
          <w:szCs w:val="21"/>
        </w:rPr>
        <w:t>迟交的响应文件</w:t>
      </w:r>
      <w:bookmarkEnd w:id="87"/>
      <w:bookmarkEnd w:id="88"/>
      <w:bookmarkEnd w:id="89"/>
    </w:p>
    <w:p w14:paraId="77FE1B2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3.1代理机构将拒绝在规定的响应文件接收截止时间后接收任何响应文件。</w:t>
      </w:r>
    </w:p>
    <w:p w14:paraId="0CEDE700">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bookmarkStart w:id="90" w:name="_Hlt26954754"/>
      <w:bookmarkEnd w:id="90"/>
      <w:bookmarkStart w:id="91" w:name="_Hlt26954862"/>
      <w:bookmarkEnd w:id="91"/>
      <w:bookmarkStart w:id="92" w:name="_Toc513029228"/>
      <w:bookmarkStart w:id="93" w:name="_Toc14577366"/>
      <w:bookmarkStart w:id="94" w:name="_Toc61149566"/>
      <w:r>
        <w:rPr>
          <w:rFonts w:hint="eastAsia" w:ascii="宋体" w:hAnsi="宋体" w:cs="宋体"/>
          <w:color w:val="auto"/>
          <w:szCs w:val="21"/>
          <w:lang w:eastAsia="zh-CN"/>
        </w:rPr>
        <w:t>4.</w:t>
      </w:r>
      <w:r>
        <w:rPr>
          <w:rFonts w:hint="eastAsia" w:ascii="宋体" w:hAnsi="宋体" w:cs="宋体"/>
          <w:color w:val="auto"/>
          <w:szCs w:val="21"/>
        </w:rPr>
        <w:t>响应文件</w:t>
      </w:r>
      <w:bookmarkStart w:id="95" w:name="_Hlt26670588"/>
      <w:r>
        <w:rPr>
          <w:rFonts w:hint="eastAsia" w:ascii="宋体" w:hAnsi="宋体" w:cs="宋体"/>
          <w:color w:val="auto"/>
          <w:szCs w:val="21"/>
        </w:rPr>
        <w:t>的修改</w:t>
      </w:r>
      <w:bookmarkEnd w:id="95"/>
      <w:r>
        <w:rPr>
          <w:rFonts w:hint="eastAsia" w:ascii="宋体" w:hAnsi="宋体" w:cs="宋体"/>
          <w:color w:val="auto"/>
          <w:szCs w:val="21"/>
        </w:rPr>
        <w:t>和撤回</w:t>
      </w:r>
      <w:bookmarkEnd w:id="92"/>
      <w:bookmarkEnd w:id="93"/>
      <w:bookmarkEnd w:id="94"/>
    </w:p>
    <w:p w14:paraId="1E4E3DD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4.1磋商供应商在递交响应文件后，可以修改或撤回其谈判响应文件，但这种修改和撤回，必须在规定的响应文件接收截止时间前，以书面形式送达指定地点。</w:t>
      </w:r>
    </w:p>
    <w:p w14:paraId="18FBA0F2">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4.2磋商供应商的修改或撤回通知书，应按本文件规定进行编制、密封、标记和发送，并应在封套上加注“修改”和“撤回”字样。</w:t>
      </w:r>
    </w:p>
    <w:p w14:paraId="14B49E5B">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4.3 磋商供应商在提交最后报价之前，可以根据磋商情况退出磋商。</w:t>
      </w:r>
    </w:p>
    <w:p w14:paraId="262234CF">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5.</w:t>
      </w:r>
      <w:r>
        <w:rPr>
          <w:rFonts w:hint="eastAsia" w:ascii="宋体" w:hAnsi="宋体" w:cs="宋体"/>
          <w:color w:val="auto"/>
          <w:szCs w:val="21"/>
        </w:rPr>
        <w:t>磋商响应有效期</w:t>
      </w:r>
    </w:p>
    <w:p w14:paraId="34ED5D3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5.1 磋商响应有效期为代理机构规定的响应文件接收截止时间后六十（60）天。磋商响应有效期比规定短的将被视为非实质性响应性而予以拒绝。</w:t>
      </w:r>
    </w:p>
    <w:p w14:paraId="1A48653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5.2 在特殊情况下，代理机构于原磋商响应有效期满之前，可向磋商供应商提出延长磋商响应有效期的要求。这种要求与答复均应采用书面形式。磋商供应商可以拒绝代理机构的这一要求而放弃磋商响应。同意延长磋商响应有效期的磋商供应商既不能要求也不允许修改其响应文件。受磋商响应有效期约束的所有权利与义务均延长至新的有效期。</w:t>
      </w:r>
    </w:p>
    <w:p w14:paraId="3AE21A09">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color w:val="auto"/>
          <w:szCs w:val="21"/>
        </w:rPr>
      </w:pPr>
      <w:r>
        <w:rPr>
          <w:rFonts w:hint="eastAsia" w:ascii="宋体" w:hAnsi="宋体" w:cs="宋体"/>
          <w:b/>
          <w:color w:val="auto"/>
          <w:szCs w:val="21"/>
        </w:rPr>
        <w:t>四、磋商与评审</w:t>
      </w:r>
    </w:p>
    <w:p w14:paraId="5C019320">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1.磋商仪式</w:t>
      </w:r>
    </w:p>
    <w:p w14:paraId="0AC2115A">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1.1代理机构将在采购邀请中规定的时间和地点组织磋商开始仪式，仪式由代理机构主持，磋商供应商应委派携带有效证件的代表准时参加，参加仪式的代表需签名以证明其出席。</w:t>
      </w:r>
    </w:p>
    <w:p w14:paraId="6ABCC30D">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2.</w:t>
      </w:r>
      <w:r>
        <w:rPr>
          <w:rFonts w:hint="eastAsia" w:ascii="宋体" w:hAnsi="宋体" w:cs="宋体"/>
          <w:color w:val="auto"/>
          <w:szCs w:val="21"/>
        </w:rPr>
        <w:t>磋商小组</w:t>
      </w:r>
    </w:p>
    <w:p w14:paraId="333252AF">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2.1 磋商开始仪式结束后，代理机构将立即组织磋商小组进行评审。</w:t>
      </w:r>
    </w:p>
    <w:p w14:paraId="2F92B5CD">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2.2 磋商小组由评审专家组成，且人员构成符合有关规定。</w:t>
      </w:r>
    </w:p>
    <w:p w14:paraId="58DD1880">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3.</w:t>
      </w:r>
      <w:r>
        <w:rPr>
          <w:rFonts w:hint="eastAsia" w:ascii="宋体" w:hAnsi="宋体" w:cs="宋体"/>
          <w:color w:val="auto"/>
          <w:szCs w:val="21"/>
        </w:rPr>
        <w:t>磋商评审过程的保密与公正</w:t>
      </w:r>
    </w:p>
    <w:p w14:paraId="71A4E501">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3.1磋商小组、采购人和代理机构工作人员、相关监督人员等与评审工作有关的人员，对评审情况以及在评审过程中获悉的国家秘密、商业秘密负有保密责任。</w:t>
      </w:r>
    </w:p>
    <w:p w14:paraId="7EE2CF72">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3.2在磋商评审过程中，磋商供应商不得以任何行为影响磋商评审过程，否则其响应文件将被作为无效响应文件。</w:t>
      </w:r>
    </w:p>
    <w:p w14:paraId="26AE74CB">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3.3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5C9D3E74">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4.</w:t>
      </w:r>
      <w:r>
        <w:rPr>
          <w:rFonts w:hint="eastAsia" w:ascii="宋体" w:hAnsi="宋体" w:cs="宋体"/>
          <w:color w:val="auto"/>
          <w:szCs w:val="21"/>
        </w:rPr>
        <w:t>评审过程的澄清、说明和更正</w:t>
      </w:r>
    </w:p>
    <w:p w14:paraId="05A3B0F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并非对每个供应商都作澄清要求。</w:t>
      </w:r>
    </w:p>
    <w:p w14:paraId="43A60466">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4.2接到磋商小组要求的供应商应派人按磋商小组通知的时间和地点做出书面澄清、说明或更正。供应商的澄清、说明或者更正应当由法定代表人或授权代表签字或者加盖公章。由授权代表签字的，应当附法人授权书。供应商为自然人的，应当由本人签字并附身份证明。</w:t>
      </w:r>
    </w:p>
    <w:p w14:paraId="2B6B7BF3">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4.3 接到磋商小组澄清要求的供应商如未按规定作出澄清，其风险由供应商自行承担。</w:t>
      </w:r>
    </w:p>
    <w:p w14:paraId="28C5A39A">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5.</w:t>
      </w:r>
      <w:r>
        <w:rPr>
          <w:rFonts w:hint="eastAsia" w:ascii="宋体" w:hAnsi="宋体" w:cs="宋体"/>
          <w:color w:val="auto"/>
          <w:szCs w:val="21"/>
        </w:rPr>
        <w:t>对响应文件的初审</w:t>
      </w:r>
    </w:p>
    <w:p w14:paraId="03BC642E">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5.1响应文件初审分为资格性检查和符合性检查。</w:t>
      </w:r>
    </w:p>
    <w:p w14:paraId="0B780A13">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资格性检查：依据法律法规和磋商文件的规定，对响应文件中的资格证明文件等进行审查，以确定供应商是否具备参加磋商的资格。</w:t>
      </w:r>
    </w:p>
    <w:p w14:paraId="24A840F3">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符合性检查：依据磋商文件的规定，从响应文件的有效性、完整性和对磋商文件的响应程度进行审查，以确定是否对磋商文件的实质性要求作出响应。</w:t>
      </w:r>
    </w:p>
    <w:p w14:paraId="64BC6779">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5.2在正式磋商之前，磋商小组将首先审查每份响应文件是否实质性响应了磋商文件的要求。实质性响应的响应文件应该是与磋商文件要求的条款、条件和规格相符，没有重大偏离或保留。</w:t>
      </w:r>
    </w:p>
    <w:p w14:paraId="00097132">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所谓重大偏离或保留是指与磋商文件规定的实质性要求存在负偏离，或者在实质上与磋商文件不一致，而且限制了合同中买方和见证方的权利或供应商的义务，纠正这些偏离或保留将会对其他实质性响应要求的供应商的竞争地位产生不公正的影响。是否属于重大偏离由谈判小组按照少数服从多数的原则作出结论。磋商小组决定响应文件的响应性只根据响应文件本身的内容，而不寻求外部的证据。</w:t>
      </w:r>
    </w:p>
    <w:p w14:paraId="48F4019E">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5.3 被认定为未实质性响应磋商文件的响应文件的情形</w:t>
      </w:r>
    </w:p>
    <w:p w14:paraId="7B69A2EC">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（1）未按照磋商文件规定要求密封、签署、盖章的；</w:t>
      </w:r>
    </w:p>
    <w:p w14:paraId="0D5683CC">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（2）供应商在报价时采用选择性报价；</w:t>
      </w:r>
    </w:p>
    <w:p w14:paraId="347A0E10">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（3）供应商不具备磋商文件中规定资格要求的；</w:t>
      </w:r>
    </w:p>
    <w:p w14:paraId="303C32C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（4）不符合</w:t>
      </w:r>
      <w:r>
        <w:rPr>
          <w:rFonts w:hint="eastAsia" w:ascii="宋体" w:hAnsi="宋体" w:cs="宋体"/>
          <w:color w:val="auto"/>
          <w:szCs w:val="21"/>
          <w:lang w:eastAsia="zh-CN"/>
        </w:rPr>
        <w:t>法律法规</w:t>
      </w:r>
      <w:r>
        <w:rPr>
          <w:rFonts w:hint="eastAsia" w:ascii="宋体" w:hAnsi="宋体" w:cs="宋体"/>
          <w:color w:val="auto"/>
          <w:szCs w:val="21"/>
        </w:rPr>
        <w:t>和磋商文件中规定的其他实质性要求和条件的（本磋商文件中斜体且有下划线部分为实质性要求和条件）；</w:t>
      </w:r>
    </w:p>
    <w:p w14:paraId="47A2B62C">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（5）其他</w:t>
      </w:r>
      <w:r>
        <w:rPr>
          <w:rFonts w:hint="eastAsia" w:ascii="宋体" w:hAnsi="宋体" w:cs="宋体"/>
          <w:color w:val="auto"/>
          <w:szCs w:val="21"/>
          <w:lang w:eastAsia="zh-CN"/>
        </w:rPr>
        <w:t>法律法规</w:t>
      </w:r>
      <w:r>
        <w:rPr>
          <w:rFonts w:hint="eastAsia" w:ascii="宋体" w:hAnsi="宋体" w:cs="宋体"/>
          <w:color w:val="auto"/>
          <w:szCs w:val="21"/>
        </w:rPr>
        <w:t>及本磋商文件规定的属未实质性响应的响应文件的情形。</w:t>
      </w:r>
    </w:p>
    <w:p w14:paraId="19DEA2CE">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5.4 未实质性响应磋商文件的响应文件按无效响应处理，磋商小组将予以拒绝，供应商不得通过修改或撤销不符合要求的偏离或保留而使其响应文件成为实质性响应的文件。</w:t>
      </w:r>
    </w:p>
    <w:p w14:paraId="617B2422">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5.5同一项目（项目未分包）或同一分包（项目有不同分包），如出现同一品牌同一型号的产品有多个供应商参加磋商时，磋商中在其他条件合格的前提下，选取首次报价最低的供应商参加磋商最后报价，其他供应商作为无效响应处理。</w:t>
      </w:r>
    </w:p>
    <w:p w14:paraId="6389356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bCs/>
          <w:color w:val="auto"/>
          <w:szCs w:val="21"/>
        </w:rPr>
      </w:pPr>
      <w:r>
        <w:rPr>
          <w:rFonts w:hint="eastAsia" w:ascii="宋体" w:hAnsi="宋体" w:cs="宋体"/>
          <w:b/>
          <w:bCs/>
          <w:color w:val="auto"/>
          <w:szCs w:val="21"/>
          <w:lang w:eastAsia="zh-CN"/>
        </w:rPr>
        <w:t>6.</w:t>
      </w:r>
      <w:r>
        <w:rPr>
          <w:rFonts w:hint="eastAsia" w:ascii="宋体" w:hAnsi="宋体" w:cs="宋体"/>
          <w:b/>
          <w:bCs/>
          <w:color w:val="auto"/>
          <w:szCs w:val="21"/>
        </w:rPr>
        <w:t>异常低价投标（响应）审查</w:t>
      </w:r>
    </w:p>
    <w:p w14:paraId="5812E24F">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bCs/>
          <w:color w:val="auto"/>
          <w:szCs w:val="21"/>
        </w:rPr>
      </w:pPr>
      <w:r>
        <w:rPr>
          <w:rFonts w:hint="eastAsia" w:ascii="宋体" w:hAnsi="宋体" w:cs="宋体"/>
          <w:b/>
          <w:bCs/>
          <w:color w:val="auto"/>
          <w:szCs w:val="21"/>
        </w:rPr>
        <w:t>6.1评标过程中出现下列情形之一的，磋商小组应当启动异常低价投标（响应）审查程序：</w:t>
      </w:r>
    </w:p>
    <w:p w14:paraId="33981063">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bCs/>
          <w:color w:val="auto"/>
          <w:szCs w:val="21"/>
        </w:rPr>
      </w:pPr>
      <w:r>
        <w:rPr>
          <w:rFonts w:hint="eastAsia" w:ascii="宋体" w:hAnsi="宋体" w:cs="宋体"/>
          <w:b/>
          <w:bCs/>
          <w:color w:val="auto"/>
          <w:szCs w:val="21"/>
        </w:rPr>
        <w:t>（1）投标（响应）报价低于全部通过符合性审查供应商投标（响应）报价平均值50%的，即投标（响应）报价＜全部通过符合性审查供应商投标（响应）报价平均值×50%；</w:t>
      </w:r>
    </w:p>
    <w:p w14:paraId="2BE90CF1">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bCs/>
          <w:color w:val="auto"/>
          <w:szCs w:val="21"/>
        </w:rPr>
      </w:pPr>
      <w:r>
        <w:rPr>
          <w:rFonts w:hint="eastAsia" w:ascii="宋体" w:hAnsi="宋体" w:cs="宋体"/>
          <w:b/>
          <w:bCs/>
          <w:color w:val="auto"/>
          <w:szCs w:val="21"/>
        </w:rPr>
        <w:t>（2）投标（响应）报价低于通过符合性审查的次低报价供应商投标（响应）报价50%的，即投标（响应）报价＜通过符合性审查的次低报价供应商投标（响应）报价×50%；</w:t>
      </w:r>
    </w:p>
    <w:p w14:paraId="64047DA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bCs/>
          <w:color w:val="auto"/>
          <w:szCs w:val="21"/>
        </w:rPr>
      </w:pPr>
      <w:r>
        <w:rPr>
          <w:rFonts w:hint="eastAsia" w:ascii="宋体" w:hAnsi="宋体" w:cs="宋体"/>
          <w:b/>
          <w:bCs/>
          <w:color w:val="auto"/>
          <w:szCs w:val="21"/>
        </w:rPr>
        <w:t>（3）投标（响应）报价低于采购项目最高限价45%的，即投标（响应）报价＜采购项目最高限价×45%；</w:t>
      </w:r>
    </w:p>
    <w:p w14:paraId="3F524CA4">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bCs/>
          <w:color w:val="auto"/>
          <w:szCs w:val="21"/>
        </w:rPr>
      </w:pPr>
      <w:r>
        <w:rPr>
          <w:rFonts w:hint="eastAsia" w:ascii="宋体" w:hAnsi="宋体" w:cs="宋体"/>
          <w:b/>
          <w:bCs/>
          <w:color w:val="auto"/>
          <w:szCs w:val="21"/>
        </w:rPr>
        <w:t>（4）磋商小组基于专业判断，认为供应商报价过低，有可能影响产品质量或者不能诚信履约的其他情形。</w:t>
      </w:r>
    </w:p>
    <w:p w14:paraId="2AE39DC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bCs/>
          <w:color w:val="auto"/>
          <w:szCs w:val="21"/>
        </w:rPr>
      </w:pPr>
      <w:r>
        <w:rPr>
          <w:rFonts w:hint="eastAsia" w:ascii="宋体" w:hAnsi="宋体" w:cs="宋体"/>
          <w:b/>
          <w:bCs/>
          <w:color w:val="auto"/>
          <w:szCs w:val="21"/>
        </w:rPr>
        <w:t>6.2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不少于30分钟。其中，属于第3项情形，供应商已随投标（响应）文件一并提交相关书面说明及必要的证明材料的，在评审现场可不再重复提交。</w:t>
      </w:r>
    </w:p>
    <w:p w14:paraId="5CCC996D">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bCs/>
          <w:color w:val="auto"/>
          <w:szCs w:val="21"/>
        </w:rPr>
      </w:pPr>
      <w:r>
        <w:rPr>
          <w:rFonts w:hint="eastAsia" w:ascii="宋体" w:hAnsi="宋体" w:cs="宋体"/>
          <w:b/>
          <w:bCs/>
          <w:color w:val="auto"/>
          <w:szCs w:val="21"/>
        </w:rPr>
        <w:t>6.3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4EB9682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bookmarkStart w:id="96" w:name="_Toc513029235"/>
      <w:bookmarkStart w:id="97" w:name="_Toc20823307"/>
      <w:bookmarkStart w:id="98" w:name="_Toc16938551"/>
      <w:r>
        <w:rPr>
          <w:rFonts w:hint="eastAsia" w:ascii="宋体" w:hAnsi="宋体" w:cs="宋体"/>
          <w:color w:val="auto"/>
          <w:szCs w:val="21"/>
          <w:lang w:eastAsia="zh-CN"/>
        </w:rPr>
        <w:t>7.</w:t>
      </w:r>
      <w:r>
        <w:rPr>
          <w:rFonts w:hint="eastAsia" w:ascii="宋体" w:hAnsi="宋体" w:cs="宋体"/>
          <w:color w:val="auto"/>
          <w:szCs w:val="21"/>
        </w:rPr>
        <w:t>磋商程序及评审方法和标准</w:t>
      </w:r>
    </w:p>
    <w:p w14:paraId="0413DC59">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7.1磋商程序</w:t>
      </w:r>
    </w:p>
    <w:p w14:paraId="498FDD21">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04" w:firstLineChars="200"/>
        <w:textAlignment w:val="auto"/>
        <w:rPr>
          <w:rFonts w:ascii="宋体" w:hAnsi="宋体" w:cs="宋体"/>
          <w:color w:val="auto"/>
          <w:spacing w:val="-4"/>
          <w:szCs w:val="21"/>
        </w:rPr>
      </w:pPr>
      <w:r>
        <w:rPr>
          <w:rFonts w:hint="eastAsia" w:ascii="宋体" w:hAnsi="宋体" w:cs="宋体"/>
          <w:color w:val="auto"/>
          <w:spacing w:val="-4"/>
          <w:szCs w:val="21"/>
        </w:rPr>
        <w:t>7.1.1 对于通过资格性和符合性审查的供应商，磋商小组所有成员将集中与单一供应商分别进行磋商。</w:t>
      </w:r>
    </w:p>
    <w:p w14:paraId="134588A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在磋商过程中，磋商小组可能根据磋商文件和磋商情况实质性变动的内容有：采购需求中的技术、服务要求以及合同草案条款。对磋商文件作出的实质性变动是磋商文件的有效组成部分，磋商小组将以书面形式同时通知所有参加磋商的供应商。供应商应当按照磋商文件的变动情况和磋商小组的要求重新提交响应文件，并由其法定代表人或授权代表签字或者加盖公章。</w:t>
      </w:r>
    </w:p>
    <w:p w14:paraId="6E2BA88B">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7.1.2 磋商文件能够详细列明采购标的的技术、服务要求的，磋商结束后，磋商小组将要求所有实质性响应的供应商在规定时间内提交最后报价。</w:t>
      </w:r>
    </w:p>
    <w:p w14:paraId="1EDE468F">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磋商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2133B45C">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最后报价是供应商响应文件的有效组成部分。符合《政府采购竞争性磋商采购方式管理暂行办法》第三条第四项及《财政部关于竞争性磋商采购方式管理暂行办法有关问题的补充通知》（财库〔2015〕124号）规定情形的，提交最后报价的供应商可以为2家。</w:t>
      </w:r>
    </w:p>
    <w:p w14:paraId="58939209">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7.1.3 磋商供应商未在磋商小组规定的时间内完成最后报价的视为放弃磋商，其磋商响应按无效响应处理。最后报价须由磋商供应商法定代表人或授权代表签字或者加盖公章。已提交响应文件的供应商，在提交最后报价之前，可以根据磋商情况退出磋商。</w:t>
      </w:r>
    </w:p>
    <w:bookmarkEnd w:id="96"/>
    <w:bookmarkEnd w:id="97"/>
    <w:bookmarkEnd w:id="98"/>
    <w:p w14:paraId="253C289E">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7.2 评审方法和标准</w:t>
      </w:r>
    </w:p>
    <w:p w14:paraId="52B76F3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7.2.1评审方法。经磋商确定最终采购需求和提交最后报价的供应商后，由磋商小组采用综合评分法对提交最后报价的供应商的响应文件和最后报价进行综合评分。</w:t>
      </w:r>
    </w:p>
    <w:p w14:paraId="55721F2C">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04DBA825">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7.2.2评审标准</w:t>
      </w:r>
    </w:p>
    <w:p w14:paraId="24C4213D">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见本磋商文件第五章规定。</w:t>
      </w:r>
    </w:p>
    <w:p w14:paraId="3CF6B93F">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7.3采购活动终止的情况</w:t>
      </w:r>
    </w:p>
    <w:p w14:paraId="5325810E">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出现下列情形之一的，本次竞争性磋商采购活动将被终止：</w:t>
      </w:r>
    </w:p>
    <w:p w14:paraId="73D75CDA">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（1）因情况变化，不再符合规定的竞争性磋商采购方式适用情形的；</w:t>
      </w:r>
    </w:p>
    <w:p w14:paraId="6A47560B">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（2）出现影响采购公正的违法、违规行为的；</w:t>
      </w:r>
    </w:p>
    <w:p w14:paraId="5B9007F6">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（3）除本磋商文件第7.1.2条第三款规定的情形外，在采购过程中符合要求的供应商或者报价未超过采购预算的供应商不足3家的。</w:t>
      </w:r>
      <w:r>
        <w:rPr>
          <w:rFonts w:hint="eastAsia" w:ascii="宋体" w:hAnsi="宋体" w:cs="宋体"/>
          <w:color w:val="auto"/>
          <w:szCs w:val="21"/>
        </w:rPr>
        <w:tab/>
      </w:r>
    </w:p>
    <w:p w14:paraId="0CDE407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color w:val="auto"/>
          <w:szCs w:val="21"/>
        </w:rPr>
      </w:pPr>
      <w:r>
        <w:rPr>
          <w:rFonts w:hint="eastAsia" w:ascii="宋体" w:hAnsi="宋体" w:cs="宋体"/>
          <w:b/>
          <w:color w:val="auto"/>
          <w:szCs w:val="21"/>
        </w:rPr>
        <w:t>五、成交</w:t>
      </w:r>
    </w:p>
    <w:p w14:paraId="5275C6B4">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highlight w:val="none"/>
        </w:rPr>
      </w:pPr>
      <w:bookmarkStart w:id="99" w:name="_Toc513029238"/>
      <w:bookmarkStart w:id="100" w:name="_Toc20823310"/>
      <w:bookmarkStart w:id="101" w:name="_Toc16938554"/>
      <w:r>
        <w:rPr>
          <w:rFonts w:hint="eastAsia" w:ascii="宋体" w:hAnsi="宋体" w:cs="宋体"/>
          <w:color w:val="auto"/>
          <w:szCs w:val="21"/>
          <w:highlight w:val="none"/>
        </w:rPr>
        <w:t>1.</w:t>
      </w:r>
      <w:bookmarkEnd w:id="99"/>
      <w:r>
        <w:rPr>
          <w:rFonts w:hint="eastAsia" w:ascii="宋体" w:hAnsi="宋体" w:cs="宋体"/>
          <w:color w:val="auto"/>
          <w:szCs w:val="21"/>
          <w:highlight w:val="none"/>
        </w:rPr>
        <w:t>确定</w:t>
      </w:r>
      <w:bookmarkEnd w:id="100"/>
      <w:bookmarkEnd w:id="101"/>
      <w:r>
        <w:rPr>
          <w:rFonts w:hint="eastAsia" w:ascii="宋体" w:hAnsi="宋体" w:cs="宋体"/>
          <w:color w:val="auto"/>
          <w:szCs w:val="21"/>
          <w:highlight w:val="none"/>
        </w:rPr>
        <w:t>成交单位</w:t>
      </w:r>
    </w:p>
    <w:p w14:paraId="7BB501E3">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1.1 磋商小组根据综合评分情况，按照评审得分由高到低顺序推荐3名以上成交候选供应商，并编写评审报告。符合本文件第7.1.2条情形的，可以推荐2家成交候选供应商。评审得分相同的，按照最后报价由低到高的顺序推荐。评审得分且最后报价相同的，按照技术指标优劣顺序推荐。</w:t>
      </w:r>
    </w:p>
    <w:p w14:paraId="60F73547">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1.2采购人根据磋商小组推荐的成交候选人确定成交供应商。采购</w:t>
      </w:r>
      <w:r>
        <w:rPr>
          <w:rFonts w:hint="eastAsia" w:ascii="宋体" w:hAnsi="宋体" w:cs="宋体"/>
          <w:color w:val="auto"/>
          <w:szCs w:val="21"/>
          <w:lang w:eastAsia="zh-CN"/>
        </w:rPr>
        <w:t>人在确定成交供应商</w:t>
      </w:r>
      <w:r>
        <w:rPr>
          <w:rFonts w:hint="eastAsia" w:ascii="宋体" w:hAnsi="宋体" w:cs="宋体"/>
          <w:color w:val="auto"/>
          <w:szCs w:val="21"/>
        </w:rPr>
        <w:t>后，代理机构将在</w:t>
      </w:r>
      <w:r>
        <w:rPr>
          <w:rFonts w:hint="eastAsia" w:ascii="宋体" w:hAnsi="宋体" w:cs="宋体"/>
          <w:color w:val="auto"/>
          <w:szCs w:val="21"/>
          <w:lang w:eastAsia="zh-CN"/>
        </w:rPr>
        <w:t>“扬州大学附属医院”和“江苏招标采购服务平台”</w:t>
      </w:r>
      <w:r>
        <w:rPr>
          <w:rFonts w:hint="eastAsia" w:ascii="宋体" w:hAnsi="宋体" w:cs="宋体"/>
          <w:color w:val="auto"/>
          <w:szCs w:val="21"/>
        </w:rPr>
        <w:t>发布成交结果公告，公告期限为1个工作日。</w:t>
      </w:r>
    </w:p>
    <w:p w14:paraId="1C1FA52A">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1.3若有充分证据证明，成交供应商出现下列情况之一的，一经查实，将被取消成交资格：</w:t>
      </w:r>
    </w:p>
    <w:p w14:paraId="57E1EFF3">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（1）提供虚假材料谋取成交的；</w:t>
      </w:r>
    </w:p>
    <w:p w14:paraId="5BA107EF">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（2）与评审专家、采购人、其他供应商或者代理机构工作人员恶意串通的；</w:t>
      </w:r>
    </w:p>
    <w:p w14:paraId="660A5876">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（3）向评审专家、采购人或代理机构工作人员行贿或者提供其他不正当利益的；</w:t>
      </w:r>
    </w:p>
    <w:p w14:paraId="7114023A">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（4）恶意竞争，最终总报价明显低于其自身合理成本且又无法提供证明的；</w:t>
      </w:r>
    </w:p>
    <w:p w14:paraId="257BB70C">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（5）不满足本磋商文件规定的实质性要求，但在评审过程中又未被磋商小组发现的；</w:t>
      </w:r>
    </w:p>
    <w:p w14:paraId="09E31FA4">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396" w:firstLineChars="200"/>
        <w:textAlignment w:val="auto"/>
        <w:rPr>
          <w:rFonts w:ascii="宋体" w:hAnsi="宋体" w:cs="宋体"/>
          <w:color w:val="auto"/>
          <w:spacing w:val="-6"/>
          <w:szCs w:val="21"/>
        </w:rPr>
      </w:pPr>
      <w:r>
        <w:rPr>
          <w:rFonts w:hint="eastAsia" w:ascii="宋体" w:hAnsi="宋体" w:cs="宋体"/>
          <w:color w:val="auto"/>
          <w:spacing w:val="-6"/>
          <w:szCs w:val="21"/>
        </w:rPr>
        <w:t>（6）成交后无正当理由拒不与采购人签订采购合同或者未按照磋商文件确定的事项签订合同；</w:t>
      </w:r>
    </w:p>
    <w:p w14:paraId="3AD9A28F">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（7）将合同转包；</w:t>
      </w:r>
    </w:p>
    <w:p w14:paraId="543E6EA6">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（8）</w:t>
      </w:r>
      <w:r>
        <w:rPr>
          <w:rFonts w:hint="eastAsia" w:ascii="宋体" w:hAnsi="宋体" w:cs="宋体"/>
          <w:color w:val="auto"/>
          <w:szCs w:val="21"/>
          <w:lang w:eastAsia="zh-CN"/>
        </w:rPr>
        <w:t>法律法规</w:t>
      </w:r>
      <w:r>
        <w:rPr>
          <w:rFonts w:hint="eastAsia" w:ascii="宋体" w:hAnsi="宋体" w:cs="宋体"/>
          <w:color w:val="auto"/>
          <w:szCs w:val="21"/>
        </w:rPr>
        <w:t>、规章规定的属于成交无效的其他情形。</w:t>
      </w:r>
    </w:p>
    <w:p w14:paraId="584E7250">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2.</w:t>
      </w:r>
      <w:r>
        <w:rPr>
          <w:rFonts w:hint="eastAsia" w:ascii="宋体" w:hAnsi="宋体" w:cs="宋体"/>
          <w:color w:val="auto"/>
          <w:szCs w:val="21"/>
        </w:rPr>
        <w:t>质疑处理</w:t>
      </w:r>
    </w:p>
    <w:p w14:paraId="702521F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2.1磋商供应商认为磋商文件、采购过程和中标或成交结果使自己的权益受到损害的，可以在知道或应知其权益受到损害之日起七个工作日内，以书面形式向采购人或代理机构提出质疑。</w:t>
      </w:r>
    </w:p>
    <w:p w14:paraId="119D7E59">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宋体" w:hAnsi="宋体" w:cs="宋体"/>
          <w:color w:val="auto"/>
          <w:szCs w:val="21"/>
        </w:rPr>
      </w:pPr>
      <w:r>
        <w:rPr>
          <w:rFonts w:hint="eastAsia" w:ascii="宋体" w:hAnsi="宋体" w:cs="宋体"/>
          <w:color w:val="auto"/>
          <w:szCs w:val="21"/>
        </w:rPr>
        <w:t>2.1.1对可以质疑的磋商文件提出质疑的，应当在获取磋商文件之日或者磋商文件公告期限届满之日起7个工作日内提出。</w:t>
      </w:r>
    </w:p>
    <w:p w14:paraId="1FB0F469">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宋体" w:hAnsi="宋体" w:cs="宋体"/>
          <w:color w:val="auto"/>
          <w:szCs w:val="21"/>
        </w:rPr>
      </w:pPr>
      <w:r>
        <w:rPr>
          <w:rFonts w:hint="eastAsia" w:ascii="宋体" w:hAnsi="宋体" w:cs="宋体"/>
          <w:color w:val="auto"/>
          <w:szCs w:val="21"/>
        </w:rPr>
        <w:t>2.1.2对采购过程提出质疑的，为各采购程序环节结束之日起7个工作日内提出。</w:t>
      </w:r>
    </w:p>
    <w:p w14:paraId="1C215C2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宋体" w:hAnsi="宋体" w:cs="宋体"/>
          <w:color w:val="auto"/>
          <w:szCs w:val="21"/>
        </w:rPr>
      </w:pPr>
      <w:r>
        <w:rPr>
          <w:rFonts w:hint="eastAsia" w:ascii="宋体" w:hAnsi="宋体" w:cs="宋体"/>
          <w:color w:val="auto"/>
          <w:szCs w:val="21"/>
        </w:rPr>
        <w:t>2.1.3对成交结果提出质疑的，为成交结果公告期限届满之日起7个工作日内提出。</w:t>
      </w:r>
    </w:p>
    <w:p w14:paraId="6C674BF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snapToGrid w:val="0"/>
          <w:color w:val="auto"/>
          <w:szCs w:val="21"/>
        </w:rPr>
      </w:pPr>
      <w:r>
        <w:rPr>
          <w:rFonts w:hint="eastAsia" w:ascii="宋体" w:hAnsi="宋体" w:cs="宋体"/>
          <w:color w:val="auto"/>
          <w:szCs w:val="21"/>
        </w:rPr>
        <w:t>2.2质疑供应商应在法定质疑期内一次性提出针对同一采购程序环节的质疑。质疑必须按《中华人民共和国政府采购法</w:t>
      </w:r>
      <w:r>
        <w:rPr>
          <w:rFonts w:hint="eastAsia" w:ascii="宋体" w:hAnsi="宋体" w:cs="宋体"/>
          <w:color w:val="auto"/>
          <w:szCs w:val="21"/>
          <w:lang w:eastAsia="zh-CN"/>
        </w:rPr>
        <w:t>》《</w:t>
      </w:r>
      <w:r>
        <w:rPr>
          <w:rFonts w:hint="eastAsia" w:ascii="宋体" w:hAnsi="宋体" w:cs="宋体"/>
          <w:color w:val="auto"/>
          <w:szCs w:val="21"/>
        </w:rPr>
        <w:t>中华人民共和国政府采购法实施条例》及《政府采购质疑和投诉办法》等相关规定提交</w:t>
      </w:r>
      <w:r>
        <w:rPr>
          <w:rFonts w:hint="eastAsia" w:ascii="宋体" w:hAnsi="宋体" w:cs="宋体"/>
          <w:color w:val="auto"/>
          <w:spacing w:val="-20"/>
          <w:szCs w:val="21"/>
        </w:rPr>
        <w:t>。</w:t>
      </w:r>
    </w:p>
    <w:p w14:paraId="54382E8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2.3提出质疑的供应商（以下简称质疑供应商）应当是参与所质疑项目采购活动的供应商。未参加磋商采购活动的供应商或在磋商采购活动中自身权益未受到损害的供应商所提出的质疑不予受理。</w:t>
      </w:r>
    </w:p>
    <w:p w14:paraId="54B057B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质疑必须由磋商供应商法定代表人或授权代表（响应文件中所确定的）以原件送达的方式提交，未按上述要求提交的质疑函（含传真、电子邮件等）代理机构有权不予受理。</w:t>
      </w:r>
    </w:p>
    <w:p w14:paraId="728C6B4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采购人及代理机构只接收以纸质原件形式送达的质疑，不接受无快递运单号的快递。质疑接收人及联系方式见磋商文件第一章。</w:t>
      </w:r>
    </w:p>
    <w:p w14:paraId="01D7139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kern w:val="0"/>
          <w:szCs w:val="21"/>
        </w:rPr>
      </w:pPr>
      <w:r>
        <w:rPr>
          <w:rFonts w:hint="eastAsia" w:ascii="宋体" w:hAnsi="宋体" w:cs="宋体"/>
          <w:color w:val="auto"/>
          <w:szCs w:val="21"/>
        </w:rPr>
        <w:t>潜在供应商已依法获取其可质疑的采购文件的，可以对该文件提出质疑。对采购文件提出质疑的，应当在获取采购文件或者采购文件公告期限届满之日起7个工作日内提出。</w:t>
      </w:r>
    </w:p>
    <w:p w14:paraId="3B28D74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2.4供应商提出质疑应当提交质疑函和必要的证明材料。质疑函应当包括下列内容：</w:t>
      </w:r>
    </w:p>
    <w:p w14:paraId="29EACC8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2.4.1质疑供应商的姓名或者名称、地址、邮编、联系人及联系电话；</w:t>
      </w:r>
    </w:p>
    <w:p w14:paraId="038A2C5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2.4.2质疑项目的名称、编号；</w:t>
      </w:r>
    </w:p>
    <w:p w14:paraId="74664C5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2.4.3具体、明确的质疑事项和与质疑事项相关的请求；</w:t>
      </w:r>
    </w:p>
    <w:p w14:paraId="5B9738A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2.4.4事实依据；</w:t>
      </w:r>
    </w:p>
    <w:p w14:paraId="0A728DF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2.4.5必要的法律依据；</w:t>
      </w:r>
    </w:p>
    <w:p w14:paraId="468D0D2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2.4.6提出质疑的日期。</w:t>
      </w:r>
    </w:p>
    <w:p w14:paraId="353899E3">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质疑函应当署名：质疑人为自然人的，应当由本人签字并附有效身份证明；质疑人为法人或者其他组织的，应当由法定代表人签字并加盖单位公章。质疑人委托代理质疑的，应当向代理机构提交授权委托书，并载明委托代理的具体权限和事项。</w:t>
      </w:r>
    </w:p>
    <w:p w14:paraId="193625D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snapToGrid w:val="0"/>
          <w:color w:val="auto"/>
          <w:szCs w:val="21"/>
        </w:rPr>
      </w:pPr>
      <w:r>
        <w:rPr>
          <w:rFonts w:hint="eastAsia" w:ascii="宋体" w:hAnsi="宋体" w:cs="宋体"/>
          <w:snapToGrid w:val="0"/>
          <w:color w:val="auto"/>
          <w:szCs w:val="21"/>
        </w:rPr>
        <w:t>《质疑函》及《授权委托书》格式见网址：http://zfcg.yangzhou.gov.cn</w:t>
      </w:r>
    </w:p>
    <w:p w14:paraId="19D9A4A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2.5代理机构收到质疑申请后，将对质疑的形式和内容进行审查，如质疑函内容、格式不符合规定，代理机构将告知质疑人进行补正。</w:t>
      </w:r>
    </w:p>
    <w:p w14:paraId="22F587B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2.6质疑人应当在法定质疑期限内进行补正并重新提交质疑函，拒不补正或者在法定期限内未重新提交质疑函的，为无效质疑，代理机构有权不予受理。</w:t>
      </w:r>
    </w:p>
    <w:p w14:paraId="19389F6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2.7对于内容、格式符合规定的质疑函，代理机构将在收到参加磋商供应商的书面质疑后七个工作日内作出答复，并以书面形式通知质疑供应商和其他相关供应商，答复的内容不涉及商业秘密。</w:t>
      </w:r>
    </w:p>
    <w:p w14:paraId="0308D22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2.8供应商提出书面质疑必须有理、有据，不得恶意质疑或提交虚假质疑。否则，一经查实，代理机构有权依据有关规定，报请监管部门对该供应商进行相应的行政处罚。</w:t>
      </w:r>
    </w:p>
    <w:p w14:paraId="2E78A52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2.9诚实信用</w:t>
      </w:r>
    </w:p>
    <w:p w14:paraId="660D4DC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2.9.1 供应商之间不得相互串通投标</w:t>
      </w:r>
      <w:r>
        <w:rPr>
          <w:rFonts w:hint="eastAsia" w:ascii="宋体" w:hAnsi="宋体" w:cs="宋体"/>
          <w:bCs/>
          <w:color w:val="auto"/>
          <w:szCs w:val="21"/>
        </w:rPr>
        <w:t>（响应）</w:t>
      </w:r>
      <w:r>
        <w:rPr>
          <w:rFonts w:hint="eastAsia" w:ascii="宋体" w:hAnsi="宋体" w:cs="宋体"/>
          <w:color w:val="auto"/>
          <w:szCs w:val="21"/>
        </w:rPr>
        <w:t>报价，不得妨碍其他供应商的公平竞争，不得损害采购人和其他供应商的合法权益。</w:t>
      </w:r>
    </w:p>
    <w:p w14:paraId="6353513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2.9.2 供应商不得以向代理机构工作人员、评标委员会成员行贿或者采取其他不正当手段谋取中标。经查实供应商有此行为的，管理部门将供应商列入不良行为记录名单，按照《中华人民共和国政府采购法》有关规定处理。</w:t>
      </w:r>
    </w:p>
    <w:p w14:paraId="7404402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2.9.3 供应商提出书面质疑必须有理、有据，不得虚假质疑和恶意质疑，并对质疑内容的真实性承担责任。一经查实，代理机构有权依据有关规定，报请监管部门对该供应商进行相应的行政处罚并在网站上予以公示。如果供应商或者其他利害关系人通过捏造事实、伪造证明材料等方式质疑，干扰采购活动正常进行的，属于严重不良行为，代理机构将提请监管部门将其列入不良行为记录名单，并依法予以处罚。</w:t>
      </w:r>
    </w:p>
    <w:p w14:paraId="4932EF9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2.9.4 供应商不得虚假承诺，否则，按照提供虚假材料谋取中标成交处理。</w:t>
      </w:r>
    </w:p>
    <w:p w14:paraId="5A1FDC4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2.9.5 供应商应自觉遵守开标、评标纪律，扰乱开标评标现场秩序的，属于失信行为，根据《江苏省政府采购供应商监督管理暂行办法》，失信行为将被记入供应商诚信档案。</w:t>
      </w:r>
    </w:p>
    <w:p w14:paraId="7C962398">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2" w:firstLineChars="200"/>
        <w:textAlignment w:val="auto"/>
        <w:rPr>
          <w:rFonts w:ascii="宋体" w:hAnsi="宋体" w:cs="宋体"/>
          <w:b/>
          <w:color w:val="auto"/>
          <w:szCs w:val="21"/>
        </w:rPr>
      </w:pPr>
      <w:r>
        <w:rPr>
          <w:rFonts w:hint="eastAsia" w:ascii="宋体" w:hAnsi="宋体" w:cs="宋体"/>
          <w:b/>
          <w:color w:val="auto"/>
          <w:szCs w:val="21"/>
        </w:rPr>
        <w:t>六、合同签订相关事项</w:t>
      </w:r>
    </w:p>
    <w:p w14:paraId="24029327">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1.签订合同</w:t>
      </w:r>
    </w:p>
    <w:p w14:paraId="62E5CA82">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l成交供应商确定后，代理机构将向成交供应商发出成交通知书。成交供应商应按成交通知书规定的时间、地点，按照磋商文件确定的事项与采购人签订合同，且不得迟于成交通知书发出之日起三十日内，否则视为放弃，由此给采购人造成损失的，成交供应商还应承担赔偿责任。</w:t>
      </w:r>
    </w:p>
    <w:p w14:paraId="20842A02">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1.2 磋商文件、成交供应商的响应文件及磋商采购过程中有关澄清、承诺文件均应作为合同附件。</w:t>
      </w:r>
    </w:p>
    <w:p w14:paraId="7F78C99F">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rPr>
        <w:t>1.3 签订合同后，</w:t>
      </w:r>
      <w:r>
        <w:rPr>
          <w:rFonts w:hint="eastAsia" w:ascii="宋体" w:hAnsi="宋体" w:cs="宋体"/>
          <w:i/>
          <w:color w:val="auto"/>
          <w:szCs w:val="21"/>
          <w:u w:val="single"/>
        </w:rPr>
        <w:t>成交供应商不得将成交工程或服务进行转包。</w:t>
      </w:r>
      <w:r>
        <w:rPr>
          <w:rFonts w:hint="eastAsia" w:ascii="宋体" w:hAnsi="宋体" w:cs="宋体"/>
          <w:color w:val="auto"/>
          <w:szCs w:val="21"/>
        </w:rPr>
        <w:t>未经采购人同意，成交供应商也不得采用分包的形式履行合同，否则采购人有权终止合同。转包或分包造成采购人损失的，成交供应商应承担相应赔偿责任。</w:t>
      </w:r>
    </w:p>
    <w:p w14:paraId="5C839429">
      <w:pPr>
        <w:keepNext w:val="0"/>
        <w:keepLines w:val="0"/>
        <w:pageBreakBefore w:val="0"/>
        <w:widowControl w:val="0"/>
        <w:tabs>
          <w:tab w:val="left" w:pos="900"/>
        </w:tabs>
        <w:kinsoku/>
        <w:wordWrap/>
        <w:overflowPunct/>
        <w:topLinePunct w:val="0"/>
        <w:autoSpaceDE/>
        <w:autoSpaceDN/>
        <w:bidi w:val="0"/>
        <w:adjustRightInd/>
        <w:snapToGrid/>
        <w:spacing w:line="440" w:lineRule="exact"/>
        <w:ind w:firstLine="420" w:firstLineChars="200"/>
        <w:textAlignment w:val="auto"/>
        <w:rPr>
          <w:rFonts w:ascii="宋体" w:hAnsi="宋体" w:cs="宋体"/>
          <w:color w:val="auto"/>
          <w:szCs w:val="21"/>
        </w:rPr>
      </w:pPr>
      <w:r>
        <w:rPr>
          <w:rFonts w:hint="eastAsia" w:ascii="宋体" w:hAnsi="宋体" w:cs="宋体"/>
          <w:color w:val="auto"/>
          <w:szCs w:val="21"/>
          <w:lang w:eastAsia="zh-CN"/>
        </w:rPr>
        <w:t>2.</w:t>
      </w:r>
      <w:r>
        <w:rPr>
          <w:rFonts w:hint="eastAsia" w:ascii="宋体" w:hAnsi="宋体" w:cs="宋体"/>
          <w:color w:val="auto"/>
          <w:szCs w:val="21"/>
        </w:rPr>
        <w:t>履约保证金：无</w:t>
      </w:r>
    </w:p>
    <w:p w14:paraId="4F767076">
      <w:pPr>
        <w:rPr>
          <w:color w:val="auto"/>
        </w:rPr>
      </w:pPr>
      <w:bookmarkStart w:id="102" w:name="_Toc497145841"/>
      <w:bookmarkStart w:id="103" w:name="_Toc16389"/>
      <w:bookmarkStart w:id="104" w:name="_Toc29980"/>
      <w:r>
        <w:rPr>
          <w:color w:val="auto"/>
        </w:rPr>
        <w:br w:type="page"/>
      </w:r>
    </w:p>
    <w:p w14:paraId="4D77D266">
      <w:pPr>
        <w:pStyle w:val="2"/>
        <w:rPr>
          <w:bCs w:val="0"/>
          <w:color w:val="auto"/>
        </w:rPr>
      </w:pPr>
      <w:r>
        <w:rPr>
          <w:color w:val="auto"/>
        </w:rPr>
        <w:t>第三章 合同条款及格式</w:t>
      </w:r>
      <w:bookmarkEnd w:id="102"/>
      <w:bookmarkEnd w:id="103"/>
      <w:bookmarkEnd w:id="104"/>
      <w:bookmarkStart w:id="105" w:name="_Toc497145842"/>
    </w:p>
    <w:p w14:paraId="2789B1B8">
      <w:pPr>
        <w:spacing w:line="360" w:lineRule="auto"/>
        <w:jc w:val="center"/>
        <w:rPr>
          <w:rFonts w:ascii="宋体" w:hAnsi="宋体" w:cs="宋体"/>
          <w:color w:val="auto"/>
          <w:sz w:val="52"/>
          <w:szCs w:val="52"/>
        </w:rPr>
      </w:pPr>
      <w:bookmarkStart w:id="106" w:name="_Toc2329"/>
    </w:p>
    <w:p w14:paraId="68C1EF4A">
      <w:pPr>
        <w:spacing w:line="360" w:lineRule="auto"/>
        <w:jc w:val="center"/>
        <w:rPr>
          <w:rFonts w:ascii="宋体" w:hAnsi="宋体" w:cs="宋体"/>
          <w:color w:val="auto"/>
          <w:sz w:val="52"/>
          <w:szCs w:val="52"/>
        </w:rPr>
      </w:pPr>
    </w:p>
    <w:p w14:paraId="5D2BB70E">
      <w:pPr>
        <w:spacing w:line="360" w:lineRule="auto"/>
        <w:jc w:val="center"/>
        <w:rPr>
          <w:rFonts w:ascii="宋体" w:hAnsi="宋体" w:cs="宋体"/>
          <w:b/>
          <w:bCs/>
          <w:color w:val="auto"/>
          <w:sz w:val="32"/>
          <w:szCs w:val="32"/>
        </w:rPr>
      </w:pPr>
      <w:r>
        <w:rPr>
          <w:rFonts w:hint="eastAsia" w:ascii="宋体" w:hAnsi="宋体" w:cs="宋体"/>
          <w:b/>
          <w:bCs/>
          <w:color w:val="auto"/>
          <w:sz w:val="32"/>
          <w:szCs w:val="32"/>
        </w:rPr>
        <w:t>工程咨询服务合同书</w:t>
      </w:r>
    </w:p>
    <w:p w14:paraId="5985F2C4">
      <w:pPr>
        <w:spacing w:line="360" w:lineRule="auto"/>
        <w:jc w:val="center"/>
        <w:rPr>
          <w:rFonts w:ascii="宋体" w:hAnsi="宋体" w:cs="宋体"/>
          <w:color w:val="auto"/>
          <w:sz w:val="32"/>
          <w:szCs w:val="32"/>
        </w:rPr>
      </w:pPr>
    </w:p>
    <w:tbl>
      <w:tblPr>
        <w:tblStyle w:val="30"/>
        <w:tblW w:w="0" w:type="auto"/>
        <w:tblInd w:w="13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1"/>
        <w:gridCol w:w="5009"/>
      </w:tblGrid>
      <w:tr w14:paraId="3F23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2101" w:type="dxa"/>
            <w:tcBorders>
              <w:top w:val="nil"/>
              <w:left w:val="nil"/>
              <w:bottom w:val="nil"/>
              <w:right w:val="nil"/>
            </w:tcBorders>
            <w:noWrap/>
            <w:vAlign w:val="bottom"/>
          </w:tcPr>
          <w:p w14:paraId="5A419FFD">
            <w:pPr>
              <w:pStyle w:val="91"/>
              <w:spacing w:line="360" w:lineRule="auto"/>
              <w:ind w:firstLine="0" w:firstLineChars="0"/>
              <w:jc w:val="left"/>
              <w:rPr>
                <w:rFonts w:ascii="宋体" w:hAnsi="宋体" w:cs="宋体"/>
                <w:color w:val="auto"/>
                <w:szCs w:val="28"/>
              </w:rPr>
            </w:pPr>
            <w:r>
              <w:rPr>
                <w:rFonts w:hint="eastAsia" w:ascii="宋体" w:hAnsi="宋体" w:cs="宋体"/>
                <w:color w:val="auto"/>
                <w:szCs w:val="28"/>
              </w:rPr>
              <w:t>工 程 名 称：</w:t>
            </w:r>
          </w:p>
        </w:tc>
        <w:tc>
          <w:tcPr>
            <w:tcW w:w="5009" w:type="dxa"/>
            <w:tcBorders>
              <w:top w:val="nil"/>
              <w:left w:val="nil"/>
              <w:right w:val="nil"/>
            </w:tcBorders>
            <w:noWrap/>
            <w:vAlign w:val="center"/>
          </w:tcPr>
          <w:p w14:paraId="04C8EA7D">
            <w:pPr>
              <w:pStyle w:val="91"/>
              <w:spacing w:line="360" w:lineRule="auto"/>
              <w:ind w:firstLine="560"/>
              <w:jc w:val="center"/>
              <w:rPr>
                <w:rFonts w:ascii="宋体" w:hAnsi="宋体" w:cs="宋体"/>
                <w:color w:val="auto"/>
                <w:szCs w:val="28"/>
              </w:rPr>
            </w:pPr>
          </w:p>
        </w:tc>
      </w:tr>
      <w:tr w14:paraId="7F8C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2101" w:type="dxa"/>
            <w:tcBorders>
              <w:top w:val="nil"/>
              <w:left w:val="nil"/>
              <w:bottom w:val="nil"/>
              <w:right w:val="nil"/>
            </w:tcBorders>
            <w:noWrap/>
            <w:vAlign w:val="bottom"/>
          </w:tcPr>
          <w:p w14:paraId="297C4310">
            <w:pPr>
              <w:pStyle w:val="91"/>
              <w:spacing w:line="360" w:lineRule="auto"/>
              <w:ind w:firstLine="0" w:firstLineChars="0"/>
              <w:jc w:val="left"/>
              <w:rPr>
                <w:rFonts w:ascii="宋体" w:hAnsi="宋体" w:cs="宋体"/>
                <w:color w:val="auto"/>
                <w:szCs w:val="28"/>
              </w:rPr>
            </w:pPr>
            <w:r>
              <w:rPr>
                <w:rFonts w:hint="eastAsia" w:ascii="宋体" w:hAnsi="宋体" w:cs="宋体"/>
                <w:color w:val="auto"/>
                <w:szCs w:val="28"/>
              </w:rPr>
              <w:t>工 程 地 点：</w:t>
            </w:r>
          </w:p>
        </w:tc>
        <w:tc>
          <w:tcPr>
            <w:tcW w:w="5009" w:type="dxa"/>
            <w:tcBorders>
              <w:left w:val="nil"/>
              <w:right w:val="nil"/>
            </w:tcBorders>
            <w:noWrap/>
            <w:vAlign w:val="center"/>
          </w:tcPr>
          <w:p w14:paraId="4AB35445">
            <w:pPr>
              <w:pStyle w:val="91"/>
              <w:spacing w:line="360" w:lineRule="auto"/>
              <w:ind w:firstLine="560"/>
              <w:jc w:val="center"/>
              <w:rPr>
                <w:rFonts w:ascii="宋体" w:hAnsi="宋体" w:cs="宋体"/>
                <w:color w:val="auto"/>
                <w:szCs w:val="28"/>
              </w:rPr>
            </w:pPr>
          </w:p>
        </w:tc>
      </w:tr>
      <w:tr w14:paraId="46FD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2101" w:type="dxa"/>
            <w:tcBorders>
              <w:top w:val="nil"/>
              <w:left w:val="nil"/>
              <w:bottom w:val="nil"/>
              <w:right w:val="nil"/>
            </w:tcBorders>
            <w:noWrap/>
            <w:vAlign w:val="bottom"/>
          </w:tcPr>
          <w:p w14:paraId="0DD01497">
            <w:pPr>
              <w:pStyle w:val="91"/>
              <w:spacing w:line="360" w:lineRule="auto"/>
              <w:ind w:firstLine="0" w:firstLineChars="0"/>
              <w:jc w:val="left"/>
              <w:rPr>
                <w:rFonts w:ascii="宋体" w:hAnsi="宋体" w:cs="宋体"/>
                <w:color w:val="auto"/>
                <w:szCs w:val="28"/>
              </w:rPr>
            </w:pPr>
            <w:r>
              <w:rPr>
                <w:rFonts w:hint="eastAsia" w:ascii="宋体" w:hAnsi="宋体" w:cs="宋体"/>
                <w:color w:val="auto"/>
                <w:szCs w:val="28"/>
              </w:rPr>
              <w:t>委 托 人：</w:t>
            </w:r>
          </w:p>
        </w:tc>
        <w:tc>
          <w:tcPr>
            <w:tcW w:w="5009" w:type="dxa"/>
            <w:tcBorders>
              <w:left w:val="nil"/>
              <w:right w:val="nil"/>
            </w:tcBorders>
            <w:noWrap/>
            <w:vAlign w:val="center"/>
          </w:tcPr>
          <w:p w14:paraId="7DEF38BD">
            <w:pPr>
              <w:pStyle w:val="91"/>
              <w:spacing w:line="360" w:lineRule="auto"/>
              <w:ind w:firstLine="560"/>
              <w:jc w:val="center"/>
              <w:rPr>
                <w:rFonts w:ascii="宋体" w:hAnsi="宋体" w:cs="宋体"/>
                <w:color w:val="auto"/>
                <w:szCs w:val="28"/>
              </w:rPr>
            </w:pPr>
          </w:p>
        </w:tc>
      </w:tr>
      <w:tr w14:paraId="489F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2101" w:type="dxa"/>
            <w:tcBorders>
              <w:top w:val="nil"/>
              <w:left w:val="nil"/>
              <w:bottom w:val="nil"/>
              <w:right w:val="nil"/>
            </w:tcBorders>
            <w:noWrap/>
            <w:vAlign w:val="bottom"/>
          </w:tcPr>
          <w:p w14:paraId="6D13FD03">
            <w:pPr>
              <w:pStyle w:val="91"/>
              <w:spacing w:line="360" w:lineRule="auto"/>
              <w:ind w:firstLine="0" w:firstLineChars="0"/>
              <w:jc w:val="left"/>
              <w:rPr>
                <w:rFonts w:ascii="宋体" w:hAnsi="宋体" w:cs="宋体"/>
                <w:color w:val="auto"/>
                <w:szCs w:val="28"/>
              </w:rPr>
            </w:pPr>
            <w:r>
              <w:rPr>
                <w:rFonts w:hint="eastAsia" w:ascii="宋体" w:hAnsi="宋体" w:cs="宋体"/>
                <w:color w:val="auto"/>
                <w:szCs w:val="28"/>
              </w:rPr>
              <w:t>受 托 人：</w:t>
            </w:r>
          </w:p>
        </w:tc>
        <w:tc>
          <w:tcPr>
            <w:tcW w:w="5009" w:type="dxa"/>
            <w:tcBorders>
              <w:left w:val="nil"/>
              <w:right w:val="nil"/>
            </w:tcBorders>
            <w:noWrap/>
            <w:vAlign w:val="center"/>
          </w:tcPr>
          <w:p w14:paraId="42AC6D85">
            <w:pPr>
              <w:pStyle w:val="91"/>
              <w:spacing w:line="360" w:lineRule="auto"/>
              <w:ind w:firstLine="560"/>
              <w:jc w:val="center"/>
              <w:rPr>
                <w:rFonts w:ascii="宋体" w:hAnsi="宋体" w:cs="宋体"/>
                <w:color w:val="auto"/>
                <w:szCs w:val="28"/>
              </w:rPr>
            </w:pPr>
          </w:p>
        </w:tc>
      </w:tr>
      <w:tr w14:paraId="6FC5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2101" w:type="dxa"/>
            <w:tcBorders>
              <w:top w:val="nil"/>
              <w:left w:val="nil"/>
              <w:bottom w:val="nil"/>
              <w:right w:val="nil"/>
            </w:tcBorders>
            <w:noWrap/>
            <w:vAlign w:val="bottom"/>
          </w:tcPr>
          <w:p w14:paraId="07B29037">
            <w:pPr>
              <w:pStyle w:val="91"/>
              <w:spacing w:line="360" w:lineRule="auto"/>
              <w:ind w:firstLine="0" w:firstLineChars="0"/>
              <w:jc w:val="left"/>
              <w:rPr>
                <w:rFonts w:ascii="宋体" w:hAnsi="宋体" w:cs="宋体"/>
                <w:color w:val="auto"/>
                <w:szCs w:val="28"/>
              </w:rPr>
            </w:pPr>
            <w:r>
              <w:rPr>
                <w:rFonts w:hint="eastAsia" w:ascii="宋体" w:hAnsi="宋体" w:cs="宋体"/>
                <w:color w:val="auto"/>
                <w:szCs w:val="28"/>
              </w:rPr>
              <w:t>签 订 日 期：</w:t>
            </w:r>
          </w:p>
        </w:tc>
        <w:tc>
          <w:tcPr>
            <w:tcW w:w="5009" w:type="dxa"/>
            <w:tcBorders>
              <w:left w:val="nil"/>
              <w:right w:val="nil"/>
            </w:tcBorders>
            <w:noWrap/>
            <w:vAlign w:val="center"/>
          </w:tcPr>
          <w:p w14:paraId="6511DD83">
            <w:pPr>
              <w:pStyle w:val="91"/>
              <w:spacing w:line="360" w:lineRule="auto"/>
              <w:ind w:firstLine="560"/>
              <w:jc w:val="center"/>
              <w:rPr>
                <w:rFonts w:ascii="宋体" w:hAnsi="宋体" w:cs="宋体"/>
                <w:color w:val="auto"/>
                <w:szCs w:val="28"/>
              </w:rPr>
            </w:pPr>
            <w:r>
              <w:rPr>
                <w:rFonts w:hint="eastAsia" w:ascii="宋体" w:hAnsi="宋体" w:cs="宋体"/>
                <w:color w:val="auto"/>
                <w:szCs w:val="28"/>
              </w:rPr>
              <w:t>年    月    日</w:t>
            </w:r>
          </w:p>
        </w:tc>
      </w:tr>
    </w:tbl>
    <w:p w14:paraId="084960E7">
      <w:pPr>
        <w:tabs>
          <w:tab w:val="right" w:pos="8312"/>
        </w:tabs>
        <w:spacing w:line="720" w:lineRule="auto"/>
        <w:ind w:firstLine="800" w:firstLineChars="250"/>
        <w:rPr>
          <w:rFonts w:ascii="宋体" w:hAnsi="宋体" w:cs="宋体"/>
          <w:color w:val="auto"/>
          <w:sz w:val="32"/>
          <w:szCs w:val="32"/>
        </w:rPr>
      </w:pPr>
    </w:p>
    <w:p w14:paraId="65519391">
      <w:pPr>
        <w:pStyle w:val="25"/>
        <w:spacing w:before="0" w:beforeAutospacing="0" w:after="0" w:afterAutospacing="0" w:line="360" w:lineRule="auto"/>
        <w:rPr>
          <w:color w:val="auto"/>
          <w:szCs w:val="24"/>
        </w:rPr>
      </w:pPr>
    </w:p>
    <w:p w14:paraId="58DE2CF3">
      <w:pPr>
        <w:pStyle w:val="25"/>
        <w:spacing w:before="0" w:beforeAutospacing="0" w:after="0" w:afterAutospacing="0" w:line="360" w:lineRule="auto"/>
        <w:rPr>
          <w:color w:val="auto"/>
          <w:szCs w:val="24"/>
        </w:rPr>
      </w:pPr>
    </w:p>
    <w:p w14:paraId="3324E5CE">
      <w:pPr>
        <w:pStyle w:val="25"/>
        <w:spacing w:before="0" w:beforeAutospacing="0" w:after="0" w:afterAutospacing="0" w:line="360" w:lineRule="auto"/>
        <w:rPr>
          <w:color w:val="auto"/>
          <w:szCs w:val="24"/>
        </w:rPr>
      </w:pPr>
    </w:p>
    <w:p w14:paraId="068E19E4">
      <w:pPr>
        <w:pStyle w:val="25"/>
        <w:spacing w:before="0" w:beforeAutospacing="0" w:after="0" w:afterAutospacing="0" w:line="360" w:lineRule="auto"/>
        <w:rPr>
          <w:color w:val="auto"/>
          <w:szCs w:val="24"/>
        </w:rPr>
      </w:pPr>
    </w:p>
    <w:p w14:paraId="1162F084">
      <w:pPr>
        <w:pStyle w:val="25"/>
        <w:spacing w:before="0" w:beforeAutospacing="0" w:after="0" w:afterAutospacing="0" w:line="360" w:lineRule="auto"/>
        <w:rPr>
          <w:color w:val="auto"/>
          <w:szCs w:val="24"/>
        </w:rPr>
      </w:pPr>
    </w:p>
    <w:p w14:paraId="46C54DB2">
      <w:pPr>
        <w:pStyle w:val="25"/>
        <w:spacing w:before="0" w:beforeAutospacing="0" w:after="0" w:afterAutospacing="0" w:line="360" w:lineRule="auto"/>
        <w:rPr>
          <w:color w:val="auto"/>
          <w:szCs w:val="24"/>
        </w:rPr>
      </w:pPr>
    </w:p>
    <w:p w14:paraId="7C35B0BF">
      <w:pPr>
        <w:pStyle w:val="25"/>
        <w:spacing w:before="0" w:beforeAutospacing="0" w:after="0" w:afterAutospacing="0" w:line="360" w:lineRule="auto"/>
        <w:rPr>
          <w:color w:val="auto"/>
          <w:szCs w:val="24"/>
        </w:rPr>
      </w:pPr>
    </w:p>
    <w:p w14:paraId="6DFBFAE2">
      <w:pPr>
        <w:pStyle w:val="25"/>
        <w:spacing w:before="0" w:beforeAutospacing="0" w:after="0" w:afterAutospacing="0" w:line="360" w:lineRule="auto"/>
        <w:rPr>
          <w:color w:val="auto"/>
          <w:szCs w:val="24"/>
        </w:rPr>
      </w:pPr>
    </w:p>
    <w:p w14:paraId="0EFEB518">
      <w:pPr>
        <w:spacing w:line="360" w:lineRule="auto"/>
        <w:ind w:firstLine="420" w:firstLineChars="200"/>
        <w:rPr>
          <w:rFonts w:ascii="宋体" w:hAnsi="宋体" w:cs="宋体"/>
          <w:color w:val="auto"/>
        </w:rPr>
      </w:pPr>
      <w:r>
        <w:rPr>
          <w:rFonts w:hint="eastAsia" w:ascii="宋体" w:hAnsi="宋体" w:cs="宋体"/>
          <w:color w:val="auto"/>
        </w:rPr>
        <w:t>甲方（委托人）：</w:t>
      </w:r>
      <w:r>
        <w:rPr>
          <w:rFonts w:hint="eastAsia" w:ascii="宋体" w:hAnsi="宋体" w:cs="宋体"/>
          <w:color w:val="auto"/>
          <w:u w:val="single"/>
        </w:rPr>
        <w:t>扬州大学附属医院</w:t>
      </w:r>
    </w:p>
    <w:p w14:paraId="31E34BCE">
      <w:pPr>
        <w:spacing w:line="360" w:lineRule="auto"/>
        <w:ind w:firstLine="420" w:firstLineChars="200"/>
        <w:rPr>
          <w:rFonts w:ascii="宋体" w:hAnsi="宋体" w:cs="宋体"/>
          <w:color w:val="auto"/>
          <w:u w:val="single"/>
        </w:rPr>
      </w:pPr>
      <w:r>
        <w:rPr>
          <w:rFonts w:hint="eastAsia" w:ascii="宋体" w:hAnsi="宋体" w:cs="宋体"/>
          <w:color w:val="auto"/>
        </w:rPr>
        <w:t>乙方（受</w:t>
      </w:r>
      <w:bookmarkStart w:id="107" w:name="_Hlt221541261"/>
      <w:r>
        <w:rPr>
          <w:rFonts w:hint="eastAsia" w:ascii="宋体" w:hAnsi="宋体" w:cs="宋体"/>
          <w:color w:val="auto"/>
        </w:rPr>
        <w:t>托</w:t>
      </w:r>
      <w:bookmarkEnd w:id="107"/>
      <w:r>
        <w:rPr>
          <w:rFonts w:hint="eastAsia" w:ascii="宋体" w:hAnsi="宋体" w:cs="宋体"/>
          <w:color w:val="auto"/>
        </w:rPr>
        <w:t>人）：</w:t>
      </w:r>
      <w:r>
        <w:rPr>
          <w:rFonts w:hint="eastAsia" w:ascii="宋体" w:hAnsi="宋体" w:cs="宋体"/>
          <w:color w:val="auto"/>
          <w:u w:val="single"/>
        </w:rPr>
        <w:t>　　　　　　</w:t>
      </w:r>
    </w:p>
    <w:p w14:paraId="4DD240BB">
      <w:pPr>
        <w:spacing w:line="360" w:lineRule="auto"/>
        <w:ind w:firstLine="420" w:firstLineChars="200"/>
        <w:rPr>
          <w:rFonts w:ascii="宋体" w:hAnsi="宋体" w:cs="宋体"/>
          <w:color w:val="auto"/>
        </w:rPr>
      </w:pPr>
      <w:r>
        <w:rPr>
          <w:rFonts w:hint="eastAsia" w:ascii="宋体" w:hAnsi="宋体" w:cs="宋体"/>
          <w:color w:val="auto"/>
        </w:rPr>
        <w:t>　</w:t>
      </w:r>
      <w:r>
        <w:rPr>
          <w:rFonts w:hint="eastAsia" w:ascii="宋体" w:hAnsi="宋体" w:cs="宋体"/>
          <w:color w:val="auto"/>
          <w:u w:val="single"/>
        </w:rPr>
        <w:t>　　　　　　</w:t>
      </w:r>
      <w:r>
        <w:rPr>
          <w:rFonts w:hint="eastAsia" w:ascii="宋体" w:hAnsi="宋体" w:cs="宋体"/>
          <w:color w:val="auto"/>
        </w:rPr>
        <w:t>（以下称甲方）委托</w:t>
      </w:r>
      <w:r>
        <w:rPr>
          <w:rFonts w:hint="eastAsia" w:ascii="宋体" w:hAnsi="宋体" w:cs="宋体"/>
          <w:color w:val="auto"/>
          <w:u w:val="single"/>
        </w:rPr>
        <w:t>　　　　　　</w:t>
      </w:r>
      <w:r>
        <w:rPr>
          <w:rFonts w:hint="eastAsia" w:ascii="宋体" w:hAnsi="宋体" w:cs="宋体"/>
          <w:color w:val="auto"/>
        </w:rPr>
        <w:t>（以下称乙方）进行</w:t>
      </w:r>
      <w:r>
        <w:rPr>
          <w:rFonts w:hint="eastAsia" w:ascii="宋体" w:hAnsi="宋体" w:cs="宋体"/>
          <w:color w:val="auto"/>
          <w:u w:val="single"/>
        </w:rPr>
        <w:t>扬州大学附属医院住院入口（服务大厅）扩建项目、既有建筑改造项目社会稳定风险评估报告及节能评估（承诺表）采购项目</w:t>
      </w:r>
      <w:r>
        <w:rPr>
          <w:rFonts w:hint="eastAsia" w:ascii="宋体" w:hAnsi="宋体" w:cs="宋体"/>
          <w:color w:val="auto"/>
        </w:rPr>
        <w:t>工作。为明确双方的权利和义务，依据《中华人民共和国民法典》等有关法律法规和主管部门等有关规定，甲乙双方经协商一致，订立本合同，共同遵守。</w:t>
      </w:r>
    </w:p>
    <w:p w14:paraId="2FD78553">
      <w:pPr>
        <w:spacing w:line="360" w:lineRule="auto"/>
        <w:ind w:firstLine="422" w:firstLineChars="200"/>
        <w:rPr>
          <w:rFonts w:ascii="宋体" w:hAnsi="宋体" w:cs="宋体"/>
          <w:b/>
          <w:bCs/>
          <w:color w:val="auto"/>
        </w:rPr>
      </w:pPr>
      <w:r>
        <w:rPr>
          <w:rFonts w:hint="eastAsia" w:ascii="宋体" w:hAnsi="宋体" w:cs="宋体"/>
          <w:b/>
          <w:bCs/>
          <w:color w:val="auto"/>
        </w:rPr>
        <w:t>第一条 乙方工作的内容、要求和方式</w:t>
      </w:r>
    </w:p>
    <w:p w14:paraId="1B55E8C4">
      <w:pPr>
        <w:spacing w:line="360" w:lineRule="auto"/>
        <w:ind w:firstLine="420" w:firstLineChars="200"/>
        <w:rPr>
          <w:rFonts w:ascii="宋体" w:hAnsi="宋体" w:cs="宋体"/>
          <w:color w:val="auto"/>
        </w:rPr>
      </w:pPr>
      <w:r>
        <w:rPr>
          <w:rFonts w:hint="eastAsia" w:ascii="宋体" w:hAnsi="宋体" w:cs="宋体"/>
          <w:color w:val="auto"/>
        </w:rPr>
        <w:t>（一）工作内容</w:t>
      </w:r>
    </w:p>
    <w:p w14:paraId="0B3EA999">
      <w:pPr>
        <w:spacing w:line="360" w:lineRule="auto"/>
        <w:ind w:firstLine="420" w:firstLineChars="200"/>
        <w:rPr>
          <w:rFonts w:ascii="宋体" w:hAnsi="宋体" w:cs="宋体"/>
          <w:color w:val="auto"/>
        </w:rPr>
      </w:pPr>
      <w:r>
        <w:rPr>
          <w:rFonts w:hint="eastAsia" w:ascii="宋体" w:hAnsi="宋体" w:cs="宋体"/>
          <w:color w:val="auto"/>
        </w:rPr>
        <w:t>编制扬州大学附属医院住院入口（服务大厅）扩建项目、既有建筑改造项目《</w:t>
      </w:r>
      <w:r>
        <w:rPr>
          <w:rFonts w:hint="eastAsia" w:ascii="宋体" w:hAnsi="宋体" w:cs="宋体"/>
          <w:color w:val="auto"/>
          <w:lang w:eastAsia="zh-CN"/>
        </w:rPr>
        <w:t>社会稳定风险评估报告</w:t>
      </w:r>
      <w:r>
        <w:rPr>
          <w:rFonts w:hint="eastAsia" w:ascii="宋体" w:hAnsi="宋体" w:cs="宋体"/>
          <w:color w:val="auto"/>
        </w:rPr>
        <w:t>》</w:t>
      </w:r>
      <w:r>
        <w:rPr>
          <w:rFonts w:hint="eastAsia" w:ascii="宋体" w:hAnsi="宋体" w:cs="宋体"/>
          <w:color w:val="auto"/>
          <w:lang w:eastAsia="zh-CN"/>
        </w:rPr>
        <w:t>、节能评估报告（节能承诺表）</w:t>
      </w:r>
      <w:r>
        <w:rPr>
          <w:rFonts w:hint="eastAsia" w:ascii="宋体" w:hAnsi="宋体" w:cs="宋体"/>
          <w:color w:val="auto"/>
        </w:rPr>
        <w:t>。</w:t>
      </w:r>
    </w:p>
    <w:p w14:paraId="78C68A23">
      <w:pPr>
        <w:spacing w:line="360" w:lineRule="auto"/>
        <w:ind w:firstLine="420" w:firstLineChars="200"/>
        <w:rPr>
          <w:rFonts w:ascii="宋体" w:hAnsi="宋体" w:cs="宋体"/>
          <w:color w:val="auto"/>
        </w:rPr>
      </w:pPr>
      <w:r>
        <w:rPr>
          <w:rFonts w:hint="eastAsia" w:ascii="宋体" w:hAnsi="宋体" w:cs="宋体"/>
          <w:color w:val="auto"/>
        </w:rPr>
        <w:t>（二）工作要求</w:t>
      </w:r>
    </w:p>
    <w:p w14:paraId="3AC8A1D3">
      <w:pPr>
        <w:spacing w:line="360" w:lineRule="auto"/>
        <w:ind w:firstLine="420" w:firstLineChars="200"/>
        <w:rPr>
          <w:rFonts w:ascii="宋体" w:hAnsi="宋体" w:cs="宋体"/>
          <w:color w:val="auto"/>
        </w:rPr>
      </w:pPr>
      <w:r>
        <w:rPr>
          <w:rFonts w:hint="eastAsia" w:ascii="宋体" w:hAnsi="宋体" w:cs="宋体"/>
          <w:color w:val="auto"/>
        </w:rPr>
        <w:t>《</w:t>
      </w:r>
      <w:r>
        <w:rPr>
          <w:rFonts w:hint="eastAsia" w:ascii="宋体" w:hAnsi="宋体" w:cs="宋体"/>
          <w:color w:val="auto"/>
          <w:lang w:eastAsia="zh-CN"/>
        </w:rPr>
        <w:t>社会稳定风险评估报告、节能评估（承诺表）</w:t>
      </w:r>
      <w:r>
        <w:rPr>
          <w:rFonts w:hint="eastAsia" w:ascii="宋体" w:hAnsi="宋体" w:cs="宋体"/>
          <w:color w:val="auto"/>
        </w:rPr>
        <w:t>》的内容和要求应符合并达到审批部门对编制</w:t>
      </w:r>
      <w:r>
        <w:rPr>
          <w:rFonts w:hint="eastAsia" w:ascii="宋体" w:hAnsi="宋体" w:cs="宋体"/>
          <w:color w:val="auto"/>
          <w:lang w:eastAsia="zh-CN"/>
        </w:rPr>
        <w:t>社会稳定风险评估报告、节能评估（承诺表）</w:t>
      </w:r>
      <w:r>
        <w:rPr>
          <w:rFonts w:hint="eastAsia" w:ascii="宋体" w:hAnsi="宋体" w:cs="宋体"/>
          <w:color w:val="auto"/>
        </w:rPr>
        <w:t>所要求的内容和深度。因乙方提交的《</w:t>
      </w:r>
      <w:r>
        <w:rPr>
          <w:rFonts w:hint="eastAsia" w:ascii="宋体" w:hAnsi="宋体" w:cs="宋体"/>
          <w:color w:val="auto"/>
          <w:lang w:eastAsia="zh-CN"/>
        </w:rPr>
        <w:t>社会稳定风险评估报告、节能评估（承诺表）</w:t>
      </w:r>
      <w:r>
        <w:rPr>
          <w:rFonts w:hint="eastAsia" w:ascii="宋体" w:hAnsi="宋体" w:cs="宋体"/>
          <w:color w:val="auto"/>
        </w:rPr>
        <w:t>》审批不通过时，由乙方负责免费修改，直至通过主管部门审批为止，并由乙方按照本合同第六条的有关约定承担</w:t>
      </w:r>
      <w:r>
        <w:rPr>
          <w:color w:val="auto"/>
        </w:rPr>
        <w:fldChar w:fldCharType="begin"/>
      </w:r>
      <w:r>
        <w:rPr>
          <w:color w:val="auto"/>
        </w:rPr>
        <w:instrText xml:space="preserve"> HYPERLINK "http://www.wenku1.com/so?s=5400272476022044305&amp;entry=1&amp;q=%E8%BF%9D%E7%BA%A6%E8%B4%A3%E4%BB%BB" \t "_blank" </w:instrText>
      </w:r>
      <w:r>
        <w:rPr>
          <w:color w:val="auto"/>
        </w:rPr>
        <w:fldChar w:fldCharType="separate"/>
      </w:r>
      <w:r>
        <w:rPr>
          <w:rFonts w:hint="eastAsia" w:ascii="宋体" w:hAnsi="宋体" w:cs="宋体"/>
          <w:color w:val="auto"/>
        </w:rPr>
        <w:t>违约责任</w:t>
      </w:r>
      <w:r>
        <w:rPr>
          <w:rFonts w:hint="eastAsia" w:ascii="宋体" w:hAnsi="宋体" w:cs="宋体"/>
          <w:color w:val="auto"/>
        </w:rPr>
        <w:fldChar w:fldCharType="end"/>
      </w:r>
      <w:r>
        <w:rPr>
          <w:rFonts w:hint="eastAsia" w:ascii="宋体" w:hAnsi="宋体" w:cs="宋体"/>
          <w:color w:val="auto"/>
        </w:rPr>
        <w:t>。</w:t>
      </w:r>
    </w:p>
    <w:p w14:paraId="61D3FD3F">
      <w:pPr>
        <w:spacing w:line="360" w:lineRule="auto"/>
        <w:ind w:firstLine="420" w:firstLineChars="200"/>
        <w:rPr>
          <w:rFonts w:ascii="宋体" w:hAnsi="宋体" w:cs="宋体"/>
          <w:color w:val="auto"/>
        </w:rPr>
      </w:pPr>
      <w:r>
        <w:rPr>
          <w:rFonts w:hint="eastAsia" w:ascii="宋体" w:hAnsi="宋体" w:cs="宋体"/>
          <w:color w:val="auto"/>
        </w:rPr>
        <w:t>（三）工作方式</w:t>
      </w:r>
    </w:p>
    <w:p w14:paraId="04841397">
      <w:pPr>
        <w:spacing w:line="360" w:lineRule="auto"/>
        <w:ind w:firstLine="420" w:firstLineChars="200"/>
        <w:rPr>
          <w:rFonts w:ascii="宋体" w:hAnsi="宋体" w:cs="宋体"/>
          <w:color w:val="auto"/>
        </w:rPr>
      </w:pPr>
      <w:r>
        <w:rPr>
          <w:rFonts w:hint="eastAsia" w:ascii="宋体" w:hAnsi="宋体" w:cs="宋体"/>
          <w:color w:val="auto"/>
        </w:rPr>
        <w:t>乙方按合同要求开展《</w:t>
      </w:r>
      <w:r>
        <w:rPr>
          <w:rFonts w:hint="eastAsia" w:ascii="宋体" w:hAnsi="宋体" w:cs="宋体"/>
          <w:color w:val="auto"/>
          <w:lang w:eastAsia="zh-CN"/>
        </w:rPr>
        <w:t>社会稳定风险评估报告、节能评估（承诺表）</w:t>
      </w:r>
      <w:r>
        <w:rPr>
          <w:rFonts w:hint="eastAsia" w:ascii="宋体" w:hAnsi="宋体" w:cs="宋体"/>
          <w:color w:val="auto"/>
        </w:rPr>
        <w:t>》编制工作，最终按约定向甲方交付正式纸质版成果 4 套（1 正 3 副），同时提交全套电子版资料（含可编辑源文件 + PDF 签章版）1 套。</w:t>
      </w:r>
    </w:p>
    <w:p w14:paraId="73971D13">
      <w:pPr>
        <w:spacing w:line="360" w:lineRule="auto"/>
        <w:ind w:firstLine="422" w:firstLineChars="200"/>
        <w:rPr>
          <w:rFonts w:ascii="宋体" w:hAnsi="宋体" w:cs="宋体"/>
          <w:b/>
          <w:bCs/>
          <w:color w:val="auto"/>
        </w:rPr>
      </w:pPr>
      <w:r>
        <w:rPr>
          <w:rFonts w:hint="eastAsia" w:ascii="宋体" w:hAnsi="宋体" w:cs="宋体"/>
          <w:b/>
          <w:bCs/>
          <w:color w:val="auto"/>
        </w:rPr>
        <w:t>第二条 工期要求</w:t>
      </w:r>
    </w:p>
    <w:p w14:paraId="0DEEFDE4">
      <w:pPr>
        <w:spacing w:line="360" w:lineRule="auto"/>
        <w:ind w:firstLine="420" w:firstLineChars="200"/>
        <w:rPr>
          <w:rFonts w:ascii="宋体" w:hAnsi="宋体" w:cs="宋体"/>
          <w:color w:val="auto"/>
        </w:rPr>
      </w:pPr>
      <w:r>
        <w:rPr>
          <w:rFonts w:hint="eastAsia" w:ascii="宋体" w:hAnsi="宋体" w:cs="宋体"/>
          <w:color w:val="auto"/>
        </w:rPr>
        <w:t>合同生效后</w:t>
      </w:r>
      <w:r>
        <w:rPr>
          <w:rFonts w:hint="eastAsia" w:ascii="宋体" w:hAnsi="宋体" w:cs="宋体"/>
          <w:color w:val="auto"/>
          <w:lang w:val="en-US" w:eastAsia="zh-CN"/>
        </w:rPr>
        <w:t>乙方</w:t>
      </w:r>
      <w:r>
        <w:rPr>
          <w:rFonts w:hint="eastAsia" w:ascii="宋体" w:hAnsi="宋体" w:cs="宋体"/>
          <w:color w:val="auto"/>
        </w:rPr>
        <w:t>即刻启动资料搜集与前期筹备，收到</w:t>
      </w:r>
      <w:r>
        <w:rPr>
          <w:rFonts w:hint="eastAsia" w:ascii="宋体" w:hAnsi="宋体" w:cs="宋体"/>
          <w:color w:val="auto"/>
          <w:lang w:val="en-US" w:eastAsia="zh-CN"/>
        </w:rPr>
        <w:t>甲方</w:t>
      </w:r>
      <w:r>
        <w:rPr>
          <w:rFonts w:hint="eastAsia" w:ascii="宋体" w:hAnsi="宋体" w:cs="宋体"/>
          <w:color w:val="auto"/>
        </w:rPr>
        <w:t>指令后15个日历天内完成全部项目初稿，15个日历天内完成报告编制并完成备案。</w:t>
      </w:r>
    </w:p>
    <w:p w14:paraId="12EB6792">
      <w:pPr>
        <w:spacing w:line="360" w:lineRule="auto"/>
        <w:ind w:firstLine="420" w:firstLineChars="200"/>
        <w:rPr>
          <w:rFonts w:ascii="宋体" w:hAnsi="宋体" w:cs="宋体"/>
          <w:color w:val="auto"/>
        </w:rPr>
      </w:pPr>
      <w:r>
        <w:rPr>
          <w:rFonts w:hint="eastAsia" w:ascii="宋体" w:hAnsi="宋体" w:cs="宋体"/>
          <w:color w:val="auto"/>
        </w:rPr>
        <w:t>乙方须根据时限要求细化分项工作计划，按需配置人力，保障各节点按期落地。</w:t>
      </w:r>
    </w:p>
    <w:p w14:paraId="37D487FA">
      <w:pPr>
        <w:spacing w:line="360" w:lineRule="auto"/>
        <w:ind w:firstLine="422" w:firstLineChars="200"/>
        <w:rPr>
          <w:rFonts w:ascii="宋体" w:hAnsi="宋体" w:cs="宋体"/>
          <w:b/>
          <w:bCs/>
          <w:color w:val="auto"/>
        </w:rPr>
      </w:pPr>
      <w:r>
        <w:rPr>
          <w:rFonts w:hint="eastAsia" w:ascii="宋体" w:hAnsi="宋体" w:cs="宋体"/>
          <w:b/>
          <w:bCs/>
          <w:color w:val="auto"/>
        </w:rPr>
        <w:t>第三条 为保证乙方及时、有效地进行编制工作，甲方应当向乙方提供以下协作事项：</w:t>
      </w:r>
    </w:p>
    <w:p w14:paraId="29E85385">
      <w:pPr>
        <w:spacing w:line="360" w:lineRule="auto"/>
        <w:ind w:firstLine="420" w:firstLineChars="200"/>
        <w:rPr>
          <w:rFonts w:ascii="宋体" w:hAnsi="宋体" w:cs="宋体"/>
          <w:color w:val="auto"/>
        </w:rPr>
      </w:pPr>
      <w:r>
        <w:rPr>
          <w:rFonts w:hint="eastAsia" w:ascii="宋体" w:hAnsi="宋体" w:cs="宋体"/>
          <w:color w:val="auto"/>
        </w:rPr>
        <w:t>（一）提供必需的有关技术、基础资料</w:t>
      </w:r>
    </w:p>
    <w:p w14:paraId="1F2ABB62">
      <w:pPr>
        <w:spacing w:line="360" w:lineRule="auto"/>
        <w:ind w:firstLine="420" w:firstLineChars="200"/>
        <w:rPr>
          <w:rFonts w:ascii="宋体" w:hAnsi="宋体" w:cs="宋体"/>
          <w:color w:val="auto"/>
        </w:rPr>
      </w:pPr>
      <w:r>
        <w:rPr>
          <w:rFonts w:hint="eastAsia" w:ascii="宋体" w:hAnsi="宋体" w:cs="宋体"/>
          <w:color w:val="auto"/>
        </w:rPr>
        <w:t>甲方应将所拥有的且是乙方编制《</w:t>
      </w:r>
      <w:r>
        <w:rPr>
          <w:rFonts w:hint="eastAsia" w:ascii="宋体" w:hAnsi="宋体" w:cs="宋体"/>
          <w:color w:val="auto"/>
          <w:lang w:eastAsia="zh-CN"/>
        </w:rPr>
        <w:t>社会稳定风险评估报告、节能评估（承诺表）</w:t>
      </w:r>
      <w:r>
        <w:rPr>
          <w:rFonts w:hint="eastAsia" w:ascii="宋体" w:hAnsi="宋体" w:cs="宋体"/>
          <w:color w:val="auto"/>
        </w:rPr>
        <w:t>》所必需的有关技术、基础资料及时提供给乙方。对于乙方以自身的专业知识对有关技术、基础资料的准确性所进行的核实工作，甲方应给予必要的协助。</w:t>
      </w:r>
    </w:p>
    <w:p w14:paraId="224B58A7">
      <w:pPr>
        <w:spacing w:line="360" w:lineRule="auto"/>
        <w:ind w:firstLine="420" w:firstLineChars="200"/>
        <w:rPr>
          <w:rFonts w:ascii="宋体" w:hAnsi="宋体" w:cs="宋体"/>
          <w:color w:val="auto"/>
        </w:rPr>
      </w:pPr>
      <w:r>
        <w:rPr>
          <w:rFonts w:hint="eastAsia" w:ascii="宋体" w:hAnsi="宋体" w:cs="宋体"/>
          <w:color w:val="auto"/>
        </w:rPr>
        <w:t>（二）提供相应的其他工作条件，主要包括：</w:t>
      </w:r>
    </w:p>
    <w:p w14:paraId="2AAD9EDB">
      <w:pPr>
        <w:spacing w:line="360" w:lineRule="auto"/>
        <w:ind w:firstLine="420" w:firstLineChars="200"/>
        <w:rPr>
          <w:rFonts w:ascii="宋体" w:hAnsi="宋体" w:cs="宋体"/>
          <w:color w:val="auto"/>
        </w:rPr>
      </w:pPr>
      <w:r>
        <w:rPr>
          <w:rFonts w:hint="eastAsia" w:ascii="宋体" w:hAnsi="宋体" w:cs="宋体"/>
          <w:color w:val="auto"/>
        </w:rPr>
        <w:t>1.指定联系人配合乙方工作；</w:t>
      </w:r>
    </w:p>
    <w:p w14:paraId="3448F45E">
      <w:pPr>
        <w:spacing w:line="360" w:lineRule="auto"/>
        <w:ind w:firstLine="420" w:firstLineChars="200"/>
        <w:rPr>
          <w:rFonts w:ascii="宋体" w:hAnsi="宋体" w:cs="宋体"/>
          <w:color w:val="auto"/>
        </w:rPr>
      </w:pPr>
      <w:r>
        <w:rPr>
          <w:rFonts w:hint="eastAsia" w:ascii="宋体" w:hAnsi="宋体" w:cs="宋体"/>
          <w:color w:val="auto"/>
        </w:rPr>
        <w:t>2.依照本合同约定支付乙方编制工作报酬。</w:t>
      </w:r>
    </w:p>
    <w:p w14:paraId="3A0A0803">
      <w:pPr>
        <w:spacing w:line="360" w:lineRule="auto"/>
        <w:ind w:firstLine="422" w:firstLineChars="200"/>
        <w:rPr>
          <w:rFonts w:ascii="宋体" w:hAnsi="宋体" w:cs="宋体"/>
          <w:b/>
          <w:bCs/>
          <w:color w:val="auto"/>
        </w:rPr>
      </w:pPr>
      <w:r>
        <w:rPr>
          <w:rFonts w:hint="eastAsia" w:ascii="宋体" w:hAnsi="宋体" w:cs="宋体"/>
          <w:b/>
          <w:bCs/>
          <w:color w:val="auto"/>
        </w:rPr>
        <w:t>第四条 编制工作成果的体现形式、验收标准</w:t>
      </w:r>
    </w:p>
    <w:p w14:paraId="18B58386">
      <w:pPr>
        <w:spacing w:line="360" w:lineRule="auto"/>
        <w:ind w:firstLine="420" w:firstLineChars="200"/>
        <w:rPr>
          <w:rFonts w:ascii="宋体" w:hAnsi="宋体" w:cs="宋体"/>
          <w:color w:val="auto"/>
        </w:rPr>
      </w:pPr>
      <w:r>
        <w:rPr>
          <w:rFonts w:hint="eastAsia" w:ascii="宋体" w:hAnsi="宋体" w:cs="宋体"/>
          <w:color w:val="auto"/>
        </w:rPr>
        <w:t>（一）编制工作成果的体现形式</w:t>
      </w:r>
    </w:p>
    <w:p w14:paraId="3F2D7963">
      <w:pPr>
        <w:spacing w:line="360" w:lineRule="auto"/>
        <w:ind w:firstLine="420" w:firstLineChars="200"/>
        <w:rPr>
          <w:rFonts w:ascii="宋体" w:hAnsi="宋体" w:cs="宋体"/>
          <w:color w:val="auto"/>
        </w:rPr>
      </w:pPr>
      <w:r>
        <w:rPr>
          <w:rFonts w:hint="eastAsia" w:ascii="宋体" w:hAnsi="宋体" w:cs="宋体"/>
          <w:color w:val="auto"/>
        </w:rPr>
        <w:t>乙方提交符合归档要求的《</w:t>
      </w:r>
      <w:r>
        <w:rPr>
          <w:rFonts w:hint="eastAsia" w:ascii="宋体" w:hAnsi="宋体" w:cs="宋体"/>
          <w:color w:val="auto"/>
          <w:lang w:eastAsia="zh-CN"/>
        </w:rPr>
        <w:t>社会稳定风险评估报告、节能评估（承诺表）</w:t>
      </w:r>
      <w:r>
        <w:rPr>
          <w:rFonts w:hint="eastAsia" w:ascii="宋体" w:hAnsi="宋体" w:cs="宋体"/>
          <w:color w:val="auto"/>
        </w:rPr>
        <w:t xml:space="preserve">》正式纸质版 </w:t>
      </w:r>
      <w:r>
        <w:rPr>
          <w:rFonts w:hint="eastAsia" w:ascii="宋体" w:hAnsi="宋体" w:cs="宋体"/>
          <w:color w:val="auto"/>
          <w:lang w:val="en-US" w:eastAsia="zh-CN"/>
        </w:rPr>
        <w:t>4套</w:t>
      </w:r>
      <w:r>
        <w:rPr>
          <w:rFonts w:hint="eastAsia" w:ascii="宋体" w:hAnsi="宋体" w:cs="宋体"/>
          <w:color w:val="auto"/>
        </w:rPr>
        <w:t>（1 正 3 副）；电子版全套 PDF + 可编辑 Word，光盘 / U 盘 1 套。</w:t>
      </w:r>
    </w:p>
    <w:p w14:paraId="5B0240BD">
      <w:pPr>
        <w:spacing w:line="360" w:lineRule="auto"/>
        <w:ind w:firstLine="420" w:firstLineChars="200"/>
        <w:rPr>
          <w:rFonts w:ascii="宋体" w:hAnsi="宋体" w:cs="宋体"/>
          <w:color w:val="auto"/>
        </w:rPr>
      </w:pPr>
      <w:r>
        <w:rPr>
          <w:rFonts w:hint="eastAsia" w:ascii="宋体" w:hAnsi="宋体" w:cs="宋体"/>
          <w:color w:val="auto"/>
        </w:rPr>
        <w:t>（二）验收标准</w:t>
      </w:r>
    </w:p>
    <w:p w14:paraId="7434AF9A">
      <w:pPr>
        <w:spacing w:line="360" w:lineRule="auto"/>
        <w:ind w:firstLine="420" w:firstLineChars="200"/>
        <w:rPr>
          <w:rFonts w:ascii="宋体" w:hAnsi="宋体" w:cs="宋体"/>
          <w:color w:val="auto"/>
        </w:rPr>
      </w:pPr>
      <w:r>
        <w:rPr>
          <w:rFonts w:hint="eastAsia" w:ascii="宋体" w:hAnsi="宋体" w:cs="宋体"/>
          <w:color w:val="auto"/>
        </w:rPr>
        <w:t>项目成果通过主管部门审查、完成社会稳定风险评估备案及节能告知承诺报备。如因项目停建无法取得批复，验收标准可调整为甲方组织专家评审会通过验收或甲方书面确认报告符合验收要求。乙方应配合提供相关修改服务。</w:t>
      </w:r>
    </w:p>
    <w:p w14:paraId="03B2AE5C">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第五条 合同价及其支付方式</w:t>
      </w:r>
    </w:p>
    <w:p w14:paraId="7318C5F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（一）合同计价方式</w:t>
      </w:r>
    </w:p>
    <w:p w14:paraId="2A8CD09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本项目的咨询服务费用采用单个项目固定总价结算方式。</w:t>
      </w:r>
    </w:p>
    <w:p w14:paraId="3B98830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（二）合同价</w:t>
      </w:r>
    </w:p>
    <w:p w14:paraId="1D8DC33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本合同的合同价为人民币元整（￥）。</w:t>
      </w:r>
    </w:p>
    <w:p w14:paraId="15EF18A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（三）支付期限和方式</w:t>
      </w:r>
    </w:p>
    <w:p w14:paraId="64DF6AB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以上约定的合同价由甲方支付给乙方，具体支付时间和方式如下：</w:t>
      </w:r>
    </w:p>
    <w:p w14:paraId="575240D6">
      <w:pPr>
        <w:spacing w:line="360" w:lineRule="auto"/>
        <w:ind w:firstLine="422" w:firstLineChars="200"/>
        <w:rPr>
          <w:rFonts w:hint="eastAsia" w:ascii="宋体" w:hAnsi="宋体" w:eastAsia="宋体" w:cs="宋体"/>
          <w:b/>
          <w:bCs/>
          <w:color w:val="auto"/>
          <w:highlight w:val="none"/>
          <w:lang w:eastAsia="zh-CN"/>
        </w:rPr>
      </w:pPr>
      <w:r>
        <w:rPr>
          <w:rFonts w:hint="eastAsia" w:ascii="宋体" w:hAnsi="宋体" w:cs="宋体"/>
          <w:b/>
          <w:bCs/>
          <w:color w:val="auto"/>
          <w:highlight w:val="none"/>
        </w:rPr>
        <w:t>1.成交价为合同价款，单个项目成果经甲方审查通过，</w:t>
      </w:r>
      <w:r>
        <w:rPr>
          <w:rFonts w:hint="eastAsia" w:ascii="宋体" w:hAnsi="宋体" w:cs="宋体"/>
          <w:b/>
          <w:bCs/>
          <w:color w:val="auto"/>
          <w:highlight w:val="none"/>
          <w:lang w:val="en-US" w:eastAsia="zh-CN"/>
        </w:rPr>
        <w:t>并</w:t>
      </w:r>
      <w:r>
        <w:rPr>
          <w:rFonts w:hint="eastAsia" w:ascii="宋体" w:hAnsi="宋体" w:cs="宋体"/>
          <w:b/>
          <w:bCs/>
          <w:color w:val="auto"/>
          <w:highlight w:val="none"/>
        </w:rPr>
        <w:t>完成社会稳定风险评估备案及节能告知承诺报备，乙方提交全套资料后，支付单个项目合同价的 100%；付款前乙方须按要求开具合规增值税发票，付款周期顺延以财政资金实际拨付时间为准</w:t>
      </w:r>
      <w:r>
        <w:rPr>
          <w:rFonts w:hint="eastAsia" w:ascii="宋体" w:hAnsi="宋体" w:cs="宋体"/>
          <w:b/>
          <w:bCs/>
          <w:color w:val="auto"/>
          <w:highlight w:val="none"/>
          <w:lang w:eastAsia="zh-CN"/>
        </w:rPr>
        <w:t>。</w:t>
      </w:r>
    </w:p>
    <w:p w14:paraId="4479DAB6">
      <w:pPr>
        <w:spacing w:line="360" w:lineRule="auto"/>
        <w:ind w:firstLine="422" w:firstLineChars="200"/>
        <w:rPr>
          <w:rFonts w:ascii="宋体" w:hAnsi="宋体" w:cs="宋体"/>
          <w:color w:val="auto"/>
          <w:highlight w:val="none"/>
        </w:rPr>
      </w:pPr>
      <w:r>
        <w:rPr>
          <w:rFonts w:hint="eastAsia" w:ascii="宋体" w:hAnsi="宋体" w:cs="宋体"/>
          <w:b/>
          <w:bCs/>
          <w:color w:val="auto"/>
          <w:highlight w:val="none"/>
        </w:rPr>
        <w:t>2.乙方已按合同约定提交合格成果且通过甲方内部审核，因甲方规划调整、不可抗力、项目停建等非乙方客观因素无法完成备案</w:t>
      </w:r>
      <w:r>
        <w:rPr>
          <w:rFonts w:hint="eastAsia" w:ascii="宋体" w:hAnsi="宋体" w:cs="宋体"/>
          <w:b/>
          <w:bCs/>
          <w:color w:val="auto"/>
          <w:highlight w:val="none"/>
          <w:lang w:eastAsia="zh-CN"/>
        </w:rPr>
        <w:t>（</w:t>
      </w:r>
      <w:r>
        <w:rPr>
          <w:rFonts w:hint="eastAsia" w:ascii="宋体" w:hAnsi="宋体" w:cs="宋体"/>
          <w:b/>
          <w:bCs/>
          <w:color w:val="auto"/>
          <w:highlight w:val="none"/>
        </w:rPr>
        <w:t>报备</w:t>
      </w:r>
      <w:r>
        <w:rPr>
          <w:rFonts w:hint="eastAsia" w:ascii="宋体" w:hAnsi="宋体" w:cs="宋体"/>
          <w:b/>
          <w:bCs/>
          <w:color w:val="auto"/>
          <w:highlight w:val="none"/>
          <w:lang w:eastAsia="zh-CN"/>
        </w:rPr>
        <w:t>）</w:t>
      </w:r>
      <w:r>
        <w:rPr>
          <w:rFonts w:hint="eastAsia" w:ascii="宋体" w:hAnsi="宋体" w:cs="宋体"/>
          <w:b/>
          <w:bCs/>
          <w:color w:val="auto"/>
          <w:highlight w:val="none"/>
        </w:rPr>
        <w:t>的，自成果交付满 6 个月后，甲方支付合同总价80%作为阶段性服务费用；剩余20%尾款待项目重启或终止清算后据实结算，乙方按结算金额分次开具发票。</w:t>
      </w:r>
    </w:p>
    <w:p w14:paraId="562085EF">
      <w:pPr>
        <w:spacing w:line="360" w:lineRule="auto"/>
        <w:ind w:firstLine="422" w:firstLineChars="200"/>
        <w:rPr>
          <w:rFonts w:ascii="宋体" w:hAnsi="宋体" w:cs="宋体"/>
          <w:b/>
          <w:bCs/>
          <w:color w:val="auto"/>
        </w:rPr>
      </w:pPr>
      <w:r>
        <w:rPr>
          <w:rFonts w:hint="eastAsia" w:ascii="宋体" w:hAnsi="宋体" w:cs="宋体"/>
          <w:b/>
          <w:bCs/>
          <w:color w:val="auto"/>
        </w:rPr>
        <w:t>第六条 违约责任</w:t>
      </w:r>
    </w:p>
    <w:p w14:paraId="049F3E14">
      <w:pPr>
        <w:spacing w:line="360" w:lineRule="auto"/>
        <w:ind w:firstLine="420" w:firstLineChars="200"/>
        <w:rPr>
          <w:rFonts w:ascii="宋体" w:hAnsi="宋体" w:cs="宋体"/>
          <w:color w:val="auto"/>
        </w:rPr>
      </w:pPr>
      <w:r>
        <w:rPr>
          <w:rFonts w:hint="eastAsia" w:ascii="宋体" w:hAnsi="宋体" w:cs="宋体"/>
          <w:color w:val="auto"/>
        </w:rPr>
        <w:t>（一）除非</w:t>
      </w:r>
      <w:r>
        <w:rPr>
          <w:rFonts w:hint="eastAsia" w:ascii="宋体" w:hAnsi="宋体" w:cs="宋体"/>
          <w:color w:val="auto"/>
          <w:lang w:eastAsia="zh-CN"/>
        </w:rPr>
        <w:t>法律法规</w:t>
      </w:r>
      <w:r>
        <w:rPr>
          <w:rFonts w:hint="eastAsia" w:ascii="宋体" w:hAnsi="宋体" w:cs="宋体"/>
          <w:color w:val="auto"/>
        </w:rPr>
        <w:t>规定或本合同约定，任何一方不得擅自解除合同。擅自解除合同属</w:t>
      </w:r>
      <w:r>
        <w:rPr>
          <w:color w:val="auto"/>
        </w:rPr>
        <w:fldChar w:fldCharType="begin"/>
      </w:r>
      <w:r>
        <w:rPr>
          <w:color w:val="auto"/>
        </w:rPr>
        <w:instrText xml:space="preserve"> HYPERLINK "http://www.wenku1.com/so?s=5400272476022044305&amp;entry=1&amp;q=%E8%BF%9D%E7%BA%A6%E8%A1%8C%E4%B8%BA" \t "_blank" </w:instrText>
      </w:r>
      <w:r>
        <w:rPr>
          <w:color w:val="auto"/>
        </w:rPr>
        <w:fldChar w:fldCharType="separate"/>
      </w:r>
      <w:r>
        <w:rPr>
          <w:rStyle w:val="39"/>
          <w:rFonts w:hint="eastAsia" w:ascii="宋体" w:hAnsi="宋体" w:cs="宋体"/>
          <w:color w:val="auto"/>
          <w:szCs w:val="21"/>
        </w:rPr>
        <w:t>违约行为</w:t>
      </w:r>
      <w:r>
        <w:rPr>
          <w:rStyle w:val="39"/>
          <w:rFonts w:hint="eastAsia" w:ascii="宋体" w:hAnsi="宋体" w:cs="宋体"/>
          <w:color w:val="auto"/>
          <w:szCs w:val="21"/>
        </w:rPr>
        <w:fldChar w:fldCharType="end"/>
      </w:r>
      <w:r>
        <w:rPr>
          <w:rFonts w:hint="eastAsia" w:ascii="宋体" w:hAnsi="宋体" w:cs="宋体"/>
          <w:color w:val="auto"/>
        </w:rPr>
        <w:t>。</w:t>
      </w:r>
    </w:p>
    <w:p w14:paraId="411375A8">
      <w:pPr>
        <w:spacing w:line="360" w:lineRule="auto"/>
        <w:ind w:firstLine="420" w:firstLineChars="200"/>
        <w:rPr>
          <w:rFonts w:ascii="宋体" w:hAnsi="宋体" w:cs="宋体"/>
          <w:color w:val="auto"/>
        </w:rPr>
      </w:pPr>
      <w:r>
        <w:rPr>
          <w:rFonts w:hint="eastAsia" w:ascii="宋体" w:hAnsi="宋体" w:cs="宋体"/>
          <w:color w:val="auto"/>
        </w:rPr>
        <w:t>（二）因乙方自身的原因未按本合同约定的期限提交《</w:t>
      </w:r>
      <w:r>
        <w:rPr>
          <w:rFonts w:hint="eastAsia" w:ascii="宋体" w:hAnsi="宋体" w:cs="宋体"/>
          <w:color w:val="auto"/>
          <w:lang w:eastAsia="zh-CN"/>
        </w:rPr>
        <w:t>社会稳定风险评估报告、节能评估（承诺表）</w:t>
      </w:r>
      <w:r>
        <w:rPr>
          <w:rFonts w:hint="eastAsia" w:ascii="宋体" w:hAnsi="宋体" w:cs="宋体"/>
          <w:color w:val="auto"/>
        </w:rPr>
        <w:t>》初稿或正式文本，属于违约行为。于此情形下，乙方每逾期一个日历天，甲方有权扣减本合同约定的编制工作报酬总额的3‰作为违约金；逾期15个日历天以上，甲方有权单方面解除合同，并有权要求乙方支付本合同约定的编制工作报酬总额的20%作为违约金。</w:t>
      </w:r>
    </w:p>
    <w:p w14:paraId="31A70A07">
      <w:pPr>
        <w:spacing w:line="360" w:lineRule="auto"/>
        <w:ind w:firstLine="420" w:firstLineChars="200"/>
        <w:rPr>
          <w:rFonts w:ascii="宋体" w:hAnsi="宋体" w:cs="宋体"/>
          <w:color w:val="auto"/>
        </w:rPr>
      </w:pPr>
      <w:r>
        <w:rPr>
          <w:rFonts w:hint="eastAsia" w:ascii="宋体" w:hAnsi="宋体" w:cs="宋体"/>
          <w:color w:val="auto"/>
        </w:rPr>
        <w:t>（三）《</w:t>
      </w:r>
      <w:r>
        <w:rPr>
          <w:rFonts w:hint="eastAsia" w:ascii="宋体" w:hAnsi="宋体" w:cs="宋体"/>
          <w:color w:val="auto"/>
          <w:lang w:eastAsia="zh-CN"/>
        </w:rPr>
        <w:t>社会稳定风险评估报告、节能评估（承诺表）</w:t>
      </w:r>
      <w:r>
        <w:rPr>
          <w:rFonts w:hint="eastAsia" w:ascii="宋体" w:hAnsi="宋体" w:cs="宋体"/>
          <w:color w:val="auto"/>
        </w:rPr>
        <w:t>》未获验收通过，属于违约行为。于此情形下，乙方应无偿返工或者采取补救措施；因此而造成超期七个日历天以上（含七个日历天）交付《</w:t>
      </w:r>
      <w:r>
        <w:rPr>
          <w:rFonts w:hint="eastAsia" w:ascii="宋体" w:hAnsi="宋体" w:cs="宋体"/>
          <w:color w:val="auto"/>
          <w:lang w:eastAsia="zh-CN"/>
        </w:rPr>
        <w:t>社会稳定风险评估报告、节能评估（承诺表）</w:t>
      </w:r>
      <w:r>
        <w:rPr>
          <w:rFonts w:hint="eastAsia" w:ascii="宋体" w:hAnsi="宋体" w:cs="宋体"/>
          <w:color w:val="auto"/>
        </w:rPr>
        <w:t>》的，乙方还应承担本条第（二）项约定的违约责任。</w:t>
      </w:r>
    </w:p>
    <w:p w14:paraId="197A0C46">
      <w:pPr>
        <w:spacing w:line="360" w:lineRule="auto"/>
        <w:ind w:firstLine="420" w:firstLineChars="200"/>
        <w:rPr>
          <w:rFonts w:ascii="宋体" w:hAnsi="宋体" w:cs="宋体"/>
          <w:color w:val="auto"/>
        </w:rPr>
      </w:pPr>
      <w:r>
        <w:rPr>
          <w:rFonts w:hint="eastAsia" w:ascii="宋体" w:hAnsi="宋体" w:cs="宋体"/>
          <w:color w:val="auto"/>
        </w:rPr>
        <w:t>（四）乙方所提交的《</w:t>
      </w:r>
      <w:r>
        <w:rPr>
          <w:rFonts w:hint="eastAsia" w:ascii="宋体" w:hAnsi="宋体" w:cs="宋体"/>
          <w:color w:val="auto"/>
          <w:lang w:eastAsia="zh-CN"/>
        </w:rPr>
        <w:t>社会稳定风险评估报告、节能评估（承诺表）</w:t>
      </w:r>
      <w:r>
        <w:rPr>
          <w:rFonts w:hint="eastAsia" w:ascii="宋体" w:hAnsi="宋体" w:cs="宋体"/>
          <w:color w:val="auto"/>
        </w:rPr>
        <w:t>》不符合约定，属于违约行为。于此情形下，乙方除无偿返工或者采取补救措施加以完善之外，还应承担违约赔偿责任。</w:t>
      </w:r>
    </w:p>
    <w:p w14:paraId="052D7919">
      <w:pPr>
        <w:spacing w:line="360" w:lineRule="auto"/>
        <w:ind w:firstLine="420" w:firstLineChars="200"/>
        <w:rPr>
          <w:rFonts w:ascii="宋体" w:hAnsi="宋体" w:cs="宋体"/>
          <w:color w:val="auto"/>
        </w:rPr>
      </w:pPr>
      <w:r>
        <w:rPr>
          <w:rFonts w:hint="eastAsia" w:ascii="宋体" w:hAnsi="宋体" w:cs="宋体"/>
          <w:color w:val="auto"/>
        </w:rPr>
        <w:t>（五）乙方违反本合同其他约定（含其他文件的承诺），亦属于违约行为。每违反一次，扣减本合同约定的编制工作报酬总额的5‰作为违约金。</w:t>
      </w:r>
    </w:p>
    <w:p w14:paraId="477F9DD9">
      <w:pPr>
        <w:spacing w:line="360" w:lineRule="auto"/>
        <w:ind w:firstLine="420" w:firstLineChars="200"/>
        <w:rPr>
          <w:rFonts w:ascii="宋体" w:hAnsi="宋体" w:cs="宋体"/>
          <w:color w:val="auto"/>
        </w:rPr>
      </w:pPr>
      <w:r>
        <w:rPr>
          <w:rFonts w:hint="eastAsia" w:ascii="宋体" w:hAnsi="宋体" w:cs="宋体"/>
          <w:color w:val="auto"/>
        </w:rPr>
        <w:t>（六）甲方未按本合同约定及时提交乙方开展编制工作所需要的技术、基础资料，属于违约行为。于此情形下，乙方可顺延向甲方交付《</w:t>
      </w:r>
      <w:r>
        <w:rPr>
          <w:rFonts w:hint="eastAsia" w:ascii="宋体" w:hAnsi="宋体" w:cs="宋体"/>
          <w:color w:val="auto"/>
          <w:lang w:eastAsia="zh-CN"/>
        </w:rPr>
        <w:t>社会稳定风险评估报告、节能评估（承诺表）</w:t>
      </w:r>
      <w:r>
        <w:rPr>
          <w:rFonts w:hint="eastAsia" w:ascii="宋体" w:hAnsi="宋体" w:cs="宋体"/>
          <w:color w:val="auto"/>
        </w:rPr>
        <w:t>》的时间。</w:t>
      </w:r>
    </w:p>
    <w:p w14:paraId="5FB16AEB">
      <w:pPr>
        <w:spacing w:line="360" w:lineRule="auto"/>
        <w:ind w:firstLine="420" w:firstLineChars="200"/>
        <w:rPr>
          <w:rFonts w:ascii="宋体" w:hAnsi="宋体" w:cs="宋体"/>
          <w:color w:val="auto"/>
        </w:rPr>
      </w:pPr>
      <w:r>
        <w:rPr>
          <w:rFonts w:hint="eastAsia" w:ascii="宋体" w:hAnsi="宋体" w:cs="宋体"/>
          <w:color w:val="auto"/>
        </w:rPr>
        <w:t>（七）由于一方的违约行为而给另一方造成损失的，违约的一方应承担相应的赔偿责任。</w:t>
      </w:r>
    </w:p>
    <w:p w14:paraId="7FD0C0AB">
      <w:pPr>
        <w:spacing w:line="360" w:lineRule="auto"/>
        <w:ind w:firstLine="420" w:firstLineChars="200"/>
        <w:rPr>
          <w:rFonts w:ascii="宋体" w:hAnsi="宋体" w:cs="宋体"/>
          <w:color w:val="auto"/>
        </w:rPr>
      </w:pPr>
      <w:r>
        <w:rPr>
          <w:rFonts w:hint="eastAsia" w:ascii="宋体" w:hAnsi="宋体" w:cs="宋体"/>
          <w:color w:val="auto"/>
        </w:rPr>
        <w:t>（八）在本合同有效期内，乙方的单位名称变更的，应及时以书面形式通知甲方；乙方法定代表人变更的，应在变更后15日内向甲方提交新法定代表人的职务、职称、联系电话、通信地址等信息。否则视为乙方违约，乙方应当向甲方支付5000元作为违约金。</w:t>
      </w:r>
    </w:p>
    <w:p w14:paraId="4DE749B6">
      <w:pPr>
        <w:spacing w:line="360" w:lineRule="auto"/>
        <w:ind w:firstLine="422" w:firstLineChars="200"/>
        <w:rPr>
          <w:rFonts w:ascii="宋体" w:hAnsi="宋体" w:cs="宋体"/>
          <w:b/>
          <w:bCs/>
          <w:color w:val="auto"/>
        </w:rPr>
      </w:pPr>
      <w:r>
        <w:rPr>
          <w:rFonts w:hint="eastAsia" w:ascii="宋体" w:hAnsi="宋体" w:cs="宋体"/>
          <w:b/>
          <w:bCs/>
          <w:color w:val="auto"/>
        </w:rPr>
        <w:t>第七条 项目中止处理</w:t>
      </w:r>
    </w:p>
    <w:p w14:paraId="3106B1D6">
      <w:pPr>
        <w:spacing w:line="360" w:lineRule="auto"/>
        <w:ind w:firstLine="420" w:firstLineChars="200"/>
        <w:rPr>
          <w:rFonts w:ascii="宋体" w:hAnsi="宋体" w:cs="宋体"/>
          <w:color w:val="auto"/>
        </w:rPr>
      </w:pPr>
      <w:r>
        <w:rPr>
          <w:rFonts w:hint="eastAsia" w:ascii="宋体" w:hAnsi="宋体" w:cs="宋体"/>
          <w:color w:val="auto"/>
        </w:rPr>
        <w:t>若因甲方决策、政策变化、资金不足等非乙方原因导致项目中止，甲方应及时书面通知乙方。乙方已完成工作的，甲方应按实际工作量比例支付费用（具体比例参照本合同第五条第㈢款）。双方应友好协商终止合同事宜，甲方不承担违约责任。</w:t>
      </w:r>
    </w:p>
    <w:p w14:paraId="055A6E32">
      <w:pPr>
        <w:spacing w:line="360" w:lineRule="auto"/>
        <w:ind w:firstLine="422" w:firstLineChars="200"/>
        <w:rPr>
          <w:rFonts w:ascii="宋体" w:hAnsi="宋体" w:cs="宋体"/>
          <w:b/>
          <w:bCs/>
          <w:color w:val="auto"/>
        </w:rPr>
      </w:pPr>
      <w:r>
        <w:rPr>
          <w:rFonts w:hint="eastAsia" w:ascii="宋体" w:hAnsi="宋体" w:cs="宋体"/>
          <w:b/>
          <w:bCs/>
          <w:color w:val="auto"/>
        </w:rPr>
        <w:t>第八条 变更</w:t>
      </w:r>
    </w:p>
    <w:p w14:paraId="12383492">
      <w:pPr>
        <w:spacing w:line="360" w:lineRule="auto"/>
        <w:ind w:firstLine="420" w:firstLineChars="200"/>
        <w:rPr>
          <w:rFonts w:ascii="宋体" w:hAnsi="宋体" w:cs="宋体"/>
          <w:color w:val="auto"/>
        </w:rPr>
      </w:pPr>
      <w:r>
        <w:rPr>
          <w:rFonts w:hint="eastAsia" w:ascii="宋体" w:hAnsi="宋体" w:cs="宋体"/>
          <w:color w:val="auto"/>
        </w:rPr>
        <w:t>本合同可以变更，必要时可签订补充合同。变更必须由甲乙双方协商一致，并以书面形式确定。一方可以书面形式向另一方提出变更合同的请求，另一方应当在15日内予以书面答复；逾期未予答复的，视为不同意变更。</w:t>
      </w:r>
    </w:p>
    <w:p w14:paraId="35A1775F">
      <w:pPr>
        <w:spacing w:line="360" w:lineRule="auto"/>
        <w:ind w:firstLine="422" w:firstLineChars="200"/>
        <w:rPr>
          <w:rFonts w:ascii="宋体" w:hAnsi="宋体" w:cs="宋体"/>
          <w:b/>
          <w:bCs/>
          <w:color w:val="auto"/>
        </w:rPr>
      </w:pPr>
      <w:r>
        <w:rPr>
          <w:rFonts w:hint="eastAsia" w:ascii="宋体" w:hAnsi="宋体" w:cs="宋体"/>
          <w:b/>
          <w:bCs/>
          <w:color w:val="auto"/>
        </w:rPr>
        <w:t>第九条 项目联系人及其职责</w:t>
      </w:r>
    </w:p>
    <w:p w14:paraId="4989EC52">
      <w:pPr>
        <w:spacing w:line="360" w:lineRule="auto"/>
        <w:ind w:firstLine="420" w:firstLineChars="200"/>
        <w:rPr>
          <w:rFonts w:ascii="宋体" w:hAnsi="宋体" w:cs="宋体"/>
          <w:color w:val="auto"/>
        </w:rPr>
      </w:pPr>
      <w:r>
        <w:rPr>
          <w:rFonts w:hint="eastAsia" w:ascii="宋体" w:hAnsi="宋体" w:cs="宋体"/>
          <w:color w:val="auto"/>
        </w:rPr>
        <w:t>双方确定，在本合同有效期内，甲方指定为甲方项目联系人，乙方指定为乙方项目联系人。</w:t>
      </w:r>
    </w:p>
    <w:p w14:paraId="0592566C">
      <w:pPr>
        <w:spacing w:line="360" w:lineRule="auto"/>
        <w:ind w:firstLine="420" w:firstLineChars="200"/>
        <w:rPr>
          <w:rFonts w:ascii="宋体" w:hAnsi="宋体" w:cs="宋体"/>
          <w:color w:val="auto"/>
        </w:rPr>
      </w:pPr>
      <w:r>
        <w:rPr>
          <w:rFonts w:hint="eastAsia" w:ascii="宋体" w:hAnsi="宋体" w:cs="宋体"/>
          <w:color w:val="auto"/>
        </w:rPr>
        <w:t>项目联系人承担以下责任：</w:t>
      </w:r>
    </w:p>
    <w:p w14:paraId="7E96A46A">
      <w:pPr>
        <w:spacing w:line="360" w:lineRule="auto"/>
        <w:ind w:firstLine="420" w:firstLineChars="200"/>
        <w:rPr>
          <w:rFonts w:ascii="宋体" w:hAnsi="宋体" w:cs="宋体"/>
          <w:color w:val="auto"/>
        </w:rPr>
      </w:pPr>
      <w:r>
        <w:rPr>
          <w:rFonts w:hint="eastAsia" w:ascii="宋体" w:hAnsi="宋体" w:cs="宋体"/>
          <w:color w:val="auto"/>
        </w:rPr>
        <w:t>（1）负责项目有关事宜的联络与沟通；</w:t>
      </w:r>
    </w:p>
    <w:p w14:paraId="75D1B952">
      <w:pPr>
        <w:spacing w:line="360" w:lineRule="auto"/>
        <w:ind w:firstLine="420" w:firstLineChars="200"/>
        <w:rPr>
          <w:rFonts w:ascii="宋体" w:hAnsi="宋体" w:cs="宋体"/>
          <w:color w:val="auto"/>
        </w:rPr>
      </w:pPr>
      <w:r>
        <w:rPr>
          <w:rFonts w:hint="eastAsia" w:ascii="宋体" w:hAnsi="宋体" w:cs="宋体"/>
          <w:color w:val="auto"/>
        </w:rPr>
        <w:t>（2）协助《</w:t>
      </w:r>
      <w:r>
        <w:rPr>
          <w:rFonts w:hint="eastAsia" w:ascii="宋体" w:hAnsi="宋体" w:cs="宋体"/>
          <w:color w:val="auto"/>
          <w:lang w:eastAsia="zh-CN"/>
        </w:rPr>
        <w:t>社会稳定风险评估报告、节能评估（承诺表）</w:t>
      </w:r>
      <w:r>
        <w:rPr>
          <w:rFonts w:hint="eastAsia" w:ascii="宋体" w:hAnsi="宋体" w:cs="宋体"/>
          <w:color w:val="auto"/>
        </w:rPr>
        <w:t>》的上报审批工作；</w:t>
      </w:r>
    </w:p>
    <w:p w14:paraId="0F267D4C">
      <w:pPr>
        <w:spacing w:line="360" w:lineRule="auto"/>
        <w:ind w:firstLine="420" w:firstLineChars="200"/>
        <w:rPr>
          <w:rFonts w:ascii="宋体" w:hAnsi="宋体" w:cs="宋体"/>
          <w:color w:val="auto"/>
        </w:rPr>
      </w:pPr>
      <w:r>
        <w:rPr>
          <w:rFonts w:hint="eastAsia" w:ascii="宋体" w:hAnsi="宋体" w:cs="宋体"/>
          <w:color w:val="auto"/>
        </w:rPr>
        <w:t>（3）解答有关《</w:t>
      </w:r>
      <w:r>
        <w:rPr>
          <w:rFonts w:hint="eastAsia" w:ascii="宋体" w:hAnsi="宋体" w:cs="宋体"/>
          <w:color w:val="auto"/>
          <w:lang w:eastAsia="zh-CN"/>
        </w:rPr>
        <w:t>社会稳定风险评估报告、节能评估（承诺表）</w:t>
      </w:r>
      <w:r>
        <w:rPr>
          <w:rFonts w:hint="eastAsia" w:ascii="宋体" w:hAnsi="宋体" w:cs="宋体"/>
          <w:color w:val="auto"/>
        </w:rPr>
        <w:t>》编制内容的问题。</w:t>
      </w:r>
    </w:p>
    <w:p w14:paraId="785DD054">
      <w:pPr>
        <w:spacing w:line="360" w:lineRule="auto"/>
        <w:ind w:firstLine="420" w:firstLineChars="200"/>
        <w:rPr>
          <w:rFonts w:ascii="宋体" w:hAnsi="宋体" w:cs="宋体"/>
          <w:color w:val="auto"/>
        </w:rPr>
      </w:pPr>
      <w:r>
        <w:rPr>
          <w:rFonts w:hint="eastAsia" w:ascii="宋体" w:hAnsi="宋体" w:cs="宋体"/>
          <w:color w:val="auto"/>
        </w:rPr>
        <w:t>一方变更项目联系人的，有义务及时以书面形式通知另一方。任何一方未履行及时通知义务，导致影响本合同的履行并造成损失的，应承担相应的法律责任。</w:t>
      </w:r>
    </w:p>
    <w:p w14:paraId="5440E7D8">
      <w:pPr>
        <w:spacing w:line="360" w:lineRule="auto"/>
        <w:ind w:firstLine="422" w:firstLineChars="200"/>
        <w:rPr>
          <w:rFonts w:ascii="宋体" w:hAnsi="宋体" w:cs="宋体"/>
          <w:b/>
          <w:bCs/>
          <w:color w:val="auto"/>
        </w:rPr>
      </w:pPr>
      <w:r>
        <w:rPr>
          <w:rFonts w:hint="eastAsia" w:ascii="宋体" w:hAnsi="宋体" w:cs="宋体"/>
          <w:b/>
          <w:bCs/>
          <w:color w:val="auto"/>
        </w:rPr>
        <w:t>第十条 保密条款</w:t>
      </w:r>
    </w:p>
    <w:p w14:paraId="6C214F6D">
      <w:pPr>
        <w:spacing w:line="360" w:lineRule="auto"/>
        <w:ind w:firstLine="420" w:firstLineChars="200"/>
        <w:rPr>
          <w:rFonts w:ascii="宋体" w:hAnsi="宋体" w:cs="宋体"/>
          <w:color w:val="auto"/>
        </w:rPr>
      </w:pPr>
      <w:r>
        <w:rPr>
          <w:rFonts w:hint="eastAsia" w:ascii="宋体" w:hAnsi="宋体" w:cs="宋体"/>
          <w:color w:val="auto"/>
        </w:rPr>
        <w:t>乙方郑重承诺：在本</w:t>
      </w:r>
      <w:r>
        <w:rPr>
          <w:color w:val="auto"/>
        </w:rPr>
        <w:fldChar w:fldCharType="begin"/>
      </w:r>
      <w:r>
        <w:rPr>
          <w:color w:val="auto"/>
        </w:rPr>
        <w:instrText xml:space="preserve"> HYPERLINK "http://www.wenku1.com/so?s=5400272476022044305&amp;entry=1&amp;q=%E5%90%88%E5%90%8C%E5%B1%A5%E8%A1%8C" \t "_blank" </w:instrText>
      </w:r>
      <w:r>
        <w:rPr>
          <w:color w:val="auto"/>
        </w:rPr>
        <w:fldChar w:fldCharType="separate"/>
      </w:r>
      <w:r>
        <w:rPr>
          <w:rStyle w:val="39"/>
          <w:rFonts w:hint="eastAsia" w:ascii="宋体" w:hAnsi="宋体" w:cs="宋体"/>
          <w:color w:val="auto"/>
          <w:szCs w:val="21"/>
        </w:rPr>
        <w:t>合同履行</w:t>
      </w:r>
      <w:r>
        <w:rPr>
          <w:rStyle w:val="39"/>
          <w:rFonts w:hint="eastAsia" w:ascii="宋体" w:hAnsi="宋体" w:cs="宋体"/>
          <w:color w:val="auto"/>
          <w:szCs w:val="21"/>
        </w:rPr>
        <w:fldChar w:fldCharType="end"/>
      </w:r>
      <w:r>
        <w:rPr>
          <w:rFonts w:hint="eastAsia" w:ascii="宋体" w:hAnsi="宋体" w:cs="宋体"/>
          <w:color w:val="auto"/>
        </w:rPr>
        <w:t>期间及履行完毕后5年内，所有涉密人员（包括但不限于项目小组人员及乙方内部有关人员）未经甲方同意，不会将甲方所提供的资料（包括但不限于技术资料和经营资料）和编制的《</w:t>
      </w:r>
      <w:r>
        <w:rPr>
          <w:rFonts w:hint="eastAsia" w:ascii="宋体" w:hAnsi="宋体" w:cs="宋体"/>
          <w:color w:val="auto"/>
          <w:lang w:eastAsia="zh-CN"/>
        </w:rPr>
        <w:t>社会稳定风险评估报告、节能评估（承诺表）</w:t>
      </w:r>
      <w:r>
        <w:rPr>
          <w:rFonts w:hint="eastAsia" w:ascii="宋体" w:hAnsi="宋体" w:cs="宋体"/>
          <w:color w:val="auto"/>
        </w:rPr>
        <w:t>》用于本项目以外的其他用途，如有违反，乙方保证承担相应的法律责任。</w:t>
      </w:r>
    </w:p>
    <w:p w14:paraId="479B2AF4">
      <w:pPr>
        <w:spacing w:line="360" w:lineRule="auto"/>
        <w:ind w:firstLine="422" w:firstLineChars="200"/>
        <w:rPr>
          <w:rFonts w:ascii="宋体" w:hAnsi="宋体" w:cs="宋体"/>
          <w:b/>
          <w:bCs/>
          <w:color w:val="auto"/>
        </w:rPr>
      </w:pPr>
      <w:r>
        <w:rPr>
          <w:rFonts w:hint="eastAsia" w:ascii="宋体" w:hAnsi="宋体" w:cs="宋体"/>
          <w:b/>
          <w:bCs/>
          <w:color w:val="auto"/>
        </w:rPr>
        <w:t>第十一条 争议解决</w:t>
      </w:r>
    </w:p>
    <w:p w14:paraId="77F1AC0B">
      <w:pPr>
        <w:spacing w:line="360" w:lineRule="auto"/>
        <w:ind w:firstLine="420" w:firstLineChars="200"/>
        <w:rPr>
          <w:rFonts w:ascii="宋体" w:hAnsi="宋体" w:cs="宋体"/>
          <w:color w:val="auto"/>
        </w:rPr>
      </w:pPr>
      <w:r>
        <w:rPr>
          <w:rFonts w:hint="eastAsia" w:ascii="宋体" w:hAnsi="宋体" w:cs="宋体"/>
          <w:color w:val="auto"/>
        </w:rPr>
        <w:t>双方因履行本合同而发生的或与本合同有关的一切争议，应协商或在有关主管部门主持下调解解决。协商、调解不成的，任何一方可向工程所在地有管辖权的人民法院起诉。</w:t>
      </w:r>
    </w:p>
    <w:p w14:paraId="326A03C5">
      <w:pPr>
        <w:spacing w:line="360" w:lineRule="auto"/>
        <w:ind w:firstLine="422" w:firstLineChars="200"/>
        <w:rPr>
          <w:rFonts w:ascii="宋体" w:hAnsi="宋体" w:cs="宋体"/>
          <w:b/>
          <w:bCs/>
          <w:color w:val="auto"/>
        </w:rPr>
      </w:pPr>
      <w:r>
        <w:rPr>
          <w:rFonts w:hint="eastAsia" w:ascii="宋体" w:hAnsi="宋体" w:cs="宋体"/>
          <w:b/>
          <w:bCs/>
          <w:color w:val="auto"/>
        </w:rPr>
        <w:t>第十二条合同生效</w:t>
      </w:r>
    </w:p>
    <w:p w14:paraId="166800A8">
      <w:pPr>
        <w:spacing w:line="360" w:lineRule="auto"/>
        <w:ind w:firstLine="420" w:firstLineChars="200"/>
        <w:rPr>
          <w:rFonts w:ascii="宋体" w:hAnsi="宋体" w:cs="宋体"/>
          <w:color w:val="auto"/>
        </w:rPr>
      </w:pPr>
      <w:r>
        <w:rPr>
          <w:rFonts w:hint="eastAsia" w:ascii="宋体" w:hAnsi="宋体" w:cs="宋体"/>
          <w:color w:val="auto"/>
        </w:rPr>
        <w:t>本合同经甲乙双方法定代表人或授权代表签章并加盖单位公章后生效。</w:t>
      </w:r>
    </w:p>
    <w:p w14:paraId="6A8D1135">
      <w:pPr>
        <w:spacing w:line="360" w:lineRule="auto"/>
        <w:ind w:firstLine="422" w:firstLineChars="200"/>
        <w:rPr>
          <w:rFonts w:ascii="宋体" w:hAnsi="宋体" w:cs="宋体"/>
          <w:b/>
          <w:bCs/>
          <w:color w:val="auto"/>
        </w:rPr>
      </w:pPr>
      <w:r>
        <w:rPr>
          <w:rFonts w:hint="eastAsia" w:ascii="宋体" w:hAnsi="宋体" w:cs="宋体"/>
          <w:b/>
          <w:bCs/>
          <w:color w:val="auto"/>
        </w:rPr>
        <w:t>第十三条 其他</w:t>
      </w:r>
    </w:p>
    <w:p w14:paraId="56D2C222">
      <w:pPr>
        <w:spacing w:line="360" w:lineRule="auto"/>
        <w:ind w:firstLine="420" w:firstLineChars="200"/>
        <w:rPr>
          <w:rFonts w:ascii="宋体" w:hAnsi="宋体" w:cs="宋体"/>
          <w:color w:val="auto"/>
        </w:rPr>
      </w:pPr>
      <w:r>
        <w:rPr>
          <w:rFonts w:hint="eastAsia" w:ascii="宋体" w:hAnsi="宋体" w:cs="宋体"/>
          <w:color w:val="auto"/>
        </w:rPr>
        <w:t>本合同正本</w:t>
      </w:r>
      <w:r>
        <w:rPr>
          <w:color w:val="auto"/>
        </w:rPr>
        <w:fldChar w:fldCharType="begin"/>
      </w:r>
      <w:r>
        <w:rPr>
          <w:color w:val="auto"/>
        </w:rPr>
        <w:instrText xml:space="preserve"> HYPERLINK "http://www.wenku1.com/so?s=5400272476022044305&amp;entry=1&amp;q=%E4%B8%80%E5%BC%8F%E4%B8%A4%E4%BB%BD" \t "_blank" </w:instrText>
      </w:r>
      <w:r>
        <w:rPr>
          <w:color w:val="auto"/>
        </w:rPr>
        <w:fldChar w:fldCharType="separate"/>
      </w:r>
      <w:r>
        <w:rPr>
          <w:rFonts w:hint="eastAsia" w:ascii="宋体" w:hAnsi="宋体" w:cs="宋体"/>
          <w:color w:val="auto"/>
        </w:rPr>
        <w:t>一式四份</w:t>
      </w:r>
      <w:r>
        <w:rPr>
          <w:rFonts w:hint="eastAsia" w:ascii="宋体" w:hAnsi="宋体" w:cs="宋体"/>
          <w:color w:val="auto"/>
        </w:rPr>
        <w:fldChar w:fldCharType="end"/>
      </w:r>
      <w:r>
        <w:rPr>
          <w:rFonts w:hint="eastAsia" w:ascii="宋体" w:hAnsi="宋体" w:cs="宋体"/>
          <w:color w:val="auto"/>
        </w:rPr>
        <w:t>，甲乙双方各执两份。</w:t>
      </w:r>
    </w:p>
    <w:p w14:paraId="0EEE7C64">
      <w:pPr>
        <w:spacing w:line="360" w:lineRule="auto"/>
        <w:ind w:firstLine="420" w:firstLineChars="200"/>
        <w:rPr>
          <w:color w:val="auto"/>
        </w:rPr>
      </w:pPr>
    </w:p>
    <w:p w14:paraId="512854AE">
      <w:pPr>
        <w:spacing w:line="360" w:lineRule="auto"/>
        <w:ind w:firstLine="420" w:firstLineChars="200"/>
        <w:rPr>
          <w:color w:val="auto"/>
        </w:rPr>
      </w:pPr>
      <w:r>
        <w:rPr>
          <w:rFonts w:hint="eastAsia"/>
          <w:color w:val="auto"/>
        </w:rPr>
        <w:t>甲方（公章）：                                乙方（公章）：</w:t>
      </w:r>
    </w:p>
    <w:p w14:paraId="0FDDEFEE">
      <w:pPr>
        <w:spacing w:line="360" w:lineRule="auto"/>
        <w:ind w:firstLine="420" w:firstLineChars="200"/>
        <w:rPr>
          <w:color w:val="auto"/>
        </w:rPr>
      </w:pPr>
      <w:r>
        <w:rPr>
          <w:rFonts w:hint="eastAsia"/>
          <w:color w:val="auto"/>
        </w:rPr>
        <w:t>法定代表人                                    法定代表人</w:t>
      </w:r>
    </w:p>
    <w:p w14:paraId="342BD32F">
      <w:pPr>
        <w:spacing w:line="360" w:lineRule="auto"/>
        <w:ind w:firstLine="420" w:firstLineChars="200"/>
        <w:rPr>
          <w:color w:val="auto"/>
        </w:rPr>
      </w:pPr>
      <w:r>
        <w:rPr>
          <w:rFonts w:hint="eastAsia"/>
          <w:color w:val="auto"/>
        </w:rPr>
        <w:t>（或授权代理人）                             （或授权代理人）</w:t>
      </w:r>
    </w:p>
    <w:p w14:paraId="584945F6">
      <w:pPr>
        <w:spacing w:line="360" w:lineRule="auto"/>
        <w:ind w:firstLine="420" w:firstLineChars="200"/>
        <w:rPr>
          <w:color w:val="auto"/>
        </w:rPr>
      </w:pPr>
      <w:r>
        <w:rPr>
          <w:rFonts w:hint="eastAsia"/>
          <w:color w:val="auto"/>
        </w:rPr>
        <w:t>签字：                                        签字：</w:t>
      </w:r>
    </w:p>
    <w:p w14:paraId="0B98610B">
      <w:pPr>
        <w:spacing w:line="360" w:lineRule="auto"/>
        <w:ind w:firstLine="420" w:firstLineChars="200"/>
        <w:rPr>
          <w:color w:val="auto"/>
        </w:rPr>
      </w:pPr>
      <w:r>
        <w:rPr>
          <w:rFonts w:hint="eastAsia"/>
          <w:color w:val="auto"/>
        </w:rPr>
        <w:t>联系电话：                                    联系电话：</w:t>
      </w:r>
    </w:p>
    <w:p w14:paraId="64D49CE4">
      <w:pPr>
        <w:spacing w:line="360" w:lineRule="auto"/>
        <w:ind w:firstLine="420" w:firstLineChars="200"/>
        <w:rPr>
          <w:color w:val="auto"/>
        </w:rPr>
      </w:pPr>
      <w:r>
        <w:rPr>
          <w:rFonts w:hint="eastAsia"/>
          <w:color w:val="auto"/>
        </w:rPr>
        <w:t>开户银行：                                   开户银行：</w:t>
      </w:r>
    </w:p>
    <w:p w14:paraId="2FD91478">
      <w:pPr>
        <w:spacing w:line="360" w:lineRule="auto"/>
        <w:ind w:firstLine="420" w:firstLineChars="200"/>
        <w:rPr>
          <w:color w:val="auto"/>
        </w:rPr>
      </w:pPr>
      <w:r>
        <w:rPr>
          <w:rFonts w:hint="eastAsia"/>
          <w:color w:val="auto"/>
        </w:rPr>
        <w:t>银行账号：银行账号：</w:t>
      </w:r>
    </w:p>
    <w:p w14:paraId="00F31D20">
      <w:pPr>
        <w:spacing w:line="360" w:lineRule="auto"/>
        <w:ind w:firstLine="420" w:firstLineChars="200"/>
        <w:rPr>
          <w:color w:val="auto"/>
        </w:rPr>
      </w:pPr>
      <w:r>
        <w:rPr>
          <w:rFonts w:hint="eastAsia"/>
          <w:color w:val="auto"/>
        </w:rPr>
        <w:t>日   期：                                     日   期：</w:t>
      </w:r>
    </w:p>
    <w:p w14:paraId="48940A75">
      <w:pPr>
        <w:rPr>
          <w:color w:val="auto"/>
          <w:sz w:val="36"/>
        </w:rPr>
      </w:pPr>
    </w:p>
    <w:p w14:paraId="5B8FE2CA">
      <w:pPr>
        <w:spacing w:line="360" w:lineRule="auto"/>
        <w:jc w:val="center"/>
        <w:rPr>
          <w:b/>
          <w:bCs/>
          <w:color w:val="auto"/>
          <w:kern w:val="44"/>
          <w:sz w:val="36"/>
          <w:szCs w:val="36"/>
        </w:rPr>
      </w:pPr>
    </w:p>
    <w:p w14:paraId="4389DF4E">
      <w:pPr>
        <w:spacing w:line="360" w:lineRule="auto"/>
        <w:jc w:val="center"/>
        <w:rPr>
          <w:b/>
          <w:bCs/>
          <w:color w:val="auto"/>
          <w:kern w:val="44"/>
          <w:sz w:val="36"/>
          <w:szCs w:val="36"/>
        </w:rPr>
      </w:pPr>
    </w:p>
    <w:p w14:paraId="10C11532">
      <w:pPr>
        <w:spacing w:line="360" w:lineRule="auto"/>
        <w:jc w:val="center"/>
        <w:rPr>
          <w:b/>
          <w:bCs/>
          <w:color w:val="auto"/>
          <w:kern w:val="44"/>
          <w:sz w:val="36"/>
          <w:szCs w:val="36"/>
        </w:rPr>
      </w:pPr>
    </w:p>
    <w:p w14:paraId="70D2CEF3">
      <w:pPr>
        <w:rPr>
          <w:b/>
          <w:bCs/>
          <w:color w:val="auto"/>
          <w:kern w:val="44"/>
          <w:sz w:val="36"/>
          <w:szCs w:val="36"/>
        </w:rPr>
      </w:pPr>
      <w:r>
        <w:rPr>
          <w:b/>
          <w:bCs/>
          <w:color w:val="auto"/>
          <w:kern w:val="44"/>
          <w:sz w:val="36"/>
          <w:szCs w:val="36"/>
        </w:rPr>
        <w:br w:type="page"/>
      </w:r>
    </w:p>
    <w:p w14:paraId="56634D96">
      <w:pPr>
        <w:pStyle w:val="2"/>
        <w:rPr>
          <w:color w:val="auto"/>
        </w:rPr>
      </w:pPr>
      <w:bookmarkStart w:id="108" w:name="_Toc15541"/>
      <w:r>
        <w:rPr>
          <w:color w:val="auto"/>
        </w:rPr>
        <w:t>第四章 项目需求</w:t>
      </w:r>
      <w:bookmarkEnd w:id="105"/>
      <w:bookmarkEnd w:id="106"/>
      <w:bookmarkEnd w:id="108"/>
    </w:p>
    <w:p w14:paraId="250EF336">
      <w:pPr>
        <w:pStyle w:val="4"/>
        <w:keepNext w:val="0"/>
        <w:keepLines w:val="0"/>
        <w:widowControl/>
        <w:spacing w:before="0" w:after="0" w:line="360" w:lineRule="auto"/>
        <w:ind w:firstLine="422" w:firstLineChars="200"/>
        <w:rPr>
          <w:rFonts w:ascii="宋体" w:hAnsi="宋体" w:cs="宋体"/>
          <w:color w:val="auto"/>
          <w:sz w:val="21"/>
          <w:szCs w:val="21"/>
        </w:rPr>
      </w:pPr>
      <w:bookmarkStart w:id="109" w:name="_Toc7243"/>
      <w:r>
        <w:rPr>
          <w:rFonts w:hint="eastAsia" w:ascii="宋体" w:hAnsi="宋体" w:cs="宋体"/>
          <w:color w:val="auto"/>
          <w:sz w:val="21"/>
          <w:szCs w:val="21"/>
        </w:rPr>
        <w:t>一、项目概况</w:t>
      </w:r>
    </w:p>
    <w:p w14:paraId="03DC385F">
      <w:pPr>
        <w:widowControl/>
        <w:spacing w:line="360" w:lineRule="auto"/>
        <w:ind w:firstLine="420" w:firstLineChars="200"/>
        <w:rPr>
          <w:rFonts w:ascii="宋体" w:hAnsi="宋体" w:cs="宋体"/>
          <w:color w:val="auto"/>
          <w:szCs w:val="21"/>
        </w:rPr>
      </w:pPr>
      <w:r>
        <w:rPr>
          <w:rFonts w:hint="eastAsia" w:ascii="宋体" w:hAnsi="宋体" w:cs="宋体"/>
          <w:color w:val="auto"/>
          <w:kern w:val="0"/>
          <w:szCs w:val="21"/>
        </w:rPr>
        <w:t>本项目包含</w:t>
      </w:r>
      <w:r>
        <w:rPr>
          <w:rStyle w:val="33"/>
          <w:rFonts w:hint="eastAsia" w:ascii="宋体" w:hAnsi="宋体" w:cs="宋体"/>
          <w:b w:val="0"/>
          <w:color w:val="auto"/>
          <w:kern w:val="0"/>
          <w:szCs w:val="21"/>
        </w:rPr>
        <w:t>住院入口（服务大厅）扩建、既有建筑改造</w:t>
      </w:r>
      <w:r>
        <w:rPr>
          <w:rFonts w:hint="eastAsia" w:ascii="宋体" w:hAnsi="宋体" w:cs="宋体"/>
          <w:color w:val="auto"/>
          <w:kern w:val="0"/>
          <w:szCs w:val="21"/>
          <w:lang w:val="en-US" w:eastAsia="zh-CN"/>
        </w:rPr>
        <w:t>二</w:t>
      </w:r>
      <w:r>
        <w:rPr>
          <w:rFonts w:hint="eastAsia" w:ascii="宋体" w:hAnsi="宋体" w:cs="宋体"/>
          <w:color w:val="auto"/>
          <w:kern w:val="0"/>
          <w:szCs w:val="21"/>
        </w:rPr>
        <w:t>个子项，均为扬大附院西区院内改扩建工程，各子项建设内容、建设规模及投资匡算如下：</w:t>
      </w:r>
    </w:p>
    <w:p w14:paraId="5F8B0A93">
      <w:pPr>
        <w:widowControl/>
        <w:spacing w:line="360" w:lineRule="auto"/>
        <w:ind w:firstLine="422" w:firstLineChars="200"/>
        <w:rPr>
          <w:rFonts w:ascii="宋体" w:hAnsi="宋体" w:cs="宋体"/>
          <w:color w:val="auto"/>
          <w:szCs w:val="21"/>
        </w:rPr>
      </w:pPr>
      <w:r>
        <w:rPr>
          <w:rStyle w:val="33"/>
          <w:rFonts w:hint="eastAsia" w:ascii="宋体" w:hAnsi="宋体" w:cs="宋体"/>
          <w:bCs/>
          <w:color w:val="auto"/>
          <w:szCs w:val="21"/>
        </w:rPr>
        <w:t>1.住院入口（服务大厅）扩建项目：</w:t>
      </w:r>
      <w:r>
        <w:rPr>
          <w:rFonts w:hint="eastAsia" w:ascii="宋体" w:hAnsi="宋体" w:cs="宋体"/>
          <w:color w:val="auto"/>
          <w:szCs w:val="21"/>
        </w:rPr>
        <w:t>采用住院入口半户外区域加建二层主体结构，三层配套架设封闭式空中连廊。其中一层扩建建筑面积941.80㎡，用于扩容出入院服务大厅；二层建筑面积990.97㎡，规划体检用房与预留业务用房；三层连廊建筑面积 365.24㎡，实现医技楼与后勤附属楼互联互通，项目总扩建建筑面积约2300㎡，工程总投资匡算2030.89万元。</w:t>
      </w:r>
    </w:p>
    <w:p w14:paraId="30791792">
      <w:pPr>
        <w:widowControl/>
        <w:spacing w:line="360" w:lineRule="auto"/>
        <w:ind w:firstLine="422" w:firstLineChars="200"/>
        <w:rPr>
          <w:rFonts w:ascii="宋体" w:hAnsi="宋体" w:cs="宋体"/>
          <w:color w:val="auto"/>
          <w:szCs w:val="21"/>
        </w:rPr>
      </w:pPr>
      <w:r>
        <w:rPr>
          <w:rStyle w:val="33"/>
          <w:rFonts w:hint="eastAsia" w:ascii="宋体" w:hAnsi="宋体" w:cs="宋体"/>
          <w:bCs/>
          <w:color w:val="auto"/>
          <w:szCs w:val="21"/>
        </w:rPr>
        <w:t>2.既有建筑改造项目：</w:t>
      </w:r>
      <w:r>
        <w:rPr>
          <w:rFonts w:hint="eastAsia" w:ascii="宋体" w:hAnsi="宋体" w:cs="宋体"/>
          <w:color w:val="auto"/>
          <w:szCs w:val="21"/>
        </w:rPr>
        <w:t>改造范围覆盖西区门诊楼、急诊转运平台、住院扩建配套区域、急诊楼及医技楼原有建筑，改造总面积2010㎡。主要实施院内功能布局优化、室内装修翻新、医疗设施设备更新、建筑安全隐患整治、院内智慧物流系统升级，重点落地中心手术室扩容、内镜中心新建、眼科迁建、口腔科扩容、急诊急救中心提质改造等专项工程，总投资匡算9100.25万元。</w:t>
      </w:r>
    </w:p>
    <w:p w14:paraId="0B0F659F">
      <w:pPr>
        <w:pStyle w:val="4"/>
        <w:keepNext w:val="0"/>
        <w:keepLines w:val="0"/>
        <w:widowControl/>
        <w:spacing w:before="0" w:after="0" w:line="360" w:lineRule="auto"/>
        <w:ind w:firstLine="422" w:firstLineChars="200"/>
        <w:rPr>
          <w:rFonts w:ascii="宋体" w:hAnsi="宋体" w:cs="宋体"/>
          <w:color w:val="auto"/>
          <w:sz w:val="21"/>
          <w:szCs w:val="21"/>
        </w:rPr>
      </w:pPr>
      <w:r>
        <w:rPr>
          <w:rFonts w:hint="eastAsia" w:ascii="宋体" w:hAnsi="宋体" w:cs="宋体"/>
          <w:color w:val="auto"/>
          <w:sz w:val="21"/>
          <w:szCs w:val="21"/>
        </w:rPr>
        <w:t>二、采购需求</w:t>
      </w:r>
    </w:p>
    <w:p w14:paraId="10786229">
      <w:pPr>
        <w:widowControl/>
        <w:spacing w:line="360" w:lineRule="auto"/>
        <w:ind w:firstLine="442" w:firstLineChars="200"/>
        <w:rPr>
          <w:rFonts w:hint="eastAsia" w:ascii="宋体" w:hAnsi="宋体" w:cs="宋体"/>
          <w:b/>
          <w:bCs/>
          <w:color w:val="auto"/>
          <w:sz w:val="22"/>
          <w:szCs w:val="22"/>
          <w:u w:val="none"/>
          <w:lang w:val="en-US" w:eastAsia="zh-CN"/>
        </w:rPr>
      </w:pPr>
      <w:r>
        <w:rPr>
          <w:rFonts w:hint="eastAsia" w:ascii="宋体" w:hAnsi="宋体" w:cs="宋体"/>
          <w:b/>
          <w:bCs/>
          <w:color w:val="auto"/>
          <w:sz w:val="22"/>
          <w:szCs w:val="22"/>
          <w:u w:val="none"/>
          <w:lang w:val="en-US" w:eastAsia="zh-CN"/>
        </w:rPr>
        <w:t>（一）编制社会稳定风险评估报告要求</w:t>
      </w:r>
    </w:p>
    <w:p w14:paraId="15D4A6C2">
      <w:pPr>
        <w:widowControl/>
        <w:spacing w:line="360" w:lineRule="auto"/>
        <w:ind w:firstLine="420" w:firstLineChars="200"/>
        <w:rPr>
          <w:rFonts w:hint="default" w:ascii="宋体" w:hAnsi="宋体" w:cs="宋体"/>
          <w:color w:val="auto"/>
          <w:szCs w:val="21"/>
          <w:lang w:val="en-US" w:eastAsia="zh-CN"/>
        </w:rPr>
      </w:pPr>
      <w:r>
        <w:rPr>
          <w:rFonts w:hint="eastAsia" w:ascii="宋体" w:hAnsi="宋体" w:cs="宋体"/>
          <w:color w:val="auto"/>
          <w:szCs w:val="21"/>
          <w:lang w:val="en-US" w:eastAsia="zh-CN"/>
        </w:rPr>
        <w:t>1.工作内容</w:t>
      </w:r>
    </w:p>
    <w:p w14:paraId="5330DF1D">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须依据规范标准完成本项目社会稳定风险评估全流程工作，包含但不限于：</w:t>
      </w:r>
    </w:p>
    <w:p w14:paraId="03C49A84">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（1）编制评估工作方案：明确评估思路、调查范围、调查方式、时间计划、人员安排，报采购人确认。</w:t>
      </w:r>
    </w:p>
    <w:p w14:paraId="6D990EDE">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（2）资料收集研读：收集项目立项、规划、土地、环评等基础资料；梳理法律法规、规划政策。</w:t>
      </w:r>
    </w:p>
    <w:p w14:paraId="0012E7B4">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3）风险调查（公众参与）：现场踏勘、走访利益相关方；采取座谈、问卷、入户访谈、舆情收集等多种方式开展公众调查，留存完整调查原始记录、影像、问卷台账，保证调查样本真实有效。调查对象包含周边居民、企事业单位、社区、相关职能部门。</w:t>
      </w:r>
    </w:p>
    <w:p w14:paraId="6258CD12">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（4）风险识别与分析：识别征地拆迁、交通噪声、就医影响、环境影响、民生诉求、信访舆情等各类风险因素；分析风险发生概率、影响程度、风险可控性；判定项目社会稳定风险等级（高 / 中 / 低）。</w:t>
      </w:r>
    </w:p>
    <w:p w14:paraId="3B4082FE">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（5）制定风险防范化解与应急处置预案：针对识别出的风险点，提出可落地、可操作的风险防控措施、矛盾化解方案、应急处置建议。</w:t>
      </w:r>
    </w:p>
    <w:p w14:paraId="49F62233">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（6）编制稳评报告：完成社会稳定风险评估报告（含附件、公众调查材料、风险清单、应急预案）。</w:t>
      </w:r>
    </w:p>
    <w:p w14:paraId="0E3D23A9">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（7）配合专家评审：组织 / 参加稳评专家评审会，汇报评估成果，根据专家意见修改完善报告。</w:t>
      </w:r>
    </w:p>
    <w:p w14:paraId="6B81B12F">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（8）配合主管部门备案：按照政法委 / 发改等备案部门要求修改材料，提交备案，直至取得备案意见；在项目后续审批阶段，配合主管部门答疑、补充材料。</w:t>
      </w:r>
    </w:p>
    <w:p w14:paraId="5CF25F96">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（9）后期配套服务：项目实施阶段，采购人需要时提供稳评相关咨询；如发生信访舆情，配合做好稳评技术支撑。</w:t>
      </w:r>
    </w:p>
    <w:p w14:paraId="3BF835FB">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2.技术与质量要求</w:t>
      </w:r>
    </w:p>
    <w:p w14:paraId="021176E2">
      <w:pPr>
        <w:widowControl/>
        <w:spacing w:line="360" w:lineRule="auto"/>
        <w:ind w:firstLine="420" w:firstLineChars="200"/>
        <w:rPr>
          <w:rFonts w:hint="default" w:ascii="宋体" w:hAnsi="宋体" w:cs="宋体"/>
          <w:color w:val="auto"/>
          <w:szCs w:val="21"/>
          <w:lang w:val="en-US" w:eastAsia="zh-CN"/>
        </w:rPr>
      </w:pPr>
      <w:r>
        <w:rPr>
          <w:rFonts w:hint="eastAsia" w:ascii="宋体" w:hAnsi="宋体" w:cs="宋体"/>
          <w:color w:val="auto"/>
          <w:szCs w:val="21"/>
          <w:lang w:val="en-US" w:eastAsia="zh-CN"/>
        </w:rPr>
        <w:t>（1）评估工作流程、调查方法、报告深度必须符合江苏省及属地稳评管理规定，成果须通过主管部门备案为验收节点。</w:t>
      </w:r>
    </w:p>
    <w:p w14:paraId="271AEFC7">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（2）公众调查必须真实，严禁编造问卷、访谈记录；采购人有权抽查调查原始资料。</w:t>
      </w:r>
    </w:p>
    <w:p w14:paraId="6C9BAE0D">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（3）报告结论客观公正，风险识别全面，防范措施针对性强，不能简单套用模板。</w:t>
      </w:r>
    </w:p>
    <w:p w14:paraId="6579A9CB">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（4）全过程资料归档完整，原始调查资料、会议记录、影像资料一并交付采购人。</w:t>
      </w:r>
    </w:p>
    <w:p w14:paraId="77FCC4DF">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3.成果与交付要求</w:t>
      </w:r>
    </w:p>
    <w:p w14:paraId="4C9F517B">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（1）成果文件：社会稳定风险评估报告书、全套附件（公众调查表、座谈记录、现场照片、风险清单、应急预案、专家评审意见、备案材料）。</w:t>
      </w:r>
    </w:p>
    <w:p w14:paraId="799F789B">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（2）交付份数：纸质版 4 套（1 正 3 副）；电子版全套 PDF + 可编辑 Word，光盘 / U 盘 1 套。</w:t>
      </w:r>
    </w:p>
    <w:p w14:paraId="4D85B361">
      <w:pPr>
        <w:widowControl/>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（3）交付时限：合同签订后15日历天内提交初稿；评审修改后15天内提交终稿并完成备案。</w:t>
      </w:r>
    </w:p>
    <w:p w14:paraId="048CBA87">
      <w:pPr>
        <w:widowControl/>
        <w:spacing w:line="360" w:lineRule="auto"/>
        <w:ind w:firstLine="442" w:firstLineChars="200"/>
        <w:rPr>
          <w:rFonts w:hint="eastAsia" w:ascii="宋体" w:hAnsi="宋体" w:cs="宋体"/>
          <w:b/>
          <w:bCs/>
          <w:color w:val="auto"/>
          <w:sz w:val="22"/>
          <w:szCs w:val="22"/>
          <w:u w:val="none"/>
          <w:lang w:val="en-US" w:eastAsia="zh-CN"/>
        </w:rPr>
      </w:pPr>
      <w:r>
        <w:rPr>
          <w:rFonts w:hint="eastAsia" w:ascii="宋体" w:hAnsi="宋体" w:cs="宋体"/>
          <w:b/>
          <w:bCs/>
          <w:color w:val="auto"/>
          <w:sz w:val="22"/>
          <w:szCs w:val="22"/>
          <w:u w:val="none"/>
          <w:lang w:val="en-US" w:eastAsia="zh-CN"/>
        </w:rPr>
        <w:t>（二）编制节能评估报告（节能承诺表）要求</w:t>
      </w:r>
    </w:p>
    <w:p w14:paraId="66A25F81">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本项目同时依据《固定资产投资项目节能审查和碳排放评价办法》（国家发展改革委令第31号）及江苏省、扬州市节能审查相关规定，无需编制节能报告，实行节能告知承诺管理，仅完成节能承诺表填报、能耗测算、报备配合工作。</w:t>
      </w:r>
    </w:p>
    <w:p w14:paraId="34B23702">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1.工作内容</w:t>
      </w:r>
    </w:p>
    <w:p w14:paraId="3606A8C5">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（1）收集项目可研、图纸、设备清单、暖通、配电、医用设备等基础资料；</w:t>
      </w:r>
    </w:p>
    <w:p w14:paraId="5EDBA711">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（2）开展项目能耗核算（电、天然气、水等各类能源实物量、折标煤当量值测算）；</w:t>
      </w:r>
    </w:p>
    <w:p w14:paraId="4D51FE13">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（3）对照扬州市发改部门标准模板，完整填报《固定资产投资项目节能承诺表》；</w:t>
      </w:r>
    </w:p>
    <w:p w14:paraId="20C05FA7">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（4）核查项目方案、主要用能设备能效、节能措施、能源计量方案，确认符合强制性节能标准、无淘汰落后设备；</w:t>
      </w:r>
    </w:p>
    <w:p w14:paraId="5EDA8800">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（5）配合建设单位在线平台填报、提交报备，对接主管部门答疑，按主管部门意见修改完善承诺表及配套测算资料，直至报备完成；</w:t>
      </w:r>
    </w:p>
    <w:p w14:paraId="48E159C6">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（6）提供后续节能验收相关技术支撑（承诺内容核查、资料备查）。</w:t>
      </w:r>
    </w:p>
    <w:p w14:paraId="1DFB1C23">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2.编制与测算技术要求</w:t>
      </w:r>
    </w:p>
    <w:p w14:paraId="622B41D1">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（1）测算依据：《综合能耗计算通则》GB/T2589、现行节能法规、公共建筑节能设计标准、能效强制性标准、江苏省及扬州市节能告知承诺管理要求；折算系数、碳排放因子采用主管部门最新要求取值。</w:t>
      </w:r>
    </w:p>
    <w:p w14:paraId="429D69E6">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（2）能耗核算要求：分能源品种逐项核算，明确边界、运营工况、负荷取值逻辑；区分建设期能耗、运营期能耗；年综合能耗、年用电量等核心指标必须准确，测算底稿可追溯、可复核。</w:t>
      </w:r>
    </w:p>
    <w:p w14:paraId="51265CA1">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（3）承诺表填报：严格使用扬州市发改主管部门统一制式模板，内容完整、逻辑自洽，所有承诺条款与项目方案、测算数据保持一致，不得弄虚作假、规避监管。</w:t>
      </w:r>
    </w:p>
    <w:p w14:paraId="5A91DF9E">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（4）成果质量责任：投标人对能耗测算、承诺表数据真实性、合规性负责；如因测算错误、填报不合规导致报备退回、无法完成告知承诺备案，须无偿修改、重新测算填报，承担相应工期延误责任。</w:t>
      </w:r>
    </w:p>
    <w:p w14:paraId="086BCEB1">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3.成果交付要求</w:t>
      </w:r>
    </w:p>
    <w:p w14:paraId="3E0EB26F">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（1）正式版《固定资产投资项目节能承诺表》</w:t>
      </w:r>
    </w:p>
    <w:p w14:paraId="01169F6C">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（2）配套能耗测算计算书（Excel，含公式、参数、折算过程）；</w:t>
      </w:r>
    </w:p>
    <w:p w14:paraId="5B96227D">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（3）全部资料满足扬州市发改部门告知承诺报备入库要求。</w:t>
      </w:r>
    </w:p>
    <w:p w14:paraId="76F57011">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4.服务配合要求</w:t>
      </w:r>
    </w:p>
    <w:p w14:paraId="21068FAF">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（1）安排熟悉江苏省、扬州市医院类项目节能告知承诺业务的技术人员负责本项目；</w:t>
      </w:r>
    </w:p>
    <w:p w14:paraId="5C44A6FF">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（2）配合建设单位、审批部门线上答疑、补正材料；</w:t>
      </w:r>
    </w:p>
    <w:p w14:paraId="4D8462FA">
      <w:pPr>
        <w:widowControl/>
        <w:spacing w:line="360" w:lineRule="auto"/>
        <w:ind w:firstLine="440" w:firstLineChars="200"/>
        <w:rPr>
          <w:rFonts w:hint="eastAsia" w:ascii="宋体" w:hAnsi="宋体" w:cs="宋体"/>
          <w:b w:val="0"/>
          <w:bCs w:val="0"/>
          <w:color w:val="auto"/>
          <w:sz w:val="22"/>
          <w:szCs w:val="22"/>
          <w:u w:val="none"/>
          <w:lang w:val="en-US" w:eastAsia="zh-CN"/>
        </w:rPr>
      </w:pPr>
      <w:r>
        <w:rPr>
          <w:rFonts w:hint="eastAsia" w:ascii="宋体" w:hAnsi="宋体" w:cs="宋体"/>
          <w:b w:val="0"/>
          <w:bCs w:val="0"/>
          <w:color w:val="auto"/>
          <w:sz w:val="22"/>
          <w:szCs w:val="22"/>
          <w:u w:val="none"/>
          <w:lang w:val="en-US" w:eastAsia="zh-CN"/>
        </w:rPr>
        <w:t>（3）项目后期节能验收阶段，可提供承诺指标复核、资料解释技术支持。</w:t>
      </w:r>
    </w:p>
    <w:p w14:paraId="2EE16FC9">
      <w:pPr>
        <w:widowControl/>
        <w:spacing w:line="360" w:lineRule="auto"/>
        <w:ind w:firstLine="442" w:firstLineChars="200"/>
        <w:rPr>
          <w:rFonts w:hint="default" w:ascii="宋体" w:hAnsi="宋体" w:cs="宋体"/>
          <w:b/>
          <w:bCs/>
          <w:color w:val="auto"/>
          <w:sz w:val="22"/>
          <w:szCs w:val="22"/>
          <w:u w:val="none"/>
          <w:lang w:val="en-US" w:eastAsia="zh-CN"/>
        </w:rPr>
      </w:pPr>
      <w:r>
        <w:rPr>
          <w:rFonts w:hint="eastAsia" w:ascii="宋体" w:hAnsi="宋体" w:cs="宋体"/>
          <w:b/>
          <w:bCs/>
          <w:color w:val="auto"/>
          <w:sz w:val="22"/>
          <w:szCs w:val="22"/>
          <w:u w:val="none"/>
          <w:lang w:eastAsia="zh-CN"/>
        </w:rPr>
        <w:t>（</w:t>
      </w:r>
      <w:r>
        <w:rPr>
          <w:rFonts w:hint="eastAsia" w:ascii="宋体" w:hAnsi="宋体" w:cs="宋体"/>
          <w:b/>
          <w:bCs/>
          <w:color w:val="auto"/>
          <w:sz w:val="22"/>
          <w:szCs w:val="22"/>
          <w:u w:val="none"/>
          <w:lang w:val="en-US" w:eastAsia="zh-CN"/>
        </w:rPr>
        <w:t>三</w:t>
      </w:r>
      <w:r>
        <w:rPr>
          <w:rFonts w:hint="eastAsia" w:ascii="宋体" w:hAnsi="宋体" w:cs="宋体"/>
          <w:b/>
          <w:bCs/>
          <w:color w:val="auto"/>
          <w:sz w:val="22"/>
          <w:szCs w:val="22"/>
          <w:u w:val="none"/>
          <w:lang w:eastAsia="zh-CN"/>
        </w:rPr>
        <w:t>）</w:t>
      </w:r>
      <w:r>
        <w:rPr>
          <w:rFonts w:hint="eastAsia" w:ascii="宋体" w:hAnsi="宋体" w:cs="宋体"/>
          <w:b/>
          <w:bCs/>
          <w:color w:val="auto"/>
          <w:sz w:val="22"/>
          <w:szCs w:val="22"/>
          <w:u w:val="none"/>
          <w:lang w:val="en-US" w:eastAsia="zh-CN"/>
        </w:rPr>
        <w:t>其他要求</w:t>
      </w:r>
    </w:p>
    <w:p w14:paraId="00CCD888">
      <w:pPr>
        <w:widowControl/>
        <w:spacing w:line="360" w:lineRule="auto"/>
        <w:ind w:firstLine="440" w:firstLineChars="200"/>
        <w:rPr>
          <w:rFonts w:hint="eastAsia" w:ascii="宋体" w:hAnsi="宋体" w:cs="宋体"/>
          <w:b w:val="0"/>
          <w:bCs w:val="0"/>
          <w:color w:val="auto"/>
          <w:sz w:val="22"/>
          <w:szCs w:val="22"/>
          <w:u w:val="none"/>
        </w:rPr>
      </w:pPr>
      <w:r>
        <w:rPr>
          <w:rFonts w:hint="eastAsia" w:ascii="宋体" w:hAnsi="宋体" w:cs="宋体"/>
          <w:b w:val="0"/>
          <w:bCs w:val="0"/>
          <w:color w:val="auto"/>
          <w:sz w:val="22"/>
          <w:szCs w:val="22"/>
          <w:u w:val="none"/>
          <w:lang w:val="en-US" w:eastAsia="zh-CN"/>
        </w:rPr>
        <w:t>二</w:t>
      </w:r>
      <w:r>
        <w:rPr>
          <w:rFonts w:hint="eastAsia" w:ascii="宋体" w:hAnsi="宋体" w:cs="宋体"/>
          <w:b w:val="0"/>
          <w:bCs w:val="0"/>
          <w:color w:val="auto"/>
          <w:sz w:val="22"/>
          <w:szCs w:val="22"/>
          <w:u w:val="none"/>
        </w:rPr>
        <w:t>个子项目的</w:t>
      </w:r>
      <w:r>
        <w:rPr>
          <w:rFonts w:hint="eastAsia" w:ascii="宋体" w:hAnsi="宋体" w:cs="宋体"/>
          <w:b w:val="0"/>
          <w:bCs w:val="0"/>
          <w:color w:val="auto"/>
          <w:sz w:val="22"/>
          <w:szCs w:val="22"/>
          <w:u w:val="none"/>
          <w:lang w:val="en-US" w:eastAsia="zh-CN"/>
        </w:rPr>
        <w:t>编制</w:t>
      </w:r>
      <w:r>
        <w:rPr>
          <w:rFonts w:hint="eastAsia" w:ascii="宋体" w:hAnsi="宋体" w:cs="宋体"/>
          <w:b w:val="0"/>
          <w:bCs w:val="0"/>
          <w:color w:val="auto"/>
          <w:sz w:val="22"/>
          <w:szCs w:val="22"/>
          <w:u w:val="none"/>
        </w:rPr>
        <w:t>社会稳定风险评估报告项目实行分项报价；若采购人因整体规划调整缩减或合并编制子项数量，成交供应商须无条件配合，按成交分项单价结算实际受托项目费用。</w:t>
      </w:r>
    </w:p>
    <w:p w14:paraId="1999868C">
      <w:pPr>
        <w:widowControl/>
        <w:spacing w:line="360" w:lineRule="auto"/>
        <w:ind w:firstLine="440" w:firstLineChars="200"/>
        <w:rPr>
          <w:rFonts w:ascii="宋体" w:hAnsi="宋体" w:cs="宋体"/>
          <w:b w:val="0"/>
          <w:bCs w:val="0"/>
          <w:color w:val="auto"/>
          <w:sz w:val="22"/>
          <w:szCs w:val="22"/>
          <w:u w:val="none"/>
        </w:rPr>
      </w:pPr>
      <w:r>
        <w:rPr>
          <w:rFonts w:hint="eastAsia" w:ascii="宋体" w:hAnsi="宋体" w:cs="宋体"/>
          <w:b w:val="0"/>
          <w:bCs w:val="0"/>
          <w:color w:val="auto"/>
          <w:sz w:val="22"/>
          <w:szCs w:val="22"/>
          <w:u w:val="none"/>
        </w:rPr>
        <w:t>供应商的报价应包含为完成本次采购项目服务内容所产生的一切编制费、人工费、管理费、评估报告专家评审费、评审场地租赁费、专家交通食宿费、误餐费、赶工费、利润、按国家规定应缴纳的税金，以及按</w:t>
      </w:r>
      <w:r>
        <w:rPr>
          <w:rFonts w:hint="eastAsia" w:ascii="宋体" w:hAnsi="宋体" w:cs="宋体"/>
          <w:b w:val="0"/>
          <w:bCs w:val="0"/>
          <w:color w:val="auto"/>
          <w:sz w:val="22"/>
          <w:szCs w:val="22"/>
          <w:u w:val="none"/>
          <w:lang w:val="en-US" w:eastAsia="zh-CN"/>
        </w:rPr>
        <w:t>采购人</w:t>
      </w:r>
      <w:r>
        <w:rPr>
          <w:rFonts w:hint="eastAsia" w:ascii="宋体" w:hAnsi="宋体" w:cs="宋体"/>
          <w:b w:val="0"/>
          <w:bCs w:val="0"/>
          <w:color w:val="auto"/>
          <w:sz w:val="22"/>
          <w:szCs w:val="22"/>
          <w:u w:val="none"/>
        </w:rPr>
        <w:t>需求完成评审工作的相关费用和不可预见费等一切费用，</w:t>
      </w:r>
      <w:r>
        <w:rPr>
          <w:rFonts w:hint="eastAsia" w:ascii="宋体" w:hAnsi="宋体" w:cs="宋体"/>
          <w:b w:val="0"/>
          <w:bCs w:val="0"/>
          <w:color w:val="auto"/>
          <w:sz w:val="22"/>
          <w:szCs w:val="22"/>
          <w:u w:val="none"/>
          <w:lang w:val="en-US" w:eastAsia="zh-CN"/>
        </w:rPr>
        <w:t>采购人</w:t>
      </w:r>
      <w:r>
        <w:rPr>
          <w:rFonts w:hint="eastAsia" w:ascii="宋体" w:hAnsi="宋体" w:cs="宋体"/>
          <w:b w:val="0"/>
          <w:bCs w:val="0"/>
          <w:color w:val="auto"/>
          <w:sz w:val="22"/>
          <w:szCs w:val="22"/>
          <w:u w:val="none"/>
        </w:rPr>
        <w:t>不再另行支付任何费用。</w:t>
      </w:r>
    </w:p>
    <w:p w14:paraId="4BE2CF8C">
      <w:pPr>
        <w:pStyle w:val="4"/>
        <w:keepNext w:val="0"/>
        <w:keepLines w:val="0"/>
        <w:widowControl/>
        <w:spacing w:before="0" w:after="0" w:line="360" w:lineRule="auto"/>
        <w:ind w:firstLine="422" w:firstLineChars="200"/>
        <w:rPr>
          <w:rFonts w:ascii="宋体" w:hAnsi="宋体" w:cs="宋体"/>
          <w:color w:val="auto"/>
          <w:sz w:val="21"/>
          <w:szCs w:val="21"/>
        </w:rPr>
      </w:pPr>
      <w:r>
        <w:rPr>
          <w:rFonts w:hint="eastAsia" w:ascii="宋体" w:hAnsi="宋体" w:cs="宋体"/>
          <w:color w:val="auto"/>
          <w:sz w:val="21"/>
          <w:szCs w:val="21"/>
          <w:lang w:val="en-US" w:eastAsia="zh-CN"/>
        </w:rPr>
        <w:t>三</w:t>
      </w:r>
      <w:r>
        <w:rPr>
          <w:rFonts w:hint="eastAsia" w:ascii="宋体" w:hAnsi="宋体" w:cs="宋体"/>
          <w:color w:val="auto"/>
          <w:sz w:val="21"/>
          <w:szCs w:val="21"/>
        </w:rPr>
        <w:t>、服务周期</w:t>
      </w:r>
    </w:p>
    <w:p w14:paraId="2A11CE2D">
      <w:pPr>
        <w:pStyle w:val="4"/>
        <w:keepNext w:val="0"/>
        <w:keepLines w:val="0"/>
        <w:widowControl/>
        <w:spacing w:before="0" w:after="0" w:line="360" w:lineRule="auto"/>
        <w:ind w:firstLine="420" w:firstLineChars="200"/>
        <w:rPr>
          <w:rFonts w:hint="eastAsia" w:ascii="宋体" w:hAnsi="宋体" w:eastAsia="宋体" w:cs="宋体"/>
          <w:b w:val="0"/>
          <w:color w:val="auto"/>
          <w:kern w:val="2"/>
          <w:sz w:val="21"/>
          <w:szCs w:val="21"/>
          <w:lang w:val="en-US" w:eastAsia="zh-CN" w:bidi="ar-SA"/>
        </w:rPr>
      </w:pPr>
      <w:r>
        <w:rPr>
          <w:rFonts w:hint="eastAsia" w:ascii="宋体" w:hAnsi="宋体" w:eastAsia="宋体" w:cs="宋体"/>
          <w:b w:val="0"/>
          <w:color w:val="auto"/>
          <w:kern w:val="2"/>
          <w:sz w:val="21"/>
          <w:szCs w:val="21"/>
          <w:lang w:val="en-US" w:eastAsia="zh-CN" w:bidi="ar-SA"/>
        </w:rPr>
        <w:t>合同生效后供应商即刻启动资料搜集与前期筹备，收到采购人指令后15个日历天内完成全部项目初稿，15个日历天内完成报告编制并完成备案。供应商须根据时限要求细化分项工作计划，按需配置人力，保障各节点按期落地。</w:t>
      </w:r>
    </w:p>
    <w:p w14:paraId="643A6CA7">
      <w:pPr>
        <w:pStyle w:val="4"/>
        <w:keepNext w:val="0"/>
        <w:keepLines w:val="0"/>
        <w:widowControl/>
        <w:spacing w:before="0" w:after="0" w:line="360" w:lineRule="auto"/>
        <w:ind w:firstLine="422" w:firstLineChars="200"/>
        <w:rPr>
          <w:rFonts w:ascii="宋体" w:hAnsi="宋体" w:cs="宋体"/>
          <w:color w:val="auto"/>
          <w:sz w:val="21"/>
          <w:szCs w:val="21"/>
        </w:rPr>
      </w:pPr>
      <w:r>
        <w:rPr>
          <w:rFonts w:hint="eastAsia" w:ascii="宋体" w:hAnsi="宋体" w:cs="宋体"/>
          <w:color w:val="auto"/>
          <w:sz w:val="21"/>
          <w:szCs w:val="21"/>
          <w:lang w:val="en-US" w:eastAsia="zh-CN"/>
        </w:rPr>
        <w:t>四</w:t>
      </w:r>
      <w:r>
        <w:rPr>
          <w:rFonts w:hint="eastAsia" w:ascii="宋体" w:hAnsi="宋体" w:cs="宋体"/>
          <w:color w:val="auto"/>
          <w:sz w:val="21"/>
          <w:szCs w:val="21"/>
        </w:rPr>
        <w:t>、服务质量与标准</w:t>
      </w:r>
    </w:p>
    <w:p w14:paraId="46EB44AF">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1.编制成果符合国家、江苏省现行法律法规、行业规范及基建审批相关标准。</w:t>
      </w:r>
    </w:p>
    <w:p w14:paraId="55BF96B4">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2.报告编制深度满足国家发展改革委、江苏省教育厅、省级投资审批主管部门管控要求，成果可作为项目立项审批决策依据。</w:t>
      </w:r>
    </w:p>
    <w:p w14:paraId="3D001703">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3.供应商确保编制成果通过主管部门审查，完成社会稳定风险评估备案及节能告知承诺报备，配合采购人开展项目报批相关答疑工作。</w:t>
      </w:r>
    </w:p>
    <w:p w14:paraId="6971C456">
      <w:pPr>
        <w:pStyle w:val="4"/>
        <w:keepNext w:val="0"/>
        <w:keepLines w:val="0"/>
        <w:widowControl/>
        <w:spacing w:before="0" w:after="0" w:line="360" w:lineRule="auto"/>
        <w:ind w:firstLine="422" w:firstLineChars="200"/>
        <w:rPr>
          <w:rFonts w:ascii="宋体" w:hAnsi="宋体" w:cs="宋体"/>
          <w:color w:val="auto"/>
          <w:sz w:val="21"/>
          <w:szCs w:val="21"/>
          <w:highlight w:val="none"/>
        </w:rPr>
      </w:pPr>
      <w:r>
        <w:rPr>
          <w:rFonts w:hint="eastAsia" w:ascii="宋体" w:hAnsi="宋体" w:cs="宋体"/>
          <w:color w:val="auto"/>
          <w:sz w:val="21"/>
          <w:szCs w:val="21"/>
          <w:lang w:val="en-US" w:eastAsia="zh-CN"/>
        </w:rPr>
        <w:t>五</w:t>
      </w:r>
      <w:r>
        <w:rPr>
          <w:rFonts w:hint="eastAsia" w:ascii="宋体" w:hAnsi="宋体" w:cs="宋体"/>
          <w:color w:val="auto"/>
          <w:sz w:val="21"/>
          <w:szCs w:val="21"/>
        </w:rPr>
        <w:t>、</w:t>
      </w:r>
      <w:r>
        <w:rPr>
          <w:rFonts w:hint="eastAsia" w:ascii="宋体" w:hAnsi="宋体" w:cs="宋体"/>
          <w:color w:val="auto"/>
          <w:sz w:val="21"/>
          <w:szCs w:val="21"/>
          <w:highlight w:val="none"/>
        </w:rPr>
        <w:t>服务团队要求</w:t>
      </w:r>
    </w:p>
    <w:p w14:paraId="67996138">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供应商组建专业化项目专班，人员专业结构配置齐全、从业经验匹配医院基建咨询业务。</w:t>
      </w:r>
    </w:p>
    <w:p w14:paraId="61BEF421">
      <w:pPr>
        <w:pStyle w:val="4"/>
        <w:keepNext w:val="0"/>
        <w:keepLines w:val="0"/>
        <w:widowControl/>
        <w:spacing w:before="0" w:after="0" w:line="360" w:lineRule="auto"/>
        <w:ind w:firstLine="422" w:firstLineChars="200"/>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六</w:t>
      </w:r>
      <w:r>
        <w:rPr>
          <w:rFonts w:hint="eastAsia" w:ascii="宋体" w:hAnsi="宋体" w:cs="宋体"/>
          <w:color w:val="auto"/>
          <w:sz w:val="21"/>
          <w:szCs w:val="21"/>
          <w:highlight w:val="none"/>
        </w:rPr>
        <w:t>、付款方式</w:t>
      </w:r>
    </w:p>
    <w:p w14:paraId="71A5B704">
      <w:pPr>
        <w:spacing w:line="360" w:lineRule="auto"/>
        <w:ind w:firstLine="420" w:firstLineChars="200"/>
        <w:rPr>
          <w:rFonts w:hint="eastAsia" w:ascii="宋体" w:hAnsi="宋体" w:eastAsia="宋体" w:cs="宋体"/>
          <w:color w:val="auto"/>
          <w:highlight w:val="none"/>
          <w:lang w:eastAsia="zh-CN"/>
        </w:rPr>
      </w:pPr>
      <w:r>
        <w:rPr>
          <w:rFonts w:hint="eastAsia" w:ascii="宋体" w:hAnsi="宋体" w:cs="宋体"/>
          <w:color w:val="auto"/>
          <w:highlight w:val="none"/>
        </w:rPr>
        <w:t>1.成交价为合同价款，单个项目成果经甲方审查通过</w:t>
      </w:r>
      <w:r>
        <w:rPr>
          <w:rFonts w:hint="eastAsia" w:ascii="宋体" w:hAnsi="宋体" w:cs="宋体"/>
          <w:color w:val="auto"/>
          <w:highlight w:val="none"/>
          <w:lang w:val="en-US" w:eastAsia="zh-CN"/>
        </w:rPr>
        <w:t>并</w:t>
      </w:r>
      <w:r>
        <w:rPr>
          <w:rFonts w:hint="eastAsia" w:ascii="宋体" w:hAnsi="宋体" w:cs="宋体"/>
          <w:color w:val="auto"/>
          <w:highlight w:val="none"/>
        </w:rPr>
        <w:t>，</w:t>
      </w:r>
      <w:r>
        <w:rPr>
          <w:rFonts w:hint="eastAsia" w:ascii="宋体" w:hAnsi="宋体" w:cs="宋体"/>
          <w:color w:val="auto"/>
          <w:highlight w:val="none"/>
          <w:lang w:val="en-US" w:eastAsia="zh-CN"/>
        </w:rPr>
        <w:t>并</w:t>
      </w:r>
      <w:r>
        <w:rPr>
          <w:rFonts w:hint="eastAsia" w:ascii="宋体" w:hAnsi="宋体" w:cs="宋体"/>
          <w:color w:val="auto"/>
          <w:highlight w:val="none"/>
        </w:rPr>
        <w:t>完成社会稳定风险评估备案及节能告知承诺报备，乙方提交全套资料后，支付单个项目合同价的100%；付款前乙方须按要求开具合规增值税发票，付款周期顺延以财政资金实际拨付时间为准</w:t>
      </w:r>
      <w:r>
        <w:rPr>
          <w:rFonts w:hint="eastAsia" w:ascii="宋体" w:hAnsi="宋体" w:cs="宋体"/>
          <w:color w:val="auto"/>
          <w:highlight w:val="none"/>
          <w:lang w:eastAsia="zh-CN"/>
        </w:rPr>
        <w:t>。</w:t>
      </w:r>
    </w:p>
    <w:p w14:paraId="0F766F8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2.乙方已按合同约定提交合格成果且通过甲方内部审核，因甲方规划调整、不可抗力、项目停建等非乙方客观因素无法完成备案</w:t>
      </w:r>
      <w:r>
        <w:rPr>
          <w:rFonts w:hint="eastAsia" w:ascii="宋体" w:hAnsi="宋体" w:cs="宋体"/>
          <w:color w:val="auto"/>
          <w:highlight w:val="none"/>
          <w:lang w:eastAsia="zh-CN"/>
        </w:rPr>
        <w:t>（</w:t>
      </w:r>
      <w:r>
        <w:rPr>
          <w:rFonts w:hint="eastAsia" w:ascii="宋体" w:hAnsi="宋体" w:cs="宋体"/>
          <w:color w:val="auto"/>
          <w:highlight w:val="none"/>
        </w:rPr>
        <w:t>报备</w:t>
      </w:r>
      <w:r>
        <w:rPr>
          <w:rFonts w:hint="eastAsia" w:ascii="宋体" w:hAnsi="宋体" w:cs="宋体"/>
          <w:color w:val="auto"/>
          <w:highlight w:val="none"/>
          <w:lang w:eastAsia="zh-CN"/>
        </w:rPr>
        <w:t>）</w:t>
      </w:r>
      <w:r>
        <w:rPr>
          <w:rFonts w:hint="eastAsia" w:ascii="宋体" w:hAnsi="宋体" w:cs="宋体"/>
          <w:color w:val="auto"/>
          <w:highlight w:val="none"/>
        </w:rPr>
        <w:t>的，自成果交付满6个月后，甲方支付合同总价80%作为阶段性服务费用；剩余20%尾款待项目重启或终止清算后据实结算，乙方按结算金额分次开具发票。</w:t>
      </w:r>
    </w:p>
    <w:p w14:paraId="3CB77EDD">
      <w:pPr>
        <w:pStyle w:val="4"/>
        <w:keepNext w:val="0"/>
        <w:keepLines w:val="0"/>
        <w:widowControl/>
        <w:spacing w:before="0" w:after="0" w:line="360" w:lineRule="auto"/>
        <w:ind w:firstLine="422" w:firstLineChars="200"/>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七</w:t>
      </w:r>
      <w:r>
        <w:rPr>
          <w:rFonts w:hint="eastAsia" w:ascii="宋体" w:hAnsi="宋体" w:cs="宋体"/>
          <w:color w:val="auto"/>
          <w:sz w:val="21"/>
          <w:szCs w:val="21"/>
          <w:highlight w:val="none"/>
        </w:rPr>
        <w:t>、知识产权与保密约定</w:t>
      </w:r>
    </w:p>
    <w:p w14:paraId="168A6666">
      <w:pPr>
        <w:widowControl/>
        <w:spacing w:line="360" w:lineRule="auto"/>
        <w:ind w:firstLine="420" w:firstLineChars="200"/>
        <w:rPr>
          <w:rFonts w:ascii="宋体" w:hAnsi="宋体" w:cs="宋体"/>
          <w:color w:val="auto"/>
          <w:szCs w:val="21"/>
        </w:rPr>
      </w:pPr>
      <w:r>
        <w:rPr>
          <w:rFonts w:hint="eastAsia" w:ascii="宋体" w:hAnsi="宋体" w:cs="宋体"/>
          <w:color w:val="auto"/>
          <w:szCs w:val="21"/>
          <w:highlight w:val="none"/>
        </w:rPr>
        <w:t>1.采购人在</w:t>
      </w:r>
      <w:r>
        <w:rPr>
          <w:rFonts w:hint="eastAsia" w:ascii="宋体" w:hAnsi="宋体" w:cs="宋体"/>
          <w:color w:val="auto"/>
          <w:szCs w:val="21"/>
        </w:rPr>
        <w:t>国内使用本项目服务成果，免于遭受第三方知识产权侵权追责；如发生知识产权纠纷，全部法律责任与经济成本由成交供应商承担。</w:t>
      </w:r>
    </w:p>
    <w:p w14:paraId="6A498293">
      <w:pPr>
        <w:widowControl/>
        <w:spacing w:line="360" w:lineRule="auto"/>
        <w:ind w:firstLine="420" w:firstLineChars="200"/>
        <w:rPr>
          <w:rFonts w:ascii="宋体" w:hAnsi="宋体" w:cs="宋体"/>
          <w:color w:val="auto"/>
          <w:szCs w:val="21"/>
        </w:rPr>
      </w:pPr>
      <w:r>
        <w:rPr>
          <w:rFonts w:hint="eastAsia" w:ascii="宋体" w:hAnsi="宋体" w:cs="宋体"/>
          <w:color w:val="auto"/>
          <w:szCs w:val="21"/>
        </w:rPr>
        <w:t>2.采购人提供的图纸、技术资料、项目需求文件等原始资料著作权归属采购人。</w:t>
      </w:r>
    </w:p>
    <w:p w14:paraId="5E3DE992">
      <w:pPr>
        <w:widowControl/>
        <w:spacing w:line="360" w:lineRule="auto"/>
        <w:ind w:firstLine="420" w:firstLineChars="200"/>
        <w:rPr>
          <w:rFonts w:ascii="宋体" w:hAnsi="宋体" w:cs="宋体"/>
          <w:color w:val="auto"/>
          <w:szCs w:val="21"/>
        </w:rPr>
      </w:pPr>
      <w:r>
        <w:rPr>
          <w:rFonts w:hint="eastAsia" w:ascii="宋体" w:hAnsi="宋体" w:cs="宋体"/>
          <w:color w:val="auto"/>
          <w:szCs w:val="21"/>
        </w:rPr>
        <w:t>3.供应商为本项目编制的社会稳定风险评估报告、节能评估报告（节能承诺表）等成果知识产权归采购人所有。</w:t>
      </w:r>
    </w:p>
    <w:p w14:paraId="2E51E102">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4.供应商对采购人提供的所有内部资料承担永久保密义务，严禁私自转借、外泄。</w:t>
      </w:r>
    </w:p>
    <w:p w14:paraId="69B7952D">
      <w:pPr>
        <w:widowControl/>
        <w:spacing w:line="360" w:lineRule="auto"/>
        <w:ind w:firstLine="420" w:firstLineChars="200"/>
        <w:rPr>
          <w:rFonts w:hint="eastAsia" w:ascii="宋体" w:hAnsi="宋体" w:cs="宋体"/>
          <w:color w:val="auto"/>
          <w:szCs w:val="21"/>
        </w:rPr>
      </w:pPr>
    </w:p>
    <w:bookmarkEnd w:id="109"/>
    <w:p w14:paraId="302B96C5">
      <w:pPr>
        <w:spacing w:line="360" w:lineRule="auto"/>
        <w:ind w:firstLine="422" w:firstLineChars="200"/>
        <w:rPr>
          <w:rFonts w:ascii="宋体" w:hAnsi="宋体" w:cs="宋体"/>
          <w:b/>
          <w:bCs/>
          <w:i/>
          <w:iCs/>
          <w:color w:val="auto"/>
          <w:szCs w:val="21"/>
          <w:u w:val="single"/>
        </w:rPr>
      </w:pPr>
    </w:p>
    <w:p w14:paraId="19212DE7">
      <w:pPr>
        <w:spacing w:line="360" w:lineRule="auto"/>
        <w:jc w:val="center"/>
        <w:rPr>
          <w:b/>
          <w:bCs/>
          <w:color w:val="auto"/>
          <w:kern w:val="44"/>
          <w:sz w:val="36"/>
          <w:szCs w:val="36"/>
        </w:rPr>
      </w:pPr>
      <w:bookmarkStart w:id="110" w:name="_Toc7715"/>
      <w:bookmarkStart w:id="111" w:name="_Toc497145843"/>
    </w:p>
    <w:p w14:paraId="7608FAE5">
      <w:pPr>
        <w:spacing w:line="360" w:lineRule="auto"/>
        <w:jc w:val="center"/>
        <w:rPr>
          <w:b/>
          <w:bCs/>
          <w:color w:val="auto"/>
          <w:kern w:val="44"/>
          <w:sz w:val="36"/>
          <w:szCs w:val="36"/>
        </w:rPr>
      </w:pPr>
    </w:p>
    <w:p w14:paraId="67E746A4">
      <w:pPr>
        <w:rPr>
          <w:color w:val="auto"/>
        </w:rPr>
      </w:pPr>
      <w:bookmarkStart w:id="112" w:name="_Toc17441"/>
      <w:r>
        <w:rPr>
          <w:color w:val="auto"/>
        </w:rPr>
        <w:br w:type="page"/>
      </w:r>
    </w:p>
    <w:p w14:paraId="35476AEF">
      <w:pPr>
        <w:pStyle w:val="2"/>
        <w:rPr>
          <w:color w:val="auto"/>
        </w:rPr>
      </w:pPr>
      <w:r>
        <w:rPr>
          <w:color w:val="auto"/>
        </w:rPr>
        <w:t>第五章评审方法和评审标准</w:t>
      </w:r>
      <w:bookmarkEnd w:id="110"/>
      <w:bookmarkEnd w:id="111"/>
      <w:bookmarkEnd w:id="112"/>
    </w:p>
    <w:p w14:paraId="48308D25">
      <w:pPr>
        <w:spacing w:line="360" w:lineRule="auto"/>
        <w:ind w:firstLine="422" w:firstLineChars="200"/>
        <w:rPr>
          <w:b/>
          <w:bCs/>
          <w:color w:val="auto"/>
        </w:rPr>
      </w:pPr>
      <w:r>
        <w:rPr>
          <w:b/>
          <w:bCs/>
          <w:color w:val="auto"/>
        </w:rPr>
        <w:t>一、评标方法</w:t>
      </w:r>
    </w:p>
    <w:p w14:paraId="60D5273C">
      <w:pPr>
        <w:spacing w:line="360" w:lineRule="auto"/>
        <w:ind w:firstLine="420" w:firstLineChars="200"/>
        <w:rPr>
          <w:color w:val="auto"/>
        </w:rPr>
      </w:pPr>
      <w:r>
        <w:rPr>
          <w:color w:val="auto"/>
        </w:rPr>
        <w:t>本项目采用综合评分法，评委会将对确定为实质性响应磋商文件要求的响应文件进行评价和比较。评标结果按评审后得分由高到低顺序排列。得分相同的，按响应报价由低到高顺序排列。</w:t>
      </w:r>
      <w:r>
        <w:rPr>
          <w:rFonts w:hint="eastAsia"/>
          <w:color w:val="auto"/>
        </w:rPr>
        <w:t>评审得分且最后报价相同的，按照技术指标</w:t>
      </w:r>
      <w:r>
        <w:rPr>
          <w:rFonts w:hint="eastAsia"/>
          <w:color w:val="auto"/>
          <w:lang w:eastAsia="zh-CN"/>
        </w:rPr>
        <w:t>（服务方案）</w:t>
      </w:r>
      <w:r>
        <w:rPr>
          <w:rFonts w:hint="eastAsia"/>
          <w:color w:val="auto"/>
        </w:rPr>
        <w:t>优劣顺序推荐。</w:t>
      </w:r>
      <w:r>
        <w:rPr>
          <w:color w:val="auto"/>
        </w:rPr>
        <w:t>响应文件满足磋商文件全部实质性要求，且按照评审因素的量化指标评审得分最高的供应商为排名第一的成交候选人。</w:t>
      </w:r>
    </w:p>
    <w:p w14:paraId="01544B72">
      <w:pPr>
        <w:spacing w:line="360" w:lineRule="auto"/>
        <w:ind w:firstLine="422" w:firstLineChars="200"/>
        <w:rPr>
          <w:b/>
          <w:bCs/>
          <w:color w:val="auto"/>
        </w:rPr>
      </w:pPr>
      <w:r>
        <w:rPr>
          <w:rFonts w:hint="eastAsia"/>
          <w:b/>
          <w:bCs/>
          <w:color w:val="auto"/>
        </w:rPr>
        <w:t>二</w:t>
      </w:r>
      <w:r>
        <w:rPr>
          <w:b/>
          <w:bCs/>
          <w:color w:val="auto"/>
        </w:rPr>
        <w:t>、评分标准</w:t>
      </w:r>
    </w:p>
    <w:tbl>
      <w:tblPr>
        <w:tblStyle w:val="30"/>
        <w:tblW w:w="50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82"/>
        <w:gridCol w:w="8464"/>
      </w:tblGrid>
      <w:tr w14:paraId="59B9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381" w:type="dxa"/>
            <w:noWrap/>
            <w:vAlign w:val="center"/>
          </w:tcPr>
          <w:p w14:paraId="535FF16B">
            <w:pPr>
              <w:spacing w:line="400" w:lineRule="exact"/>
              <w:jc w:val="center"/>
              <w:rPr>
                <w:rFonts w:ascii="宋体" w:hAnsi="宋体" w:cs="宋体"/>
                <w:b/>
                <w:bCs/>
                <w:color w:val="auto"/>
                <w:szCs w:val="21"/>
              </w:rPr>
            </w:pPr>
            <w:bookmarkStart w:id="113" w:name="_Toc497145844"/>
            <w:r>
              <w:rPr>
                <w:rFonts w:hint="eastAsia" w:ascii="宋体" w:hAnsi="宋体" w:cs="宋体"/>
                <w:b/>
                <w:bCs/>
                <w:color w:val="auto"/>
                <w:szCs w:val="21"/>
              </w:rPr>
              <w:t>评审项目</w:t>
            </w:r>
          </w:p>
        </w:tc>
        <w:tc>
          <w:tcPr>
            <w:tcW w:w="8455" w:type="dxa"/>
            <w:noWrap/>
            <w:vAlign w:val="center"/>
          </w:tcPr>
          <w:p w14:paraId="5FA9EF0D">
            <w:pPr>
              <w:spacing w:line="400" w:lineRule="exact"/>
              <w:jc w:val="center"/>
              <w:rPr>
                <w:rFonts w:ascii="宋体" w:hAnsi="宋体" w:cs="宋体"/>
                <w:b/>
                <w:bCs/>
                <w:color w:val="auto"/>
                <w:szCs w:val="21"/>
              </w:rPr>
            </w:pPr>
            <w:r>
              <w:rPr>
                <w:rFonts w:hint="eastAsia" w:ascii="宋体" w:hAnsi="宋体" w:cs="宋体"/>
                <w:b/>
                <w:bCs/>
                <w:color w:val="auto"/>
                <w:szCs w:val="21"/>
              </w:rPr>
              <w:t>评  分  标  准</w:t>
            </w:r>
          </w:p>
        </w:tc>
      </w:tr>
      <w:tr w14:paraId="6AA4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81" w:type="dxa"/>
            <w:noWrap/>
            <w:vAlign w:val="center"/>
          </w:tcPr>
          <w:p w14:paraId="6F3EC4DF">
            <w:pPr>
              <w:spacing w:line="400" w:lineRule="exact"/>
              <w:jc w:val="center"/>
              <w:rPr>
                <w:rFonts w:ascii="宋体" w:hAnsi="宋体" w:cs="宋体"/>
                <w:color w:val="auto"/>
                <w:szCs w:val="21"/>
              </w:rPr>
            </w:pPr>
            <w:r>
              <w:rPr>
                <w:rFonts w:hint="eastAsia" w:ascii="宋体" w:hAnsi="宋体" w:cs="宋体"/>
                <w:color w:val="auto"/>
                <w:szCs w:val="21"/>
              </w:rPr>
              <w:t>价格分</w:t>
            </w:r>
          </w:p>
          <w:p w14:paraId="3B1F985A">
            <w:pPr>
              <w:spacing w:line="400" w:lineRule="exact"/>
              <w:jc w:val="center"/>
              <w:rPr>
                <w:rFonts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30</w:t>
            </w:r>
            <w:r>
              <w:rPr>
                <w:rFonts w:hint="eastAsia" w:ascii="宋体" w:hAnsi="宋体" w:cs="宋体"/>
                <w:color w:val="auto"/>
                <w:szCs w:val="21"/>
              </w:rPr>
              <w:t>分）</w:t>
            </w:r>
          </w:p>
        </w:tc>
        <w:tc>
          <w:tcPr>
            <w:tcW w:w="8455" w:type="dxa"/>
            <w:noWrap/>
            <w:vAlign w:val="center"/>
          </w:tcPr>
          <w:p w14:paraId="441232A5">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bCs/>
                <w:color w:val="auto"/>
                <w:szCs w:val="21"/>
              </w:rPr>
            </w:pPr>
            <w:r>
              <w:rPr>
                <w:rFonts w:hint="eastAsia" w:ascii="宋体" w:hAnsi="宋体" w:cs="宋体"/>
                <w:bCs/>
                <w:color w:val="auto"/>
                <w:szCs w:val="21"/>
              </w:rPr>
              <w:t>价格分统一采用低价优先法计算，即满足磋商文件要求且最后报价最低的供应商的价格为磋商基准价，其价格分为满分</w:t>
            </w:r>
            <w:r>
              <w:rPr>
                <w:rFonts w:hint="eastAsia" w:ascii="宋体" w:hAnsi="宋体" w:cs="宋体"/>
                <w:bCs/>
                <w:color w:val="auto"/>
                <w:szCs w:val="21"/>
                <w:lang w:val="en-US" w:eastAsia="zh-CN"/>
              </w:rPr>
              <w:t>30</w:t>
            </w:r>
            <w:r>
              <w:rPr>
                <w:rFonts w:hint="eastAsia" w:ascii="宋体" w:hAnsi="宋体" w:cs="宋体"/>
                <w:bCs/>
                <w:color w:val="auto"/>
                <w:szCs w:val="21"/>
              </w:rPr>
              <w:t>分。</w:t>
            </w:r>
          </w:p>
          <w:p w14:paraId="32EC4228">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bCs/>
                <w:color w:val="auto"/>
                <w:szCs w:val="21"/>
              </w:rPr>
            </w:pPr>
            <w:r>
              <w:rPr>
                <w:rFonts w:hint="eastAsia" w:ascii="宋体" w:hAnsi="宋体" w:cs="宋体"/>
                <w:bCs/>
                <w:color w:val="auto"/>
                <w:szCs w:val="21"/>
              </w:rPr>
              <w:t>其他供应商的价格分统一按照下列公式计算：</w:t>
            </w:r>
          </w:p>
          <w:p w14:paraId="3DB09FF8">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bCs/>
                <w:color w:val="auto"/>
                <w:szCs w:val="21"/>
                <w:lang w:eastAsia="zh-CN"/>
              </w:rPr>
            </w:pPr>
            <w:r>
              <w:rPr>
                <w:rFonts w:hint="eastAsia" w:ascii="宋体" w:hAnsi="宋体" w:cs="宋体"/>
                <w:bCs/>
                <w:color w:val="auto"/>
                <w:szCs w:val="21"/>
              </w:rPr>
              <w:t>磋商报价得分=（磋商基准价/最后磋商报价）×</w:t>
            </w:r>
            <w:r>
              <w:rPr>
                <w:rFonts w:hint="eastAsia" w:ascii="宋体" w:hAnsi="宋体" w:cs="宋体"/>
                <w:bCs/>
                <w:color w:val="auto"/>
                <w:szCs w:val="21"/>
                <w:lang w:val="en-US" w:eastAsia="zh-CN"/>
              </w:rPr>
              <w:t>30</w:t>
            </w:r>
            <w:r>
              <w:rPr>
                <w:rFonts w:hint="eastAsia" w:ascii="宋体" w:hAnsi="宋体" w:cs="宋体"/>
                <w:bCs/>
                <w:color w:val="auto"/>
                <w:szCs w:val="21"/>
              </w:rPr>
              <w:t>×100%</w:t>
            </w:r>
            <w:r>
              <w:rPr>
                <w:rFonts w:hint="eastAsia" w:ascii="宋体" w:hAnsi="宋体" w:cs="宋体"/>
                <w:bCs/>
                <w:color w:val="auto"/>
                <w:szCs w:val="21"/>
                <w:lang w:eastAsia="zh-CN"/>
              </w:rPr>
              <w:t>（</w:t>
            </w:r>
            <w:r>
              <w:rPr>
                <w:rFonts w:hint="eastAsia" w:ascii="宋体" w:hAnsi="宋体" w:cs="宋体"/>
                <w:bCs/>
                <w:color w:val="auto"/>
                <w:szCs w:val="21"/>
                <w:lang w:val="en-US" w:eastAsia="zh-CN"/>
              </w:rPr>
              <w:t>结果保留两位小数</w:t>
            </w:r>
            <w:r>
              <w:rPr>
                <w:rFonts w:hint="eastAsia" w:ascii="宋体" w:hAnsi="宋体" w:cs="宋体"/>
                <w:bCs/>
                <w:color w:val="auto"/>
                <w:szCs w:val="21"/>
                <w:lang w:eastAsia="zh-CN"/>
              </w:rPr>
              <w:t>）</w:t>
            </w:r>
          </w:p>
          <w:p w14:paraId="28F3C8D2">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b/>
                <w:color w:val="auto"/>
                <w:szCs w:val="21"/>
              </w:rPr>
            </w:pPr>
            <w:r>
              <w:rPr>
                <w:rFonts w:hint="eastAsia" w:ascii="宋体" w:hAnsi="宋体" w:cs="宋体"/>
                <w:b/>
                <w:color w:val="auto"/>
                <w:szCs w:val="21"/>
              </w:rPr>
              <w:t>磋商评审时出现异常低价时应启动异常低价审查。具体详见本章第三条。</w:t>
            </w:r>
          </w:p>
        </w:tc>
      </w:tr>
      <w:tr w14:paraId="5DCA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81" w:type="dxa"/>
            <w:vMerge w:val="restart"/>
            <w:noWrap/>
            <w:vAlign w:val="center"/>
          </w:tcPr>
          <w:p w14:paraId="60774456">
            <w:pPr>
              <w:spacing w:line="400" w:lineRule="exact"/>
              <w:jc w:val="center"/>
              <w:rPr>
                <w:rFonts w:ascii="宋体" w:hAnsi="宋体" w:cs="宋体"/>
                <w:color w:val="auto"/>
                <w:szCs w:val="21"/>
              </w:rPr>
            </w:pPr>
            <w:r>
              <w:rPr>
                <w:rFonts w:hint="eastAsia" w:ascii="宋体" w:hAnsi="宋体" w:cs="宋体"/>
                <w:color w:val="auto"/>
                <w:szCs w:val="21"/>
                <w:lang w:val="en-US" w:eastAsia="zh-CN"/>
              </w:rPr>
              <w:t>服务</w:t>
            </w:r>
            <w:r>
              <w:rPr>
                <w:rFonts w:hint="eastAsia" w:ascii="宋体" w:hAnsi="宋体" w:cs="宋体"/>
                <w:color w:val="auto"/>
                <w:szCs w:val="21"/>
              </w:rPr>
              <w:t>方案</w:t>
            </w:r>
          </w:p>
          <w:p w14:paraId="30EF9C33">
            <w:pPr>
              <w:spacing w:line="400" w:lineRule="exact"/>
              <w:jc w:val="center"/>
              <w:rPr>
                <w:rFonts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36</w:t>
            </w:r>
            <w:r>
              <w:rPr>
                <w:rFonts w:hint="eastAsia" w:ascii="宋体" w:hAnsi="宋体" w:cs="宋体"/>
                <w:color w:val="auto"/>
                <w:szCs w:val="21"/>
              </w:rPr>
              <w:t>分）</w:t>
            </w:r>
          </w:p>
        </w:tc>
        <w:tc>
          <w:tcPr>
            <w:tcW w:w="8455" w:type="dxa"/>
            <w:noWrap/>
            <w:vAlign w:val="center"/>
          </w:tcPr>
          <w:p w14:paraId="1AE09FF7">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b/>
                <w:bCs/>
                <w:color w:val="auto"/>
                <w:szCs w:val="21"/>
              </w:rPr>
            </w:pPr>
            <w:r>
              <w:rPr>
                <w:rFonts w:hint="eastAsia" w:ascii="宋体" w:hAnsi="宋体" w:cs="宋体"/>
                <w:b/>
                <w:bCs/>
                <w:color w:val="auto"/>
                <w:szCs w:val="21"/>
              </w:rPr>
              <w:t>1.项目理解与总体思路（</w:t>
            </w:r>
            <w:r>
              <w:rPr>
                <w:rFonts w:hint="eastAsia" w:ascii="宋体" w:hAnsi="宋体" w:cs="宋体"/>
                <w:b/>
                <w:bCs/>
                <w:color w:val="auto"/>
                <w:szCs w:val="21"/>
                <w:lang w:val="en-US" w:eastAsia="zh-CN"/>
              </w:rPr>
              <w:t>10</w:t>
            </w:r>
            <w:r>
              <w:rPr>
                <w:rFonts w:hint="eastAsia" w:ascii="宋体" w:hAnsi="宋体" w:cs="宋体"/>
                <w:b/>
                <w:bCs/>
                <w:color w:val="auto"/>
                <w:szCs w:val="21"/>
              </w:rPr>
              <w:t>分）：</w:t>
            </w:r>
          </w:p>
          <w:p w14:paraId="13F90B96">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①对项目背景、建设必要性、与医院总体规划的衔接性分析全面、深入；精准识别并完整列出了适用的关键政策与审批依据；研究思路清晰、逻辑严谨，完全契合项目深层需求的，得</w:t>
            </w:r>
            <w:r>
              <w:rPr>
                <w:rFonts w:hint="eastAsia" w:ascii="宋体" w:hAnsi="宋体" w:cs="宋体"/>
                <w:color w:val="auto"/>
                <w:szCs w:val="21"/>
                <w:lang w:val="en-US" w:eastAsia="zh-CN"/>
              </w:rPr>
              <w:t>10</w:t>
            </w:r>
            <w:r>
              <w:rPr>
                <w:rFonts w:hint="eastAsia" w:ascii="宋体" w:hAnsi="宋体" w:cs="宋体"/>
                <w:color w:val="auto"/>
                <w:szCs w:val="21"/>
              </w:rPr>
              <w:t>分；</w:t>
            </w:r>
          </w:p>
          <w:p w14:paraId="2EE4CED2">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②对项目理解和政策执行理解较深入、依据较完整、思路清晰，能较好地满足需求的，得</w:t>
            </w:r>
            <w:r>
              <w:rPr>
                <w:rFonts w:hint="eastAsia" w:ascii="宋体" w:hAnsi="宋体" w:cs="宋体"/>
                <w:color w:val="auto"/>
                <w:szCs w:val="21"/>
                <w:lang w:val="en-US" w:eastAsia="zh-CN"/>
              </w:rPr>
              <w:t>8</w:t>
            </w:r>
            <w:r>
              <w:rPr>
                <w:rFonts w:hint="eastAsia" w:ascii="宋体" w:hAnsi="宋体" w:cs="宋体"/>
                <w:color w:val="auto"/>
                <w:szCs w:val="21"/>
              </w:rPr>
              <w:t>分；</w:t>
            </w:r>
          </w:p>
          <w:p w14:paraId="19CCCAA7">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③对项目理解和政策依据分析基本完整，研究思路基本可行，能满足项目基本需求的，得</w:t>
            </w:r>
            <w:r>
              <w:rPr>
                <w:rFonts w:hint="eastAsia" w:ascii="宋体" w:hAnsi="宋体" w:cs="宋体"/>
                <w:color w:val="auto"/>
                <w:szCs w:val="21"/>
                <w:lang w:val="en-US" w:eastAsia="zh-CN"/>
              </w:rPr>
              <w:t>6</w:t>
            </w:r>
            <w:r>
              <w:rPr>
                <w:rFonts w:hint="eastAsia" w:ascii="宋体" w:hAnsi="宋体" w:cs="宋体"/>
                <w:color w:val="auto"/>
                <w:szCs w:val="21"/>
              </w:rPr>
              <w:t>分；</w:t>
            </w:r>
          </w:p>
          <w:p w14:paraId="74B825F6">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rPr>
            </w:pPr>
            <w:r>
              <w:rPr>
                <w:rFonts w:hint="eastAsia" w:ascii="宋体" w:hAnsi="宋体" w:cs="宋体"/>
                <w:color w:val="auto"/>
                <w:szCs w:val="21"/>
              </w:rPr>
              <w:t>④对项目理解存在偏差、依据有明显缺失、思路模糊，仅部分满足需求的，得</w:t>
            </w:r>
            <w:r>
              <w:rPr>
                <w:rFonts w:hint="eastAsia" w:ascii="宋体" w:hAnsi="宋体" w:cs="宋体"/>
                <w:color w:val="auto"/>
                <w:szCs w:val="21"/>
                <w:lang w:val="en-US" w:eastAsia="zh-CN"/>
              </w:rPr>
              <w:t>4</w:t>
            </w:r>
            <w:r>
              <w:rPr>
                <w:rFonts w:hint="eastAsia" w:ascii="宋体" w:hAnsi="宋体" w:cs="宋体"/>
                <w:color w:val="auto"/>
                <w:szCs w:val="21"/>
              </w:rPr>
              <w:t>分；</w:t>
            </w:r>
          </w:p>
          <w:p w14:paraId="12BDFA4E">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rPr>
            </w:pPr>
            <w:r>
              <w:rPr>
                <w:rFonts w:hint="eastAsia" w:ascii="宋体" w:hAnsi="宋体" w:cs="宋体"/>
                <w:color w:val="auto"/>
                <w:szCs w:val="21"/>
              </w:rPr>
              <w:t>⑤分析内容空泛，缺乏针对性，研究思路不清晰的，得</w:t>
            </w:r>
            <w:r>
              <w:rPr>
                <w:rFonts w:hint="eastAsia" w:ascii="宋体" w:hAnsi="宋体" w:cs="宋体"/>
                <w:color w:val="auto"/>
                <w:szCs w:val="21"/>
                <w:lang w:val="en-US" w:eastAsia="zh-CN"/>
              </w:rPr>
              <w:t>2</w:t>
            </w:r>
            <w:r>
              <w:rPr>
                <w:rFonts w:hint="eastAsia" w:ascii="宋体" w:hAnsi="宋体" w:cs="宋体"/>
                <w:color w:val="auto"/>
                <w:szCs w:val="21"/>
              </w:rPr>
              <w:t>分。</w:t>
            </w:r>
          </w:p>
          <w:p w14:paraId="18EBB65F">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rPr>
            </w:pPr>
            <w:r>
              <w:rPr>
                <w:rFonts w:hint="eastAsia" w:ascii="宋体" w:hAnsi="宋体" w:cs="宋体"/>
                <w:color w:val="auto"/>
                <w:szCs w:val="21"/>
              </w:rPr>
              <w:t>不提供不得分。</w:t>
            </w:r>
          </w:p>
        </w:tc>
      </w:tr>
      <w:tr w14:paraId="1941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81" w:type="dxa"/>
            <w:vMerge w:val="continue"/>
            <w:noWrap/>
            <w:vAlign w:val="center"/>
          </w:tcPr>
          <w:p w14:paraId="20AAEC3F">
            <w:pPr>
              <w:spacing w:line="400" w:lineRule="exact"/>
              <w:jc w:val="center"/>
              <w:rPr>
                <w:rFonts w:ascii="宋体" w:hAnsi="宋体" w:cs="宋体"/>
                <w:color w:val="auto"/>
                <w:szCs w:val="21"/>
              </w:rPr>
            </w:pPr>
          </w:p>
        </w:tc>
        <w:tc>
          <w:tcPr>
            <w:tcW w:w="8455" w:type="dxa"/>
            <w:noWrap/>
            <w:vAlign w:val="center"/>
          </w:tcPr>
          <w:p w14:paraId="072339ED">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b/>
                <w:bCs/>
                <w:color w:val="auto"/>
                <w:szCs w:val="21"/>
                <w:highlight w:val="none"/>
              </w:rPr>
            </w:pPr>
            <w:r>
              <w:rPr>
                <w:rFonts w:hint="eastAsia" w:ascii="宋体" w:hAnsi="宋体" w:cs="宋体"/>
                <w:b/>
                <w:bCs/>
                <w:color w:val="auto"/>
                <w:szCs w:val="21"/>
                <w:highlight w:val="none"/>
              </w:rPr>
              <w:t>2.工作大纲与技术路线（</w:t>
            </w:r>
            <w:r>
              <w:rPr>
                <w:rFonts w:hint="eastAsia" w:ascii="宋体" w:hAnsi="宋体" w:cs="宋体"/>
                <w:b/>
                <w:bCs/>
                <w:color w:val="auto"/>
                <w:szCs w:val="21"/>
                <w:highlight w:val="none"/>
                <w:lang w:val="en-US" w:eastAsia="zh-CN"/>
              </w:rPr>
              <w:t>10</w:t>
            </w:r>
            <w:r>
              <w:rPr>
                <w:rFonts w:hint="eastAsia" w:ascii="宋体" w:hAnsi="宋体" w:cs="宋体"/>
                <w:b/>
                <w:bCs/>
                <w:color w:val="auto"/>
                <w:szCs w:val="21"/>
                <w:highlight w:val="none"/>
              </w:rPr>
              <w:t>分）：</w:t>
            </w:r>
          </w:p>
          <w:p w14:paraId="7A4A7270">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highlight w:val="none"/>
              </w:rPr>
            </w:pPr>
            <w:r>
              <w:rPr>
                <w:rFonts w:hint="eastAsia" w:ascii="宋体" w:hAnsi="宋体" w:cs="宋体"/>
                <w:color w:val="auto"/>
                <w:szCs w:val="21"/>
                <w:highlight w:val="none"/>
              </w:rPr>
              <w:t>①报告编制大纲完整、科学，必须涵盖且不限于：项目概况、风险调查、风险识别、风险估计与等级初判、风险防范与化解措施、评估结论、节能承诺等，并符合国家及江苏省社会稳定风险评估相关要求；技术路线先进、方法科学，深度完全满足各级审批要求的，得</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p w14:paraId="447CF6B7">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highlight w:val="none"/>
              </w:rPr>
            </w:pPr>
            <w:r>
              <w:rPr>
                <w:rFonts w:hint="eastAsia" w:ascii="宋体" w:hAnsi="宋体" w:cs="宋体"/>
                <w:color w:val="auto"/>
                <w:szCs w:val="21"/>
                <w:highlight w:val="none"/>
              </w:rPr>
              <w:t>②报告编制大纲完整，覆盖核心章节；技术路线清晰合理，深度能够满足主要审批要求的，得</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w:t>
            </w:r>
          </w:p>
          <w:p w14:paraId="38CDA1B5">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highlight w:val="none"/>
              </w:rPr>
            </w:pPr>
            <w:r>
              <w:rPr>
                <w:rFonts w:hint="eastAsia" w:ascii="宋体" w:hAnsi="宋体" w:cs="宋体"/>
                <w:color w:val="auto"/>
                <w:szCs w:val="21"/>
                <w:highlight w:val="none"/>
              </w:rPr>
              <w:t>③报告编制大纲基本完整，技术路线可行，深度基本满足审批要求的，得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p w14:paraId="005588AD">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highlight w:val="none"/>
              </w:rPr>
            </w:pPr>
            <w:r>
              <w:rPr>
                <w:rFonts w:hint="eastAsia" w:ascii="宋体" w:hAnsi="宋体" w:cs="宋体"/>
                <w:color w:val="auto"/>
                <w:szCs w:val="21"/>
                <w:highlight w:val="none"/>
              </w:rPr>
              <w:t>④报告编制大纲有缺项或逻辑不清；技术路线简单、深度不足，仅部分满足审批要求的，得</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w:t>
            </w:r>
          </w:p>
          <w:p w14:paraId="4F7F9517">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highlight w:val="none"/>
              </w:rPr>
            </w:pPr>
            <w:r>
              <w:rPr>
                <w:rFonts w:hint="eastAsia" w:ascii="宋体" w:hAnsi="宋体" w:cs="宋体"/>
                <w:color w:val="auto"/>
                <w:szCs w:val="21"/>
                <w:highlight w:val="none"/>
              </w:rPr>
              <w:t>⑤报告编制大纲严重缺失或混乱；技术路线模糊或错误，无法满足基本审批需求的，得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w:t>
            </w:r>
          </w:p>
          <w:p w14:paraId="7FB217C9">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rPr>
            </w:pPr>
            <w:r>
              <w:rPr>
                <w:rFonts w:hint="eastAsia" w:ascii="宋体" w:hAnsi="宋体" w:cs="宋体"/>
                <w:color w:val="auto"/>
                <w:szCs w:val="21"/>
                <w:highlight w:val="none"/>
              </w:rPr>
              <w:t>不提供不得分。</w:t>
            </w:r>
          </w:p>
        </w:tc>
      </w:tr>
      <w:tr w14:paraId="2453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81" w:type="dxa"/>
            <w:vMerge w:val="continue"/>
            <w:noWrap/>
            <w:vAlign w:val="center"/>
          </w:tcPr>
          <w:p w14:paraId="7D2664B2">
            <w:pPr>
              <w:spacing w:line="400" w:lineRule="exact"/>
              <w:jc w:val="center"/>
              <w:rPr>
                <w:rFonts w:ascii="宋体" w:hAnsi="宋体" w:cs="宋体"/>
                <w:color w:val="auto"/>
                <w:szCs w:val="21"/>
              </w:rPr>
            </w:pPr>
          </w:p>
        </w:tc>
        <w:tc>
          <w:tcPr>
            <w:tcW w:w="8455" w:type="dxa"/>
            <w:noWrap/>
            <w:vAlign w:val="center"/>
          </w:tcPr>
          <w:p w14:paraId="4B58BDC6">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b/>
                <w:bCs/>
                <w:color w:val="auto"/>
                <w:szCs w:val="21"/>
              </w:rPr>
            </w:pPr>
            <w:r>
              <w:rPr>
                <w:rFonts w:hint="eastAsia" w:ascii="宋体" w:hAnsi="宋体" w:cs="宋体"/>
                <w:b/>
                <w:bCs/>
                <w:color w:val="auto"/>
                <w:szCs w:val="21"/>
              </w:rPr>
              <w:t>3.质量、进度保证措施（</w:t>
            </w:r>
            <w:r>
              <w:rPr>
                <w:rFonts w:hint="eastAsia" w:ascii="宋体" w:hAnsi="宋体" w:cs="宋体"/>
                <w:b/>
                <w:bCs/>
                <w:color w:val="auto"/>
                <w:szCs w:val="21"/>
                <w:lang w:val="en-US" w:eastAsia="zh-CN"/>
              </w:rPr>
              <w:t>8</w:t>
            </w:r>
            <w:r>
              <w:rPr>
                <w:rFonts w:hint="eastAsia" w:ascii="宋体" w:hAnsi="宋体" w:cs="宋体"/>
                <w:b/>
                <w:bCs/>
                <w:color w:val="auto"/>
                <w:szCs w:val="21"/>
              </w:rPr>
              <w:t>分）：</w:t>
            </w:r>
          </w:p>
          <w:p w14:paraId="157C2098">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①提出明确、详尽的</w:t>
            </w:r>
            <w:r>
              <w:rPr>
                <w:rFonts w:hint="eastAsia" w:ascii="宋体" w:hAnsi="宋体" w:cs="宋体"/>
                <w:color w:val="auto"/>
                <w:szCs w:val="21"/>
                <w:lang w:val="en-US" w:eastAsia="zh-CN"/>
              </w:rPr>
              <w:t>服务期</w:t>
            </w:r>
            <w:r>
              <w:rPr>
                <w:rFonts w:hint="eastAsia" w:ascii="宋体" w:hAnsi="宋体" w:cs="宋体"/>
                <w:color w:val="auto"/>
                <w:szCs w:val="21"/>
              </w:rPr>
              <w:t>内完成编制的进度计划表（含各关键节点）；内部质量审核体系健全（如二级校审等）；为应对短周期挑战，配备了充足的人力资源与并行工作方案；对“配合取得批复”有具体的人员对接与时间承诺的，得</w:t>
            </w:r>
            <w:r>
              <w:rPr>
                <w:rFonts w:hint="eastAsia" w:ascii="宋体" w:hAnsi="宋体" w:cs="宋体"/>
                <w:color w:val="auto"/>
                <w:szCs w:val="21"/>
                <w:lang w:val="en-US" w:eastAsia="zh-CN"/>
              </w:rPr>
              <w:t>8</w:t>
            </w:r>
            <w:r>
              <w:rPr>
                <w:rFonts w:hint="eastAsia" w:ascii="宋体" w:hAnsi="宋体" w:cs="宋体"/>
                <w:color w:val="auto"/>
                <w:szCs w:val="21"/>
              </w:rPr>
              <w:t>分；</w:t>
            </w:r>
          </w:p>
          <w:p w14:paraId="680A7485">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②进度计划完整清晰，质控措施得当，资源安排与并行工作思路合理，对“配合取得批复”有较明确的安排的，得</w:t>
            </w:r>
            <w:r>
              <w:rPr>
                <w:rFonts w:hint="eastAsia" w:ascii="宋体" w:hAnsi="宋体" w:cs="宋体"/>
                <w:color w:val="auto"/>
                <w:szCs w:val="21"/>
                <w:lang w:val="en-US" w:eastAsia="zh-CN"/>
              </w:rPr>
              <w:t>6</w:t>
            </w:r>
            <w:r>
              <w:rPr>
                <w:rFonts w:hint="eastAsia" w:ascii="宋体" w:hAnsi="宋体" w:cs="宋体"/>
                <w:color w:val="auto"/>
                <w:szCs w:val="21"/>
              </w:rPr>
              <w:t>分；</w:t>
            </w:r>
          </w:p>
          <w:p w14:paraId="2BC19B3F">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③提供了基本的进度计划与质控措施，能保障项目在</w:t>
            </w:r>
            <w:r>
              <w:rPr>
                <w:rFonts w:hint="eastAsia" w:ascii="宋体" w:hAnsi="宋体" w:cs="宋体"/>
                <w:color w:val="auto"/>
                <w:szCs w:val="21"/>
                <w:lang w:val="en-US" w:eastAsia="zh-CN"/>
              </w:rPr>
              <w:t>服务期</w:t>
            </w:r>
            <w:r>
              <w:rPr>
                <w:rFonts w:hint="eastAsia" w:ascii="宋体" w:hAnsi="宋体" w:cs="宋体"/>
                <w:color w:val="auto"/>
                <w:szCs w:val="21"/>
              </w:rPr>
              <w:t>内完成，但并行工作或资源调配方案较为常规，配合批复的承诺较为笼统的，得</w:t>
            </w:r>
            <w:r>
              <w:rPr>
                <w:rFonts w:hint="eastAsia" w:ascii="宋体" w:hAnsi="宋体" w:cs="宋体"/>
                <w:color w:val="auto"/>
                <w:szCs w:val="21"/>
                <w:lang w:val="en-US" w:eastAsia="zh-CN"/>
              </w:rPr>
              <w:t>4</w:t>
            </w:r>
            <w:r>
              <w:rPr>
                <w:rFonts w:hint="eastAsia" w:ascii="宋体" w:hAnsi="宋体" w:cs="宋体"/>
                <w:color w:val="auto"/>
                <w:szCs w:val="21"/>
              </w:rPr>
              <w:t>分；</w:t>
            </w:r>
          </w:p>
          <w:p w14:paraId="0E5DD6F7">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rPr>
            </w:pPr>
            <w:r>
              <w:rPr>
                <w:rFonts w:hint="eastAsia" w:ascii="宋体" w:hAnsi="宋体" w:cs="宋体"/>
                <w:color w:val="auto"/>
                <w:szCs w:val="21"/>
              </w:rPr>
              <w:t>④进度计划简略或关键节点模糊，质控措施薄弱，资源安排紧张，缺乏有效的并行工作方案，对长期配合的考虑明显不足的，得</w:t>
            </w:r>
            <w:r>
              <w:rPr>
                <w:rFonts w:hint="eastAsia" w:ascii="宋体" w:hAnsi="宋体" w:cs="宋体"/>
                <w:color w:val="auto"/>
                <w:szCs w:val="21"/>
                <w:lang w:val="en-US" w:eastAsia="zh-CN"/>
              </w:rPr>
              <w:t>2</w:t>
            </w:r>
            <w:r>
              <w:rPr>
                <w:rFonts w:hint="eastAsia" w:ascii="宋体" w:hAnsi="宋体" w:cs="宋体"/>
                <w:color w:val="auto"/>
                <w:szCs w:val="21"/>
              </w:rPr>
              <w:t>分；</w:t>
            </w:r>
          </w:p>
          <w:p w14:paraId="5A661B80">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rPr>
            </w:pPr>
            <w:r>
              <w:rPr>
                <w:rFonts w:hint="eastAsia" w:ascii="宋体" w:hAnsi="宋体" w:cs="宋体"/>
                <w:color w:val="auto"/>
                <w:szCs w:val="21"/>
              </w:rPr>
              <w:t>⑤进度计划缺失或严重不合理，缺乏有效的质量保障措施，无法证明能在要求</w:t>
            </w:r>
            <w:r>
              <w:rPr>
                <w:rFonts w:hint="eastAsia" w:ascii="宋体" w:hAnsi="宋体" w:cs="宋体"/>
                <w:color w:val="auto"/>
                <w:szCs w:val="21"/>
                <w:lang w:val="en-US" w:eastAsia="zh-CN"/>
              </w:rPr>
              <w:t>服务期</w:t>
            </w:r>
            <w:r>
              <w:rPr>
                <w:rFonts w:hint="eastAsia" w:ascii="宋体" w:hAnsi="宋体" w:cs="宋体"/>
                <w:color w:val="auto"/>
                <w:szCs w:val="21"/>
              </w:rPr>
              <w:t>内完成任务的，得</w:t>
            </w:r>
            <w:r>
              <w:rPr>
                <w:rFonts w:hint="eastAsia" w:ascii="宋体" w:hAnsi="宋体" w:cs="宋体"/>
                <w:color w:val="auto"/>
                <w:szCs w:val="21"/>
                <w:lang w:val="en-US" w:eastAsia="zh-CN"/>
              </w:rPr>
              <w:t>0.5</w:t>
            </w:r>
            <w:r>
              <w:rPr>
                <w:rFonts w:hint="eastAsia" w:ascii="宋体" w:hAnsi="宋体" w:cs="宋体"/>
                <w:color w:val="auto"/>
                <w:szCs w:val="21"/>
              </w:rPr>
              <w:t>分；</w:t>
            </w:r>
          </w:p>
          <w:p w14:paraId="7AE1F68F">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jc w:val="left"/>
              <w:textAlignment w:val="auto"/>
              <w:rPr>
                <w:rFonts w:ascii="宋体" w:hAnsi="宋体" w:cs="宋体"/>
                <w:color w:val="auto"/>
                <w:szCs w:val="21"/>
              </w:rPr>
            </w:pPr>
            <w:r>
              <w:rPr>
                <w:rFonts w:hint="eastAsia" w:ascii="宋体" w:hAnsi="宋体" w:cs="宋体"/>
                <w:color w:val="auto"/>
                <w:szCs w:val="21"/>
              </w:rPr>
              <w:t>不提供不得分。</w:t>
            </w:r>
          </w:p>
        </w:tc>
      </w:tr>
      <w:tr w14:paraId="5F0F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5" w:hRule="atLeast"/>
          <w:jc w:val="center"/>
        </w:trPr>
        <w:tc>
          <w:tcPr>
            <w:tcW w:w="1381" w:type="dxa"/>
            <w:vMerge w:val="continue"/>
            <w:noWrap/>
            <w:vAlign w:val="center"/>
          </w:tcPr>
          <w:p w14:paraId="1CD1379A">
            <w:pPr>
              <w:spacing w:line="400" w:lineRule="exact"/>
              <w:rPr>
                <w:rFonts w:ascii="宋体" w:hAnsi="宋体" w:cs="宋体"/>
                <w:color w:val="auto"/>
                <w:szCs w:val="21"/>
              </w:rPr>
            </w:pPr>
          </w:p>
        </w:tc>
        <w:tc>
          <w:tcPr>
            <w:tcW w:w="8455" w:type="dxa"/>
            <w:noWrap/>
            <w:vAlign w:val="center"/>
          </w:tcPr>
          <w:p w14:paraId="1FEFFC6E">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b/>
                <w:bCs/>
                <w:color w:val="auto"/>
                <w:szCs w:val="21"/>
              </w:rPr>
            </w:pPr>
            <w:r>
              <w:rPr>
                <w:rFonts w:hint="eastAsia" w:ascii="宋体" w:hAnsi="宋体" w:cs="宋体"/>
                <w:b/>
                <w:bCs/>
                <w:color w:val="auto"/>
                <w:szCs w:val="21"/>
              </w:rPr>
              <w:t>4.重点难点分析与对策（</w:t>
            </w:r>
            <w:r>
              <w:rPr>
                <w:rFonts w:hint="eastAsia" w:ascii="宋体" w:hAnsi="宋体" w:cs="宋体"/>
                <w:b/>
                <w:bCs/>
                <w:color w:val="auto"/>
                <w:szCs w:val="21"/>
                <w:lang w:val="en-US" w:eastAsia="zh-CN"/>
              </w:rPr>
              <w:t>8</w:t>
            </w:r>
            <w:r>
              <w:rPr>
                <w:rFonts w:hint="eastAsia" w:ascii="宋体" w:hAnsi="宋体" w:cs="宋体"/>
                <w:b/>
                <w:bCs/>
                <w:color w:val="auto"/>
                <w:szCs w:val="21"/>
              </w:rPr>
              <w:t>分）：</w:t>
            </w:r>
          </w:p>
          <w:p w14:paraId="50680E51">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①准确识别本项目关键点（如：与省公建中心对接的具体流程、多部门审批协调策略等），并提出具体、可行、针对性强的解决方案与应急预案的，得</w:t>
            </w:r>
            <w:r>
              <w:rPr>
                <w:rFonts w:hint="eastAsia" w:ascii="宋体" w:hAnsi="宋体" w:cs="宋体"/>
                <w:color w:val="auto"/>
                <w:szCs w:val="21"/>
                <w:lang w:val="en-US" w:eastAsia="zh-CN"/>
              </w:rPr>
              <w:t>8</w:t>
            </w:r>
            <w:r>
              <w:rPr>
                <w:rFonts w:hint="eastAsia" w:ascii="宋体" w:hAnsi="宋体" w:cs="宋体"/>
                <w:color w:val="auto"/>
                <w:szCs w:val="21"/>
              </w:rPr>
              <w:t>分；</w:t>
            </w:r>
          </w:p>
          <w:p w14:paraId="492A6A16">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②较为准确地识别了项目的主要难点，提出的对策合理、可行，具备较好的操作性，但在某些细节或预案的周全性上略有不足的，得</w:t>
            </w:r>
            <w:r>
              <w:rPr>
                <w:rFonts w:hint="eastAsia" w:ascii="宋体" w:hAnsi="宋体" w:cs="宋体"/>
                <w:color w:val="auto"/>
                <w:szCs w:val="21"/>
                <w:lang w:val="en-US" w:eastAsia="zh-CN"/>
              </w:rPr>
              <w:t>6</w:t>
            </w:r>
            <w:r>
              <w:rPr>
                <w:rFonts w:hint="eastAsia" w:ascii="宋体" w:hAnsi="宋体" w:cs="宋体"/>
                <w:color w:val="auto"/>
                <w:szCs w:val="21"/>
              </w:rPr>
              <w:t>分；</w:t>
            </w:r>
          </w:p>
          <w:p w14:paraId="60566D1E">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③基本识别了项目存在的重点难点，提出的解决措施基本可行，能应对主要问题，但深度一般，创新性或精细化程度不高的，得</w:t>
            </w:r>
            <w:r>
              <w:rPr>
                <w:rFonts w:hint="eastAsia" w:ascii="宋体" w:hAnsi="宋体" w:cs="宋体"/>
                <w:color w:val="auto"/>
                <w:szCs w:val="21"/>
                <w:lang w:val="en-US" w:eastAsia="zh-CN"/>
              </w:rPr>
              <w:t>4</w:t>
            </w:r>
            <w:r>
              <w:rPr>
                <w:rFonts w:hint="eastAsia" w:ascii="宋体" w:hAnsi="宋体" w:cs="宋体"/>
                <w:color w:val="auto"/>
                <w:szCs w:val="21"/>
              </w:rPr>
              <w:t>分；</w:t>
            </w:r>
          </w:p>
          <w:p w14:paraId="1CACC0E0">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④难点识别不全或分析较为浅显，对策较为笼统、原则化，缺乏针对具体问题的可操作步骤，保障力度不足的，得</w:t>
            </w:r>
            <w:r>
              <w:rPr>
                <w:rFonts w:hint="eastAsia" w:ascii="宋体" w:hAnsi="宋体" w:cs="宋体"/>
                <w:color w:val="auto"/>
                <w:szCs w:val="21"/>
                <w:lang w:val="en-US" w:eastAsia="zh-CN"/>
              </w:rPr>
              <w:t>2</w:t>
            </w:r>
            <w:r>
              <w:rPr>
                <w:rFonts w:hint="eastAsia" w:ascii="宋体" w:hAnsi="宋体" w:cs="宋体"/>
                <w:color w:val="auto"/>
                <w:szCs w:val="21"/>
              </w:rPr>
              <w:t>分；</w:t>
            </w:r>
          </w:p>
          <w:p w14:paraId="21B6201C">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⑤未能抓住项目核心难点，分析空泛或偏离实际，提出的对策缺乏针对性或不可行，无法有效指导项目实施的，得</w:t>
            </w:r>
            <w:r>
              <w:rPr>
                <w:rFonts w:hint="eastAsia" w:ascii="宋体" w:hAnsi="宋体" w:cs="宋体"/>
                <w:color w:val="auto"/>
                <w:szCs w:val="21"/>
                <w:lang w:val="en-US" w:eastAsia="zh-CN"/>
              </w:rPr>
              <w:t>0.5</w:t>
            </w:r>
            <w:r>
              <w:rPr>
                <w:rFonts w:hint="eastAsia" w:ascii="宋体" w:hAnsi="宋体" w:cs="宋体"/>
                <w:color w:val="auto"/>
                <w:szCs w:val="21"/>
              </w:rPr>
              <w:t>分；</w:t>
            </w:r>
          </w:p>
          <w:p w14:paraId="3D84EFC5">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color w:val="auto"/>
                <w:szCs w:val="21"/>
              </w:rPr>
            </w:pPr>
            <w:r>
              <w:rPr>
                <w:rFonts w:hint="eastAsia" w:ascii="宋体" w:hAnsi="宋体" w:cs="宋体"/>
                <w:color w:val="auto"/>
                <w:szCs w:val="21"/>
              </w:rPr>
              <w:t>不提供不得分。</w:t>
            </w:r>
          </w:p>
        </w:tc>
      </w:tr>
      <w:tr w14:paraId="5D4C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4" w:hRule="atLeast"/>
          <w:jc w:val="center"/>
        </w:trPr>
        <w:tc>
          <w:tcPr>
            <w:tcW w:w="1381" w:type="dxa"/>
            <w:shd w:val="clear" w:color="auto" w:fill="auto"/>
            <w:noWrap/>
            <w:vAlign w:val="center"/>
          </w:tcPr>
          <w:p w14:paraId="3ED5B904">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业绩</w:t>
            </w:r>
          </w:p>
          <w:p w14:paraId="4AE013D9">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tc>
        <w:tc>
          <w:tcPr>
            <w:tcW w:w="8455" w:type="dxa"/>
            <w:shd w:val="clear" w:color="auto" w:fill="auto"/>
            <w:noWrap/>
            <w:vAlign w:val="center"/>
          </w:tcPr>
          <w:p w14:paraId="5772745C">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cs="宋体"/>
                <w:color w:val="auto"/>
                <w:szCs w:val="21"/>
              </w:rPr>
            </w:pPr>
            <w:r>
              <w:rPr>
                <w:rFonts w:hint="eastAsia" w:ascii="宋体" w:hAnsi="宋体" w:cs="宋体"/>
                <w:color w:val="auto"/>
                <w:szCs w:val="21"/>
                <w:lang w:val="en-US" w:eastAsia="zh-CN"/>
              </w:rPr>
              <w:t>1.</w:t>
            </w:r>
            <w:r>
              <w:rPr>
                <w:rFonts w:hint="eastAsia" w:ascii="宋体" w:hAnsi="宋体" w:cs="宋体"/>
                <w:color w:val="auto"/>
                <w:szCs w:val="21"/>
              </w:rPr>
              <w:t>供应商自</w:t>
            </w:r>
            <w:r>
              <w:rPr>
                <w:rFonts w:hint="eastAsia" w:asciiTheme="minorEastAsia" w:hAnsiTheme="minorEastAsia" w:eastAsiaTheme="minorEastAsia" w:cstheme="minorEastAsia"/>
                <w:bCs/>
                <w:color w:val="auto"/>
                <w:kern w:val="0"/>
                <w:szCs w:val="21"/>
              </w:rPr>
              <w:t>202</w:t>
            </w:r>
            <w:r>
              <w:rPr>
                <w:rFonts w:hint="eastAsia" w:asciiTheme="minorEastAsia" w:hAnsiTheme="minorEastAsia" w:eastAsiaTheme="minorEastAsia" w:cstheme="minorEastAsia"/>
                <w:bCs/>
                <w:color w:val="auto"/>
                <w:kern w:val="0"/>
                <w:szCs w:val="21"/>
                <w:lang w:val="en-US" w:eastAsia="zh-CN"/>
              </w:rPr>
              <w:t>3</w:t>
            </w:r>
            <w:r>
              <w:rPr>
                <w:rFonts w:hint="eastAsia" w:asciiTheme="minorEastAsia" w:hAnsiTheme="minorEastAsia" w:eastAsiaTheme="minorEastAsia" w:cstheme="minorEastAsia"/>
                <w:bCs/>
                <w:color w:val="auto"/>
                <w:kern w:val="0"/>
                <w:szCs w:val="21"/>
              </w:rPr>
              <w:t>年1月1日以来（以合同签订日期为准）</w:t>
            </w:r>
            <w:r>
              <w:rPr>
                <w:rFonts w:hint="eastAsia" w:ascii="宋体" w:hAnsi="宋体" w:cs="宋体"/>
                <w:color w:val="auto"/>
                <w:szCs w:val="21"/>
              </w:rPr>
              <w:t>承担过与本项目相关的类似业绩，每提供一个得2分，最高得</w:t>
            </w:r>
            <w:r>
              <w:rPr>
                <w:rFonts w:hint="eastAsia" w:ascii="宋体" w:hAnsi="宋体" w:cs="宋体"/>
                <w:color w:val="auto"/>
                <w:szCs w:val="21"/>
                <w:lang w:val="en-US" w:eastAsia="zh-CN"/>
              </w:rPr>
              <w:t>10</w:t>
            </w:r>
            <w:r>
              <w:rPr>
                <w:rFonts w:hint="eastAsia" w:ascii="宋体" w:hAnsi="宋体" w:cs="宋体"/>
                <w:color w:val="auto"/>
                <w:szCs w:val="21"/>
              </w:rPr>
              <w:t>分。</w:t>
            </w:r>
          </w:p>
          <w:p w14:paraId="11EAB1B5">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宋体" w:hAnsi="宋体" w:cs="宋体" w:eastAsiaTheme="minorEastAsia"/>
                <w:color w:val="auto"/>
                <w:szCs w:val="21"/>
              </w:rPr>
            </w:pPr>
            <w:r>
              <w:rPr>
                <w:rFonts w:hint="eastAsia" w:asciiTheme="minorEastAsia" w:hAnsiTheme="minorEastAsia" w:eastAsiaTheme="minorEastAsia" w:cstheme="minorEastAsia"/>
                <w:b/>
                <w:color w:val="auto"/>
                <w:kern w:val="0"/>
                <w:szCs w:val="21"/>
              </w:rPr>
              <w:t>【提供合同关键页，能清晰体现项目名称、签订时间及服务内容，复印件加盖供应商公章】</w:t>
            </w:r>
          </w:p>
          <w:p w14:paraId="00DC783F">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cs="宋体"/>
                <w:b/>
                <w:bCs/>
                <w:color w:val="auto"/>
                <w:szCs w:val="21"/>
              </w:rPr>
            </w:pPr>
            <w:r>
              <w:rPr>
                <w:rFonts w:hint="eastAsia" w:ascii="宋体" w:hAnsi="宋体" w:cs="宋体"/>
                <w:b/>
                <w:bCs/>
                <w:color w:val="auto"/>
                <w:szCs w:val="21"/>
              </w:rPr>
              <w:t>说明：</w:t>
            </w:r>
          </w:p>
          <w:p w14:paraId="5EBAD9CE">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asciiTheme="minorEastAsia" w:hAnsiTheme="minorEastAsia" w:eastAsiaTheme="minorEastAsia" w:cstheme="minorEastAsia"/>
                <w:bCs/>
                <w:color w:val="auto"/>
                <w:kern w:val="0"/>
                <w:szCs w:val="21"/>
              </w:rPr>
            </w:pPr>
            <w:r>
              <w:rPr>
                <w:rFonts w:hint="eastAsia" w:ascii="宋体" w:hAnsi="宋体" w:cs="宋体"/>
                <w:b/>
                <w:bCs/>
                <w:color w:val="auto"/>
                <w:szCs w:val="21"/>
              </w:rPr>
              <w:t>类似业绩认定标准：</w:t>
            </w:r>
            <w:r>
              <w:rPr>
                <w:rFonts w:hint="eastAsia" w:asciiTheme="minorEastAsia" w:hAnsiTheme="minorEastAsia" w:eastAsiaTheme="minorEastAsia" w:cstheme="minorEastAsia"/>
                <w:b/>
                <w:bCs/>
                <w:color w:val="auto"/>
                <w:kern w:val="0"/>
                <w:szCs w:val="21"/>
              </w:rPr>
              <w:t>供应商承担过公建类项目社会稳定风险评估报告</w:t>
            </w:r>
            <w:r>
              <w:rPr>
                <w:rFonts w:hint="eastAsia" w:asciiTheme="minorEastAsia" w:hAnsiTheme="minorEastAsia" w:eastAsiaTheme="minorEastAsia" w:cstheme="minorEastAsia"/>
                <w:b/>
                <w:bCs/>
                <w:color w:val="auto"/>
                <w:kern w:val="0"/>
                <w:szCs w:val="21"/>
                <w:lang w:val="en-US" w:eastAsia="zh-CN"/>
              </w:rPr>
              <w:t>编制业绩</w:t>
            </w:r>
            <w:r>
              <w:rPr>
                <w:rFonts w:hint="eastAsia" w:asciiTheme="minorEastAsia" w:hAnsiTheme="minorEastAsia" w:eastAsiaTheme="minorEastAsia" w:cstheme="minorEastAsia"/>
                <w:b/>
                <w:bCs/>
                <w:color w:val="auto"/>
                <w:kern w:val="0"/>
                <w:szCs w:val="21"/>
              </w:rPr>
              <w:t>或</w:t>
            </w:r>
            <w:r>
              <w:rPr>
                <w:rFonts w:hint="eastAsia" w:ascii="宋体" w:hAnsi="宋体" w:cs="宋体"/>
                <w:b/>
                <w:bCs/>
                <w:color w:val="auto"/>
                <w:sz w:val="22"/>
                <w:szCs w:val="22"/>
                <w:u w:val="none"/>
                <w:lang w:val="en-US" w:eastAsia="zh-CN"/>
              </w:rPr>
              <w:t>节能评估相关</w:t>
            </w:r>
            <w:r>
              <w:rPr>
                <w:rFonts w:hint="eastAsia" w:asciiTheme="minorEastAsia" w:hAnsiTheme="minorEastAsia" w:eastAsiaTheme="minorEastAsia" w:cstheme="minorEastAsia"/>
                <w:b/>
                <w:bCs/>
                <w:color w:val="auto"/>
                <w:kern w:val="0"/>
                <w:szCs w:val="21"/>
              </w:rPr>
              <w:t>业绩；类似业绩无法认定或缺项的不得分。</w:t>
            </w:r>
          </w:p>
        </w:tc>
      </w:tr>
      <w:tr w14:paraId="49BC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5" w:hRule="atLeast"/>
          <w:jc w:val="center"/>
        </w:trPr>
        <w:tc>
          <w:tcPr>
            <w:tcW w:w="1381" w:type="dxa"/>
            <w:vMerge w:val="restart"/>
            <w:shd w:val="clear" w:color="auto" w:fill="auto"/>
            <w:noWrap/>
            <w:vAlign w:val="center"/>
          </w:tcPr>
          <w:p w14:paraId="2BD4F659">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项目成员</w:t>
            </w:r>
          </w:p>
          <w:p w14:paraId="4E462E19">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21</w:t>
            </w:r>
            <w:r>
              <w:rPr>
                <w:rFonts w:hint="eastAsia" w:ascii="宋体" w:hAnsi="宋体" w:cs="宋体"/>
                <w:color w:val="auto"/>
                <w:szCs w:val="21"/>
                <w:highlight w:val="none"/>
              </w:rPr>
              <w:t>分）</w:t>
            </w:r>
          </w:p>
        </w:tc>
        <w:tc>
          <w:tcPr>
            <w:tcW w:w="8455" w:type="dxa"/>
            <w:shd w:val="clear" w:color="auto" w:fill="auto"/>
            <w:noWrap/>
            <w:vAlign w:val="center"/>
          </w:tcPr>
          <w:p w14:paraId="2320D47F">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项目负责人</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本项满分</w:t>
            </w:r>
            <w:r>
              <w:rPr>
                <w:rFonts w:hint="eastAsia" w:ascii="宋体" w:hAnsi="宋体" w:cs="宋体"/>
                <w:b/>
                <w:bCs/>
                <w:color w:val="auto"/>
                <w:szCs w:val="21"/>
                <w:highlight w:val="none"/>
                <w:lang w:val="en-US" w:eastAsia="zh-CN"/>
              </w:rPr>
              <w:t>6</w:t>
            </w:r>
            <w:r>
              <w:rPr>
                <w:rFonts w:hint="eastAsia" w:ascii="宋体" w:hAnsi="宋体" w:eastAsia="宋体" w:cs="宋体"/>
                <w:b/>
                <w:bCs/>
                <w:color w:val="auto"/>
                <w:szCs w:val="21"/>
                <w:highlight w:val="none"/>
              </w:rPr>
              <w:t>分</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w:t>
            </w:r>
          </w:p>
          <w:p w14:paraId="0A2B4E29">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1.具有</w:t>
            </w:r>
            <w:r>
              <w:rPr>
                <w:rFonts w:hint="eastAsia" w:ascii="宋体" w:hAnsi="宋体" w:cs="宋体"/>
                <w:color w:val="auto"/>
                <w:szCs w:val="21"/>
                <w:highlight w:val="none"/>
                <w:lang w:val="en-US" w:eastAsia="zh-CN"/>
              </w:rPr>
              <w:t>有效的</w:t>
            </w:r>
            <w:r>
              <w:rPr>
                <w:rFonts w:hint="eastAsia" w:ascii="宋体" w:hAnsi="宋体" w:eastAsia="宋体" w:cs="宋体"/>
                <w:color w:val="auto"/>
                <w:szCs w:val="21"/>
                <w:highlight w:val="none"/>
              </w:rPr>
              <w:t>市级及以上重大决策社会稳定风险评估培训班结业证书的得</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分</w:t>
            </w:r>
            <w:r>
              <w:rPr>
                <w:rFonts w:hint="eastAsia" w:ascii="宋体" w:hAnsi="宋体" w:eastAsia="宋体" w:cs="宋体"/>
                <w:color w:val="auto"/>
                <w:szCs w:val="21"/>
                <w:highlight w:val="none"/>
                <w:lang w:val="en-US" w:eastAsia="zh-CN"/>
              </w:rPr>
              <w:t>；</w:t>
            </w:r>
          </w:p>
          <w:p w14:paraId="7B1145EF">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同时</w:t>
            </w:r>
            <w:r>
              <w:rPr>
                <w:rFonts w:hint="eastAsia" w:ascii="宋体" w:hAnsi="宋体" w:eastAsia="宋体" w:cs="宋体"/>
                <w:color w:val="auto"/>
                <w:szCs w:val="21"/>
                <w:highlight w:val="none"/>
              </w:rPr>
              <w:t>具有高级及以上职称证书的得</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分</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具有中级职称证书的得</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分</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最高得</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分</w:t>
            </w:r>
            <w:r>
              <w:rPr>
                <w:rFonts w:hint="eastAsia" w:ascii="宋体" w:hAnsi="宋体" w:eastAsia="宋体" w:cs="宋体"/>
                <w:color w:val="auto"/>
                <w:szCs w:val="21"/>
                <w:highlight w:val="none"/>
                <w:lang w:val="en-US" w:eastAsia="zh-CN"/>
              </w:rPr>
              <w:t>；</w:t>
            </w:r>
          </w:p>
          <w:p w14:paraId="11256AA0">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3.同时具有建设工程类国家级注册证书，每提供一份证书得1分，最高得</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分。</w:t>
            </w:r>
          </w:p>
          <w:p w14:paraId="7CF9BF6A">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提供相关有效证书复印件和供应商为其缴纳近一年内任意一个月的社会保险证</w:t>
            </w:r>
          </w:p>
          <w:p w14:paraId="654A54B4">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明，复印件加盖供应商公章</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w:t>
            </w:r>
          </w:p>
        </w:tc>
      </w:tr>
      <w:tr w14:paraId="74D4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32" w:hRule="atLeast"/>
          <w:jc w:val="center"/>
        </w:trPr>
        <w:tc>
          <w:tcPr>
            <w:tcW w:w="1381" w:type="dxa"/>
            <w:vMerge w:val="continue"/>
            <w:shd w:val="clear" w:color="auto" w:fill="auto"/>
            <w:noWrap/>
            <w:vAlign w:val="center"/>
          </w:tcPr>
          <w:p w14:paraId="363F9C4B">
            <w:pPr>
              <w:spacing w:line="400" w:lineRule="exact"/>
              <w:jc w:val="center"/>
              <w:rPr>
                <w:rFonts w:ascii="宋体" w:hAnsi="宋体" w:cs="宋体"/>
                <w:color w:val="auto"/>
                <w:szCs w:val="21"/>
              </w:rPr>
            </w:pPr>
          </w:p>
        </w:tc>
        <w:tc>
          <w:tcPr>
            <w:tcW w:w="8455" w:type="dxa"/>
            <w:shd w:val="clear" w:color="auto" w:fill="auto"/>
            <w:noWrap/>
            <w:vAlign w:val="center"/>
          </w:tcPr>
          <w:p w14:paraId="316B17EB">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项目组其他人员</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不含项目负责人</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本项满分</w:t>
            </w:r>
            <w:r>
              <w:rPr>
                <w:rFonts w:hint="eastAsia" w:ascii="宋体" w:hAnsi="宋体" w:cs="宋体"/>
                <w:b/>
                <w:bCs/>
                <w:color w:val="auto"/>
                <w:szCs w:val="21"/>
                <w:highlight w:val="none"/>
                <w:lang w:val="en-US" w:eastAsia="zh-CN"/>
              </w:rPr>
              <w:t>15</w:t>
            </w:r>
            <w:r>
              <w:rPr>
                <w:rFonts w:hint="eastAsia" w:ascii="宋体" w:hAnsi="宋体" w:eastAsia="宋体" w:cs="宋体"/>
                <w:b/>
                <w:bCs/>
                <w:color w:val="auto"/>
                <w:szCs w:val="21"/>
                <w:highlight w:val="none"/>
              </w:rPr>
              <w:t>分</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w:t>
            </w:r>
          </w:p>
          <w:p w14:paraId="0CE4888C">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1.具有</w:t>
            </w:r>
            <w:r>
              <w:rPr>
                <w:rFonts w:hint="eastAsia" w:ascii="宋体" w:hAnsi="宋体" w:cs="宋体"/>
                <w:color w:val="auto"/>
                <w:szCs w:val="21"/>
                <w:highlight w:val="none"/>
                <w:lang w:val="en-US" w:eastAsia="zh-CN"/>
              </w:rPr>
              <w:t>有效的</w:t>
            </w:r>
            <w:r>
              <w:rPr>
                <w:rFonts w:hint="eastAsia" w:ascii="宋体" w:hAnsi="宋体" w:eastAsia="宋体" w:cs="宋体"/>
                <w:color w:val="auto"/>
                <w:szCs w:val="21"/>
                <w:highlight w:val="none"/>
              </w:rPr>
              <w:t>市级及以上重大决策社会稳定风险评估培训班结业证书的</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有一人得</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分，最高得</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分。</w:t>
            </w:r>
          </w:p>
          <w:p w14:paraId="68F15C6E">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2.上述人员，同时具有以下职称证书或注册证书的，按以下加分</w:t>
            </w:r>
            <w:r>
              <w:rPr>
                <w:rFonts w:hint="eastAsia" w:ascii="宋体" w:hAnsi="宋体" w:cs="宋体"/>
                <w:color w:val="auto"/>
                <w:szCs w:val="21"/>
                <w:highlight w:val="none"/>
                <w:lang w:eastAsia="zh-CN"/>
              </w:rPr>
              <w:t>：</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最高得</w:t>
            </w:r>
            <w:r>
              <w:rPr>
                <w:rFonts w:hint="eastAsia" w:ascii="宋体" w:hAnsi="宋体" w:cs="宋体"/>
                <w:b/>
                <w:bCs/>
                <w:color w:val="auto"/>
                <w:szCs w:val="21"/>
                <w:highlight w:val="none"/>
                <w:lang w:val="en-US" w:eastAsia="zh-CN"/>
              </w:rPr>
              <w:t>9</w:t>
            </w:r>
            <w:r>
              <w:rPr>
                <w:rFonts w:hint="eastAsia" w:ascii="宋体" w:hAnsi="宋体" w:eastAsia="宋体" w:cs="宋体"/>
                <w:b/>
                <w:bCs/>
                <w:color w:val="auto"/>
                <w:szCs w:val="21"/>
                <w:highlight w:val="none"/>
              </w:rPr>
              <w:t>分</w:t>
            </w:r>
            <w:r>
              <w:rPr>
                <w:rFonts w:hint="eastAsia" w:ascii="宋体" w:hAnsi="宋体" w:cs="宋体"/>
                <w:b/>
                <w:bCs/>
                <w:color w:val="auto"/>
                <w:szCs w:val="21"/>
                <w:highlight w:val="none"/>
                <w:lang w:eastAsia="zh-CN"/>
              </w:rPr>
              <w:t>）</w:t>
            </w:r>
          </w:p>
          <w:p w14:paraId="54143C98">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具有高级及以上职称证书的有</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人得</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分</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具有</w:t>
            </w:r>
            <w:r>
              <w:rPr>
                <w:rFonts w:hint="eastAsia" w:ascii="宋体" w:hAnsi="宋体" w:eastAsia="宋体" w:cs="宋体"/>
                <w:color w:val="auto"/>
                <w:szCs w:val="21"/>
                <w:highlight w:val="none"/>
              </w:rPr>
              <w:t>中级职称证书的有1人得</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最</w:t>
            </w:r>
          </w:p>
          <w:p w14:paraId="4A5A3C71">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高得</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分</w:t>
            </w:r>
            <w:r>
              <w:rPr>
                <w:rFonts w:hint="eastAsia" w:ascii="宋体" w:hAnsi="宋体" w:eastAsia="宋体" w:cs="宋体"/>
                <w:color w:val="auto"/>
                <w:szCs w:val="21"/>
                <w:highlight w:val="none"/>
                <w:lang w:val="en-US" w:eastAsia="zh-CN"/>
              </w:rPr>
              <w:t>；</w:t>
            </w:r>
            <w:r>
              <w:rPr>
                <w:rFonts w:hint="eastAsia" w:ascii="宋体" w:hAnsi="宋体" w:cs="宋体"/>
                <w:b/>
                <w:bCs/>
                <w:color w:val="auto"/>
                <w:szCs w:val="21"/>
                <w:highlight w:val="none"/>
                <w:lang w:val="en-US" w:eastAsia="zh-CN"/>
              </w:rPr>
              <w:t>（</w:t>
            </w:r>
            <w:r>
              <w:rPr>
                <w:rFonts w:hint="eastAsia" w:ascii="宋体" w:hAnsi="宋体" w:eastAsia="宋体" w:cs="宋体"/>
                <w:b/>
                <w:bCs/>
                <w:color w:val="auto"/>
                <w:szCs w:val="21"/>
                <w:highlight w:val="none"/>
              </w:rPr>
              <w:t>同一人员证书以最高等级计取</w:t>
            </w:r>
            <w:r>
              <w:rPr>
                <w:rFonts w:hint="eastAsia" w:ascii="宋体" w:hAnsi="宋体" w:cs="宋体"/>
                <w:b/>
                <w:bCs/>
                <w:color w:val="auto"/>
                <w:szCs w:val="21"/>
                <w:highlight w:val="none"/>
                <w:lang w:eastAsia="zh-CN"/>
              </w:rPr>
              <w:t>）</w:t>
            </w:r>
          </w:p>
          <w:p w14:paraId="49F4C608">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具有建设工程类国家级注册证书，每提供1人得1分，最高得</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分</w:t>
            </w:r>
            <w:r>
              <w:rPr>
                <w:rFonts w:hint="eastAsia" w:ascii="宋体" w:hAnsi="宋体" w:eastAsia="宋体" w:cs="宋体"/>
                <w:color w:val="auto"/>
                <w:szCs w:val="21"/>
                <w:highlight w:val="none"/>
                <w:lang w:val="en-US" w:eastAsia="zh-CN"/>
              </w:rPr>
              <w:t>；</w:t>
            </w:r>
          </w:p>
          <w:p w14:paraId="53B4B516">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提供相关有效证书复印件和供应商为其缴纳近一年内任意一个月的社会</w:t>
            </w:r>
            <w:bookmarkStart w:id="117" w:name="_GoBack"/>
            <w:bookmarkEnd w:id="117"/>
            <w:r>
              <w:rPr>
                <w:rFonts w:hint="eastAsia" w:ascii="宋体" w:hAnsi="宋体" w:eastAsia="宋体" w:cs="宋体"/>
                <w:b/>
                <w:bCs/>
                <w:color w:val="auto"/>
                <w:szCs w:val="21"/>
                <w:highlight w:val="none"/>
              </w:rPr>
              <w:t>保险证</w:t>
            </w:r>
          </w:p>
          <w:p w14:paraId="72A0F79E">
            <w:pPr>
              <w:keepNext w:val="0"/>
              <w:keepLines w:val="0"/>
              <w:pageBreakBefore w:val="0"/>
              <w:widowControl w:val="0"/>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明，复印件加盖供应商公章</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w:t>
            </w:r>
          </w:p>
        </w:tc>
      </w:tr>
      <w:tr w14:paraId="1413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81" w:type="dxa"/>
            <w:noWrap/>
            <w:vAlign w:val="center"/>
          </w:tcPr>
          <w:p w14:paraId="4125501C">
            <w:pPr>
              <w:spacing w:line="400" w:lineRule="exact"/>
              <w:jc w:val="center"/>
              <w:rPr>
                <w:rFonts w:ascii="宋体" w:hAnsi="宋体" w:cs="宋体"/>
                <w:color w:val="auto"/>
                <w:szCs w:val="21"/>
              </w:rPr>
            </w:pPr>
            <w:r>
              <w:rPr>
                <w:rFonts w:hint="eastAsia" w:ascii="宋体" w:hAnsi="宋体" w:cs="宋体"/>
                <w:color w:val="auto"/>
                <w:szCs w:val="21"/>
              </w:rPr>
              <w:t>企业实力</w:t>
            </w:r>
          </w:p>
          <w:p w14:paraId="50F1E715">
            <w:pPr>
              <w:spacing w:line="400" w:lineRule="exact"/>
              <w:jc w:val="center"/>
              <w:rPr>
                <w:rFonts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分）</w:t>
            </w:r>
          </w:p>
        </w:tc>
        <w:tc>
          <w:tcPr>
            <w:tcW w:w="8455" w:type="dxa"/>
            <w:noWrap/>
          </w:tcPr>
          <w:p w14:paraId="3FBC5E39">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210" w:leftChars="100" w:right="210" w:rightChars="100"/>
              <w:textAlignment w:val="auto"/>
              <w:rPr>
                <w:rFonts w:hint="eastAsia" w:ascii="宋体" w:hAnsi="宋体" w:cs="宋体"/>
                <w:b/>
                <w:bCs/>
                <w:color w:val="auto"/>
                <w:szCs w:val="21"/>
              </w:rPr>
            </w:pPr>
            <w:r>
              <w:rPr>
                <w:rFonts w:hint="eastAsia" w:ascii="宋体" w:hAnsi="宋体" w:cs="宋体"/>
                <w:b w:val="0"/>
                <w:bCs w:val="0"/>
                <w:color w:val="auto"/>
                <w:szCs w:val="21"/>
                <w:highlight w:val="none"/>
              </w:rPr>
              <w:t>供应商具有在有效期内的工程咨询单位甲级资信证书的得3分，工程咨询单位乙级资信证书的得</w:t>
            </w:r>
            <w:r>
              <w:rPr>
                <w:rFonts w:hint="eastAsia" w:ascii="宋体" w:hAnsi="宋体" w:cs="宋体"/>
                <w:b w:val="0"/>
                <w:bCs w:val="0"/>
                <w:color w:val="auto"/>
                <w:szCs w:val="21"/>
                <w:highlight w:val="none"/>
                <w:lang w:val="en-US" w:eastAsia="zh-CN"/>
              </w:rPr>
              <w:t>1</w:t>
            </w:r>
            <w:r>
              <w:rPr>
                <w:rFonts w:hint="eastAsia" w:ascii="宋体" w:hAnsi="宋体" w:cs="宋体"/>
                <w:b w:val="0"/>
                <w:bCs w:val="0"/>
                <w:color w:val="auto"/>
                <w:szCs w:val="21"/>
                <w:highlight w:val="none"/>
              </w:rPr>
              <w:t>分</w:t>
            </w:r>
            <w:r>
              <w:rPr>
                <w:rFonts w:hint="eastAsia" w:ascii="宋体" w:hAnsi="宋体" w:cs="宋体"/>
                <w:b w:val="0"/>
                <w:bCs w:val="0"/>
                <w:color w:val="auto"/>
                <w:szCs w:val="21"/>
              </w:rPr>
              <w:t>；本项满分</w:t>
            </w:r>
            <w:r>
              <w:rPr>
                <w:rFonts w:hint="eastAsia" w:ascii="宋体" w:hAnsi="宋体" w:cs="宋体"/>
                <w:b w:val="0"/>
                <w:bCs w:val="0"/>
                <w:color w:val="auto"/>
                <w:szCs w:val="21"/>
                <w:lang w:val="en-US" w:eastAsia="zh-CN"/>
              </w:rPr>
              <w:t>3</w:t>
            </w:r>
            <w:r>
              <w:rPr>
                <w:rFonts w:hint="eastAsia" w:ascii="宋体" w:hAnsi="宋体" w:cs="宋体"/>
                <w:b w:val="0"/>
                <w:bCs w:val="0"/>
                <w:color w:val="auto"/>
                <w:szCs w:val="21"/>
              </w:rPr>
              <w:t>分。</w:t>
            </w:r>
            <w:r>
              <w:rPr>
                <w:rFonts w:hint="eastAsia" w:ascii="宋体" w:hAnsi="宋体" w:cs="宋体"/>
                <w:b/>
                <w:bCs/>
                <w:color w:val="auto"/>
                <w:szCs w:val="21"/>
              </w:rPr>
              <w:t>（提供</w:t>
            </w:r>
            <w:r>
              <w:rPr>
                <w:rFonts w:hint="eastAsia" w:ascii="宋体" w:hAnsi="宋体" w:cs="宋体"/>
                <w:b/>
                <w:bCs/>
                <w:color w:val="auto"/>
                <w:szCs w:val="21"/>
                <w:lang w:val="en-US" w:eastAsia="zh-CN"/>
              </w:rPr>
              <w:t>有效</w:t>
            </w:r>
            <w:r>
              <w:rPr>
                <w:rFonts w:hint="eastAsia" w:ascii="宋体" w:hAnsi="宋体" w:cs="宋体"/>
                <w:b/>
                <w:bCs/>
                <w:color w:val="auto"/>
                <w:szCs w:val="21"/>
              </w:rPr>
              <w:t>证书复印件并加盖公章）</w:t>
            </w:r>
          </w:p>
        </w:tc>
      </w:tr>
    </w:tbl>
    <w:p w14:paraId="22FEC7EC">
      <w:pPr>
        <w:spacing w:line="360" w:lineRule="auto"/>
        <w:ind w:firstLine="422" w:firstLineChars="200"/>
        <w:rPr>
          <w:rFonts w:ascii="宋体" w:hAnsi="宋体" w:cs="宋体"/>
          <w:b/>
          <w:color w:val="auto"/>
          <w:szCs w:val="21"/>
        </w:rPr>
      </w:pPr>
      <w:r>
        <w:rPr>
          <w:rFonts w:hint="eastAsia" w:ascii="宋体" w:hAnsi="宋体" w:cs="宋体"/>
          <w:b/>
          <w:color w:val="auto"/>
          <w:szCs w:val="21"/>
        </w:rPr>
        <w:t>三、磋商小组启动异常低价投标（响应）审查的情形和具体要求，包括：</w:t>
      </w:r>
    </w:p>
    <w:p w14:paraId="239C9039">
      <w:pPr>
        <w:tabs>
          <w:tab w:val="left" w:pos="1134"/>
        </w:tabs>
        <w:spacing w:line="360" w:lineRule="auto"/>
        <w:ind w:firstLine="420" w:firstLineChars="200"/>
        <w:contextualSpacing/>
        <w:rPr>
          <w:rFonts w:ascii="宋体" w:hAnsi="宋体" w:cs="宋体"/>
          <w:color w:val="auto"/>
          <w:szCs w:val="21"/>
        </w:rPr>
      </w:pPr>
      <w:r>
        <w:rPr>
          <w:rFonts w:hint="eastAsia" w:ascii="宋体" w:hAnsi="宋体" w:cs="宋体"/>
          <w:color w:val="auto"/>
          <w:szCs w:val="21"/>
        </w:rPr>
        <w:t>（一）评审过程中出现下列情形之一的，磋商小组应当启动异常低价投标（响应）审查程序：</w:t>
      </w:r>
    </w:p>
    <w:p w14:paraId="3ED4269A">
      <w:pPr>
        <w:tabs>
          <w:tab w:val="left" w:pos="900"/>
        </w:tabs>
        <w:spacing w:line="360" w:lineRule="auto"/>
        <w:ind w:firstLine="420" w:firstLineChars="200"/>
        <w:rPr>
          <w:rFonts w:ascii="宋体" w:hAnsi="宋体" w:cs="宋体"/>
          <w:b w:val="0"/>
          <w:bCs w:val="0"/>
          <w:color w:val="auto"/>
          <w:szCs w:val="21"/>
        </w:rPr>
      </w:pPr>
      <w:r>
        <w:rPr>
          <w:rFonts w:hint="eastAsia" w:ascii="宋体" w:hAnsi="宋体" w:cs="宋体"/>
          <w:b w:val="0"/>
          <w:bCs w:val="0"/>
          <w:color w:val="auto"/>
          <w:szCs w:val="21"/>
          <w:lang w:val="en-US" w:eastAsia="zh-CN"/>
        </w:rPr>
        <w:t>1.</w:t>
      </w:r>
      <w:r>
        <w:rPr>
          <w:rFonts w:hint="eastAsia" w:ascii="宋体" w:hAnsi="宋体" w:cs="宋体"/>
          <w:b w:val="0"/>
          <w:bCs w:val="0"/>
          <w:color w:val="auto"/>
          <w:szCs w:val="21"/>
        </w:rPr>
        <w:t>投标（响应）报价低于全部通过符合性审查供应商投标（响应）报价平均值50%的，即投标（响应）报价＜全部通过符合性审查供应商投标（响应）报价平均值×50%；</w:t>
      </w:r>
    </w:p>
    <w:p w14:paraId="3FED6C09">
      <w:pPr>
        <w:tabs>
          <w:tab w:val="left" w:pos="900"/>
        </w:tabs>
        <w:spacing w:line="360" w:lineRule="auto"/>
        <w:ind w:firstLine="420" w:firstLineChars="200"/>
        <w:rPr>
          <w:rFonts w:ascii="宋体" w:hAnsi="宋体" w:cs="宋体"/>
          <w:b w:val="0"/>
          <w:bCs w:val="0"/>
          <w:color w:val="auto"/>
          <w:szCs w:val="21"/>
        </w:rPr>
      </w:pPr>
      <w:r>
        <w:rPr>
          <w:rFonts w:hint="eastAsia" w:ascii="宋体" w:hAnsi="宋体" w:cs="宋体"/>
          <w:b w:val="0"/>
          <w:bCs w:val="0"/>
          <w:color w:val="auto"/>
          <w:szCs w:val="21"/>
          <w:lang w:val="en-US" w:eastAsia="zh-CN"/>
        </w:rPr>
        <w:t>2.</w:t>
      </w:r>
      <w:r>
        <w:rPr>
          <w:rFonts w:hint="eastAsia" w:ascii="宋体" w:hAnsi="宋体" w:cs="宋体"/>
          <w:b w:val="0"/>
          <w:bCs w:val="0"/>
          <w:color w:val="auto"/>
          <w:szCs w:val="21"/>
        </w:rPr>
        <w:t>投标（响应）报价低于通过符合性审查的次低报价供应商投标（响应）报价50%的，即投标（响应）报价＜通过符合性审查的次低报价供应商投标（响应）报价×50%；</w:t>
      </w:r>
    </w:p>
    <w:p w14:paraId="2BCBA20B">
      <w:pPr>
        <w:tabs>
          <w:tab w:val="left" w:pos="900"/>
        </w:tabs>
        <w:spacing w:line="360" w:lineRule="auto"/>
        <w:ind w:firstLine="420" w:firstLineChars="200"/>
        <w:rPr>
          <w:rFonts w:ascii="宋体" w:hAnsi="宋体" w:cs="宋体"/>
          <w:b w:val="0"/>
          <w:bCs w:val="0"/>
          <w:color w:val="auto"/>
          <w:szCs w:val="21"/>
        </w:rPr>
      </w:pPr>
      <w:r>
        <w:rPr>
          <w:rFonts w:hint="eastAsia" w:ascii="宋体" w:hAnsi="宋体" w:cs="宋体"/>
          <w:b w:val="0"/>
          <w:bCs w:val="0"/>
          <w:color w:val="auto"/>
          <w:szCs w:val="21"/>
          <w:lang w:val="en-US" w:eastAsia="zh-CN"/>
        </w:rPr>
        <w:t>3.</w:t>
      </w:r>
      <w:r>
        <w:rPr>
          <w:rFonts w:hint="eastAsia" w:ascii="宋体" w:hAnsi="宋体" w:cs="宋体"/>
          <w:b w:val="0"/>
          <w:bCs w:val="0"/>
          <w:color w:val="auto"/>
          <w:szCs w:val="21"/>
        </w:rPr>
        <w:t>投标（响应）报价低于采购项目最高限价45%的，即投标（响应）报价＜采购项目最高限价×45%；</w:t>
      </w:r>
    </w:p>
    <w:p w14:paraId="24698755">
      <w:pPr>
        <w:tabs>
          <w:tab w:val="left" w:pos="1134"/>
        </w:tabs>
        <w:spacing w:line="360" w:lineRule="auto"/>
        <w:ind w:firstLine="420" w:firstLineChars="200"/>
        <w:contextualSpacing/>
        <w:rPr>
          <w:rFonts w:ascii="宋体" w:hAnsi="宋体" w:cs="宋体"/>
          <w:color w:val="auto"/>
          <w:szCs w:val="21"/>
        </w:rPr>
      </w:pPr>
      <w:r>
        <w:rPr>
          <w:rFonts w:hint="eastAsia" w:ascii="宋体" w:hAnsi="宋体" w:cs="宋体"/>
          <w:color w:val="auto"/>
          <w:szCs w:val="21"/>
        </w:rPr>
        <w:t>4.磋商小组基于专业判断，认为供应商报价过低，有可能影响产品质量或者不能诚信履约的其他情形。</w:t>
      </w:r>
    </w:p>
    <w:p w14:paraId="50EFC879">
      <w:pPr>
        <w:tabs>
          <w:tab w:val="left" w:pos="1134"/>
        </w:tabs>
        <w:spacing w:line="360" w:lineRule="auto"/>
        <w:ind w:firstLine="420" w:firstLineChars="200"/>
        <w:contextualSpacing/>
        <w:rPr>
          <w:rFonts w:ascii="宋体" w:hAnsi="宋体" w:cs="宋体"/>
          <w:color w:val="auto"/>
          <w:szCs w:val="21"/>
        </w:rPr>
      </w:pPr>
      <w:r>
        <w:rPr>
          <w:rFonts w:hint="eastAsia" w:ascii="宋体" w:hAnsi="宋体" w:cs="宋体"/>
          <w:color w:val="auto"/>
          <w:szCs w:val="21"/>
        </w:rPr>
        <w:t>（二）磋商小组启动异常低价投标（响应）审查后，属于前述第1项至第4项情形的，应当要求相关供应商在评审现场合理的时间内对投标（响应）价格作出解释</w:t>
      </w:r>
      <w:r>
        <w:rPr>
          <w:rFonts w:hint="eastAsia" w:ascii="宋体" w:hAnsi="宋体" w:cs="宋体"/>
          <w:color w:val="auto"/>
          <w:szCs w:val="21"/>
          <w:lang w:eastAsia="zh-CN"/>
        </w:rPr>
        <w:t>，并</w:t>
      </w:r>
      <w:r>
        <w:rPr>
          <w:rFonts w:hint="eastAsia" w:ascii="宋体" w:hAnsi="宋体" w:cs="宋体"/>
          <w:color w:val="auto"/>
          <w:szCs w:val="21"/>
        </w:rPr>
        <w:t>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BD015B">
      <w:pPr>
        <w:tabs>
          <w:tab w:val="left" w:pos="1134"/>
        </w:tabs>
        <w:spacing w:line="360" w:lineRule="auto"/>
        <w:ind w:firstLine="420" w:firstLineChars="200"/>
        <w:contextualSpacing/>
        <w:rPr>
          <w:rFonts w:ascii="宋体" w:hAnsi="宋体" w:cs="宋体"/>
          <w:color w:val="auto"/>
          <w:szCs w:val="21"/>
        </w:rPr>
      </w:pPr>
      <w:r>
        <w:rPr>
          <w:rFonts w:hint="eastAsia" w:ascii="宋体" w:hAnsi="宋体" w:cs="宋体"/>
          <w:color w:val="auto"/>
          <w:szCs w:val="21"/>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0C5F1007">
      <w:pPr>
        <w:tabs>
          <w:tab w:val="left" w:pos="1134"/>
        </w:tabs>
        <w:spacing w:line="360" w:lineRule="auto"/>
        <w:ind w:firstLine="420" w:firstLineChars="200"/>
        <w:contextualSpacing/>
        <w:rPr>
          <w:rFonts w:ascii="宋体" w:hAnsi="宋体" w:cs="宋体"/>
          <w:color w:val="auto"/>
          <w:szCs w:val="21"/>
        </w:rPr>
      </w:pPr>
      <w:r>
        <w:rPr>
          <w:rFonts w:hint="eastAsia" w:ascii="宋体" w:hAnsi="宋体" w:cs="宋体"/>
          <w:color w:val="auto"/>
          <w:szCs w:val="21"/>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3C6129E5">
      <w:pPr>
        <w:spacing w:line="360" w:lineRule="auto"/>
        <w:ind w:firstLine="420" w:firstLineChars="200"/>
        <w:rPr>
          <w:color w:val="auto"/>
          <w:sz w:val="36"/>
        </w:rPr>
      </w:pPr>
      <w:r>
        <w:rPr>
          <w:rFonts w:hint="eastAsia" w:ascii="宋体" w:hAnsi="宋体" w:cs="宋体"/>
          <w:color w:val="auto"/>
          <w:szCs w:val="21"/>
        </w:rPr>
        <w:t>异常低价投标（响应）审查的启动原因、审查意见和审查结果应当在评审报告中记录，并随供应商提供的相关书面说明及证明材料，以及磋商小组有关互联网浏览、查询历史一并归档。</w:t>
      </w:r>
      <w:r>
        <w:rPr>
          <w:color w:val="auto"/>
          <w:sz w:val="36"/>
        </w:rPr>
        <w:br w:type="page"/>
      </w:r>
      <w:bookmarkStart w:id="114" w:name="_Toc8422"/>
    </w:p>
    <w:p w14:paraId="7359221B">
      <w:pPr>
        <w:pStyle w:val="2"/>
        <w:rPr>
          <w:color w:val="auto"/>
        </w:rPr>
      </w:pPr>
      <w:bookmarkStart w:id="115" w:name="_Toc41"/>
      <w:r>
        <w:rPr>
          <w:rFonts w:hint="eastAsia"/>
          <w:color w:val="auto"/>
        </w:rPr>
        <w:t xml:space="preserve">第六章 </w:t>
      </w:r>
      <w:r>
        <w:rPr>
          <w:color w:val="auto"/>
        </w:rPr>
        <w:t>竞争性磋商响应文件格式</w:t>
      </w:r>
      <w:bookmarkEnd w:id="113"/>
      <w:bookmarkEnd w:id="114"/>
      <w:bookmarkEnd w:id="115"/>
    </w:p>
    <w:p w14:paraId="2F069999">
      <w:pPr>
        <w:jc w:val="center"/>
        <w:rPr>
          <w:b/>
          <w:color w:val="auto"/>
          <w:sz w:val="36"/>
        </w:rPr>
      </w:pPr>
    </w:p>
    <w:p w14:paraId="43C159EE">
      <w:pPr>
        <w:jc w:val="center"/>
        <w:rPr>
          <w:b/>
          <w:color w:val="auto"/>
          <w:szCs w:val="21"/>
        </w:rPr>
      </w:pPr>
    </w:p>
    <w:p w14:paraId="0D14B898">
      <w:pPr>
        <w:spacing w:line="360" w:lineRule="auto"/>
        <w:jc w:val="center"/>
        <w:rPr>
          <w:rFonts w:ascii="宋体" w:hAnsi="宋体" w:cs="Arial"/>
          <w:b/>
          <w:color w:val="auto"/>
          <w:sz w:val="32"/>
          <w:szCs w:val="32"/>
        </w:rPr>
      </w:pPr>
      <w:r>
        <w:rPr>
          <w:rFonts w:hint="eastAsia" w:ascii="宋体" w:hAnsi="宋体" w:cs="Arial"/>
          <w:b/>
          <w:color w:val="auto"/>
          <w:sz w:val="32"/>
          <w:szCs w:val="32"/>
        </w:rPr>
        <w:t>竞争性磋商响应文件</w:t>
      </w:r>
    </w:p>
    <w:p w14:paraId="1920867E">
      <w:pPr>
        <w:spacing w:line="360" w:lineRule="auto"/>
        <w:jc w:val="center"/>
        <w:rPr>
          <w:rFonts w:ascii="宋体" w:hAnsi="宋体" w:cs="Arial"/>
          <w:b/>
          <w:color w:val="auto"/>
          <w:sz w:val="32"/>
          <w:szCs w:val="32"/>
        </w:rPr>
      </w:pPr>
    </w:p>
    <w:p w14:paraId="568D9066">
      <w:pPr>
        <w:spacing w:line="360" w:lineRule="auto"/>
        <w:jc w:val="center"/>
        <w:rPr>
          <w:rFonts w:ascii="宋体" w:hAnsi="宋体" w:cs="Arial"/>
          <w:b/>
          <w:color w:val="auto"/>
          <w:sz w:val="32"/>
          <w:szCs w:val="32"/>
        </w:rPr>
      </w:pPr>
      <w:r>
        <w:rPr>
          <w:rFonts w:hint="eastAsia" w:ascii="宋体" w:hAnsi="宋体" w:cs="Arial"/>
          <w:b/>
          <w:color w:val="auto"/>
          <w:sz w:val="32"/>
          <w:szCs w:val="32"/>
        </w:rPr>
        <w:t>（正本或副本）</w:t>
      </w:r>
    </w:p>
    <w:p w14:paraId="1CD26E73">
      <w:pPr>
        <w:spacing w:line="360" w:lineRule="auto"/>
        <w:rPr>
          <w:rFonts w:ascii="宋体" w:hAnsi="宋体" w:cs="Arial"/>
          <w:bCs/>
          <w:color w:val="auto"/>
          <w:szCs w:val="44"/>
        </w:rPr>
      </w:pPr>
    </w:p>
    <w:p w14:paraId="056669A5">
      <w:pPr>
        <w:spacing w:line="360" w:lineRule="auto"/>
        <w:rPr>
          <w:rFonts w:ascii="宋体" w:hAnsi="宋体" w:cs="Arial"/>
          <w:bCs/>
          <w:color w:val="auto"/>
          <w:szCs w:val="44"/>
        </w:rPr>
      </w:pPr>
    </w:p>
    <w:p w14:paraId="58946993">
      <w:pPr>
        <w:spacing w:line="360" w:lineRule="auto"/>
        <w:ind w:firstLine="960" w:firstLineChars="300"/>
        <w:jc w:val="left"/>
        <w:rPr>
          <w:rFonts w:ascii="宋体" w:hAnsi="宋体" w:cs="Arial"/>
          <w:bCs/>
          <w:color w:val="auto"/>
          <w:sz w:val="32"/>
          <w:szCs w:val="32"/>
        </w:rPr>
      </w:pPr>
    </w:p>
    <w:p w14:paraId="7429728F">
      <w:pPr>
        <w:spacing w:line="360" w:lineRule="auto"/>
        <w:ind w:firstLine="960" w:firstLineChars="300"/>
        <w:jc w:val="left"/>
        <w:rPr>
          <w:rFonts w:ascii="宋体" w:hAnsi="宋体" w:cs="Arial"/>
          <w:bCs/>
          <w:color w:val="auto"/>
          <w:sz w:val="32"/>
          <w:szCs w:val="32"/>
        </w:rPr>
      </w:pPr>
    </w:p>
    <w:p w14:paraId="263EBC1A">
      <w:pPr>
        <w:spacing w:line="360" w:lineRule="auto"/>
        <w:ind w:firstLine="960" w:firstLineChars="300"/>
        <w:jc w:val="left"/>
        <w:rPr>
          <w:rFonts w:ascii="宋体" w:hAnsi="宋体" w:cs="Arial"/>
          <w:bCs/>
          <w:color w:val="auto"/>
          <w:sz w:val="32"/>
          <w:szCs w:val="32"/>
        </w:rPr>
      </w:pPr>
      <w:r>
        <w:rPr>
          <w:rFonts w:hint="eastAsia" w:ascii="宋体" w:hAnsi="宋体" w:cs="Arial"/>
          <w:bCs/>
          <w:color w:val="auto"/>
          <w:sz w:val="32"/>
          <w:szCs w:val="32"/>
        </w:rPr>
        <w:t>项目名称：</w:t>
      </w:r>
    </w:p>
    <w:p w14:paraId="1092C432">
      <w:pPr>
        <w:spacing w:line="360" w:lineRule="auto"/>
        <w:ind w:firstLine="988" w:firstLineChars="309"/>
        <w:jc w:val="left"/>
        <w:rPr>
          <w:rFonts w:ascii="宋体" w:hAnsi="宋体" w:cs="Arial"/>
          <w:bCs/>
          <w:color w:val="auto"/>
          <w:sz w:val="32"/>
          <w:szCs w:val="32"/>
        </w:rPr>
      </w:pPr>
      <w:r>
        <w:rPr>
          <w:rFonts w:hint="eastAsia" w:ascii="宋体" w:hAnsi="宋体" w:cs="Arial"/>
          <w:bCs/>
          <w:color w:val="auto"/>
          <w:sz w:val="32"/>
          <w:szCs w:val="32"/>
        </w:rPr>
        <w:t>项目编号：</w:t>
      </w:r>
    </w:p>
    <w:p w14:paraId="2F4E9990">
      <w:pPr>
        <w:spacing w:line="360" w:lineRule="auto"/>
        <w:ind w:firstLine="988" w:firstLineChars="309"/>
        <w:jc w:val="left"/>
        <w:rPr>
          <w:rFonts w:ascii="宋体" w:hAnsi="宋体" w:cs="Arial"/>
          <w:bCs/>
          <w:color w:val="auto"/>
          <w:sz w:val="32"/>
          <w:szCs w:val="32"/>
        </w:rPr>
      </w:pPr>
      <w:r>
        <w:rPr>
          <w:rFonts w:hint="eastAsia" w:ascii="宋体" w:hAnsi="宋体" w:cs="Arial"/>
          <w:bCs/>
          <w:color w:val="auto"/>
          <w:sz w:val="32"/>
          <w:szCs w:val="32"/>
        </w:rPr>
        <w:t xml:space="preserve">磋商供应商名称：               </w:t>
      </w:r>
    </w:p>
    <w:p w14:paraId="196DE119">
      <w:pPr>
        <w:spacing w:line="360" w:lineRule="auto"/>
        <w:ind w:firstLine="988" w:firstLineChars="309"/>
        <w:jc w:val="left"/>
        <w:rPr>
          <w:rFonts w:ascii="宋体" w:hAnsi="宋体" w:cs="Arial"/>
          <w:bCs/>
          <w:color w:val="auto"/>
          <w:sz w:val="32"/>
          <w:szCs w:val="32"/>
        </w:rPr>
      </w:pPr>
      <w:r>
        <w:rPr>
          <w:rFonts w:hint="eastAsia" w:ascii="宋体" w:hAnsi="宋体" w:cs="Arial"/>
          <w:bCs/>
          <w:color w:val="auto"/>
          <w:sz w:val="32"/>
          <w:szCs w:val="32"/>
        </w:rPr>
        <w:t>磋商供应商地址：</w:t>
      </w:r>
    </w:p>
    <w:p w14:paraId="7E4F99C1">
      <w:pPr>
        <w:spacing w:line="360" w:lineRule="auto"/>
        <w:ind w:firstLine="988" w:firstLineChars="309"/>
        <w:jc w:val="left"/>
        <w:rPr>
          <w:rFonts w:ascii="宋体" w:hAnsi="宋体" w:cs="Arial"/>
          <w:bCs/>
          <w:color w:val="auto"/>
          <w:sz w:val="32"/>
          <w:szCs w:val="32"/>
        </w:rPr>
      </w:pPr>
      <w:r>
        <w:rPr>
          <w:rFonts w:hint="eastAsia" w:ascii="宋体" w:hAnsi="宋体" w:cs="Arial"/>
          <w:bCs/>
          <w:color w:val="auto"/>
          <w:sz w:val="32"/>
          <w:szCs w:val="32"/>
        </w:rPr>
        <w:t>日期：</w:t>
      </w:r>
    </w:p>
    <w:p w14:paraId="25AB8088">
      <w:pPr>
        <w:autoSpaceDE w:val="0"/>
        <w:autoSpaceDN w:val="0"/>
        <w:adjustRightInd w:val="0"/>
        <w:spacing w:line="360" w:lineRule="auto"/>
        <w:rPr>
          <w:b/>
          <w:bCs/>
          <w:color w:val="auto"/>
          <w:sz w:val="28"/>
          <w:szCs w:val="28"/>
          <w:lang w:val="zh-CN"/>
        </w:rPr>
      </w:pPr>
    </w:p>
    <w:p w14:paraId="00256121">
      <w:pPr>
        <w:pStyle w:val="49"/>
        <w:ind w:firstLine="562"/>
        <w:rPr>
          <w:b/>
          <w:bCs/>
          <w:color w:val="auto"/>
          <w:sz w:val="28"/>
          <w:szCs w:val="28"/>
          <w:lang w:val="zh-CN"/>
        </w:rPr>
      </w:pPr>
    </w:p>
    <w:p w14:paraId="3B843FAE">
      <w:pPr>
        <w:autoSpaceDE w:val="0"/>
        <w:autoSpaceDN w:val="0"/>
        <w:adjustRightInd w:val="0"/>
        <w:spacing w:line="360" w:lineRule="auto"/>
        <w:rPr>
          <w:b/>
          <w:bCs/>
          <w:color w:val="auto"/>
          <w:sz w:val="32"/>
          <w:szCs w:val="32"/>
        </w:rPr>
      </w:pPr>
      <w:r>
        <w:rPr>
          <w:b/>
          <w:bCs/>
          <w:color w:val="auto"/>
          <w:sz w:val="32"/>
          <w:szCs w:val="32"/>
          <w:lang w:val="zh-CN"/>
        </w:rPr>
        <w:t>说明：</w:t>
      </w:r>
    </w:p>
    <w:p w14:paraId="00397AC6">
      <w:pPr>
        <w:autoSpaceDE w:val="0"/>
        <w:autoSpaceDN w:val="0"/>
        <w:adjustRightInd w:val="0"/>
        <w:spacing w:line="360" w:lineRule="auto"/>
        <w:ind w:firstLine="707" w:firstLineChars="220"/>
        <w:rPr>
          <w:b/>
          <w:bCs/>
          <w:color w:val="auto"/>
          <w:sz w:val="32"/>
          <w:szCs w:val="32"/>
        </w:rPr>
      </w:pPr>
      <w:r>
        <w:rPr>
          <w:b/>
          <w:bCs/>
          <w:color w:val="auto"/>
          <w:sz w:val="32"/>
          <w:szCs w:val="32"/>
          <w:lang w:val="zh-CN"/>
        </w:rPr>
        <w:t>对本章所有的响应文件格式 ，供应商可根据自身情况进行补充和修改，但补充和修改不得造成与本格式内容有实质性的违背。</w:t>
      </w:r>
    </w:p>
    <w:p w14:paraId="415A7C26">
      <w:pPr>
        <w:spacing w:beforeLines="100" w:afterLines="100"/>
        <w:jc w:val="center"/>
        <w:rPr>
          <w:b/>
          <w:color w:val="auto"/>
          <w:szCs w:val="21"/>
        </w:rPr>
      </w:pPr>
    </w:p>
    <w:p w14:paraId="39838605">
      <w:pPr>
        <w:spacing w:beforeLines="100" w:afterLines="100"/>
        <w:jc w:val="center"/>
        <w:rPr>
          <w:b/>
          <w:color w:val="auto"/>
          <w:szCs w:val="21"/>
        </w:rPr>
      </w:pPr>
    </w:p>
    <w:p w14:paraId="272C437C">
      <w:pPr>
        <w:spacing w:beforeLines="100" w:afterLines="100"/>
        <w:jc w:val="center"/>
        <w:rPr>
          <w:b/>
          <w:color w:val="auto"/>
          <w:szCs w:val="21"/>
        </w:rPr>
      </w:pPr>
    </w:p>
    <w:p w14:paraId="7C94457E">
      <w:pPr>
        <w:spacing w:line="360" w:lineRule="auto"/>
        <w:jc w:val="center"/>
        <w:rPr>
          <w:rFonts w:ascii="宋体" w:hAnsi="宋体" w:cs="宋体"/>
          <w:b/>
          <w:color w:val="auto"/>
          <w:sz w:val="24"/>
          <w:szCs w:val="24"/>
        </w:rPr>
      </w:pPr>
      <w:r>
        <w:rPr>
          <w:rFonts w:hint="eastAsia" w:ascii="宋体" w:hAnsi="宋体" w:cs="宋体"/>
          <w:b/>
          <w:color w:val="auto"/>
          <w:sz w:val="24"/>
          <w:szCs w:val="24"/>
        </w:rPr>
        <w:t>评分索引表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416A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5670" w:type="dxa"/>
            <w:tcBorders>
              <w:top w:val="single" w:color="auto" w:sz="4" w:space="0"/>
              <w:left w:val="single" w:color="auto" w:sz="4" w:space="0"/>
              <w:bottom w:val="single" w:color="auto" w:sz="4" w:space="0"/>
              <w:right w:val="single" w:color="auto" w:sz="4" w:space="0"/>
            </w:tcBorders>
            <w:vAlign w:val="center"/>
          </w:tcPr>
          <w:p w14:paraId="1D5AD48A">
            <w:pPr>
              <w:adjustRightInd w:val="0"/>
              <w:snapToGrid w:val="0"/>
              <w:spacing w:after="200" w:line="220" w:lineRule="atLeast"/>
              <w:jc w:val="center"/>
              <w:rPr>
                <w:b/>
                <w:bCs/>
                <w:color w:val="auto"/>
              </w:rPr>
            </w:pPr>
            <w:r>
              <w:rPr>
                <w:b/>
                <w:bCs/>
                <w:color w:val="auto"/>
              </w:rPr>
              <w:t>评分项目</w:t>
            </w:r>
          </w:p>
        </w:tc>
        <w:tc>
          <w:tcPr>
            <w:tcW w:w="3570" w:type="dxa"/>
            <w:tcBorders>
              <w:top w:val="single" w:color="auto" w:sz="4" w:space="0"/>
              <w:left w:val="single" w:color="auto" w:sz="4" w:space="0"/>
              <w:bottom w:val="single" w:color="auto" w:sz="4" w:space="0"/>
              <w:right w:val="single" w:color="auto" w:sz="4" w:space="0"/>
            </w:tcBorders>
            <w:vAlign w:val="center"/>
          </w:tcPr>
          <w:p w14:paraId="7E7C4ACA">
            <w:pPr>
              <w:adjustRightInd w:val="0"/>
              <w:snapToGrid w:val="0"/>
              <w:spacing w:after="200" w:line="220" w:lineRule="atLeast"/>
              <w:jc w:val="center"/>
              <w:rPr>
                <w:b/>
                <w:bCs/>
                <w:color w:val="auto"/>
              </w:rPr>
            </w:pPr>
            <w:r>
              <w:rPr>
                <w:b/>
                <w:bCs/>
                <w:color w:val="auto"/>
              </w:rPr>
              <w:t>在响应文件中的页码位置</w:t>
            </w:r>
          </w:p>
        </w:tc>
      </w:tr>
      <w:tr w14:paraId="5207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6" w:hRule="atLeast"/>
          <w:jc w:val="center"/>
        </w:trPr>
        <w:tc>
          <w:tcPr>
            <w:tcW w:w="5670" w:type="dxa"/>
            <w:tcBorders>
              <w:top w:val="single" w:color="auto" w:sz="4" w:space="0"/>
              <w:left w:val="single" w:color="auto" w:sz="4" w:space="0"/>
              <w:bottom w:val="single" w:color="auto" w:sz="4" w:space="0"/>
              <w:right w:val="single" w:color="auto" w:sz="4" w:space="0"/>
            </w:tcBorders>
          </w:tcPr>
          <w:p w14:paraId="4D8A3804">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6CC92304">
            <w:pPr>
              <w:adjustRightInd w:val="0"/>
              <w:snapToGrid w:val="0"/>
              <w:spacing w:after="200" w:line="220" w:lineRule="atLeast"/>
              <w:rPr>
                <w:color w:val="auto"/>
              </w:rPr>
            </w:pPr>
          </w:p>
        </w:tc>
      </w:tr>
      <w:tr w14:paraId="7B37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240" w:type="dxa"/>
            <w:gridSpan w:val="2"/>
            <w:tcBorders>
              <w:top w:val="single" w:color="auto" w:sz="4" w:space="0"/>
              <w:left w:val="single" w:color="auto" w:sz="4" w:space="0"/>
              <w:bottom w:val="single" w:color="auto" w:sz="4" w:space="0"/>
              <w:right w:val="single" w:color="auto" w:sz="4" w:space="0"/>
            </w:tcBorders>
          </w:tcPr>
          <w:p w14:paraId="7160DF43">
            <w:pPr>
              <w:adjustRightInd w:val="0"/>
              <w:snapToGrid w:val="0"/>
              <w:spacing w:after="200" w:line="220" w:lineRule="atLeast"/>
              <w:rPr>
                <w:color w:val="auto"/>
              </w:rPr>
            </w:pPr>
          </w:p>
        </w:tc>
      </w:tr>
      <w:tr w14:paraId="4C92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jc w:val="center"/>
        </w:trPr>
        <w:tc>
          <w:tcPr>
            <w:tcW w:w="5670" w:type="dxa"/>
            <w:tcBorders>
              <w:top w:val="single" w:color="auto" w:sz="4" w:space="0"/>
              <w:left w:val="single" w:color="auto" w:sz="4" w:space="0"/>
              <w:bottom w:val="single" w:color="auto" w:sz="4" w:space="0"/>
              <w:right w:val="single" w:color="auto" w:sz="4" w:space="0"/>
            </w:tcBorders>
          </w:tcPr>
          <w:p w14:paraId="263D5645">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56B2EBE2">
            <w:pPr>
              <w:adjustRightInd w:val="0"/>
              <w:snapToGrid w:val="0"/>
              <w:spacing w:after="200" w:line="220" w:lineRule="atLeast"/>
              <w:rPr>
                <w:color w:val="auto"/>
              </w:rPr>
            </w:pPr>
          </w:p>
        </w:tc>
      </w:tr>
      <w:tr w14:paraId="6E9E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670" w:type="dxa"/>
            <w:tcBorders>
              <w:top w:val="single" w:color="auto" w:sz="4" w:space="0"/>
              <w:left w:val="single" w:color="auto" w:sz="4" w:space="0"/>
              <w:bottom w:val="single" w:color="auto" w:sz="4" w:space="0"/>
              <w:right w:val="single" w:color="auto" w:sz="4" w:space="0"/>
            </w:tcBorders>
          </w:tcPr>
          <w:p w14:paraId="3B7818D3">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03742F3D">
            <w:pPr>
              <w:adjustRightInd w:val="0"/>
              <w:snapToGrid w:val="0"/>
              <w:spacing w:after="200" w:line="220" w:lineRule="atLeast"/>
              <w:rPr>
                <w:color w:val="auto"/>
              </w:rPr>
            </w:pPr>
          </w:p>
        </w:tc>
      </w:tr>
      <w:tr w14:paraId="08E9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jc w:val="center"/>
        </w:trPr>
        <w:tc>
          <w:tcPr>
            <w:tcW w:w="5670" w:type="dxa"/>
            <w:tcBorders>
              <w:top w:val="single" w:color="auto" w:sz="4" w:space="0"/>
              <w:left w:val="single" w:color="auto" w:sz="4" w:space="0"/>
              <w:bottom w:val="single" w:color="auto" w:sz="4" w:space="0"/>
              <w:right w:val="single" w:color="auto" w:sz="4" w:space="0"/>
            </w:tcBorders>
          </w:tcPr>
          <w:p w14:paraId="0E089C7D">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42048ACD">
            <w:pPr>
              <w:adjustRightInd w:val="0"/>
              <w:snapToGrid w:val="0"/>
              <w:spacing w:after="200" w:line="220" w:lineRule="atLeast"/>
              <w:rPr>
                <w:color w:val="auto"/>
              </w:rPr>
            </w:pPr>
          </w:p>
        </w:tc>
      </w:tr>
      <w:tr w14:paraId="3C92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jc w:val="center"/>
        </w:trPr>
        <w:tc>
          <w:tcPr>
            <w:tcW w:w="5670" w:type="dxa"/>
            <w:tcBorders>
              <w:top w:val="single" w:color="auto" w:sz="4" w:space="0"/>
              <w:left w:val="single" w:color="auto" w:sz="4" w:space="0"/>
              <w:bottom w:val="single" w:color="auto" w:sz="4" w:space="0"/>
              <w:right w:val="single" w:color="auto" w:sz="4" w:space="0"/>
            </w:tcBorders>
          </w:tcPr>
          <w:p w14:paraId="1C2EB66D">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148D973B">
            <w:pPr>
              <w:adjustRightInd w:val="0"/>
              <w:snapToGrid w:val="0"/>
              <w:spacing w:after="200" w:line="220" w:lineRule="atLeast"/>
              <w:rPr>
                <w:color w:val="auto"/>
              </w:rPr>
            </w:pPr>
          </w:p>
        </w:tc>
      </w:tr>
      <w:tr w14:paraId="7DB7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 w:hRule="atLeast"/>
          <w:jc w:val="center"/>
        </w:trPr>
        <w:tc>
          <w:tcPr>
            <w:tcW w:w="5670" w:type="dxa"/>
            <w:tcBorders>
              <w:top w:val="single" w:color="auto" w:sz="4" w:space="0"/>
              <w:left w:val="single" w:color="auto" w:sz="4" w:space="0"/>
              <w:bottom w:val="single" w:color="auto" w:sz="4" w:space="0"/>
              <w:right w:val="single" w:color="auto" w:sz="4" w:space="0"/>
            </w:tcBorders>
          </w:tcPr>
          <w:p w14:paraId="0B6BBB05">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6000F098">
            <w:pPr>
              <w:adjustRightInd w:val="0"/>
              <w:snapToGrid w:val="0"/>
              <w:spacing w:after="200" w:line="220" w:lineRule="atLeast"/>
              <w:rPr>
                <w:color w:val="auto"/>
              </w:rPr>
            </w:pPr>
          </w:p>
        </w:tc>
      </w:tr>
      <w:tr w14:paraId="4B15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240" w:type="dxa"/>
            <w:gridSpan w:val="2"/>
            <w:tcBorders>
              <w:top w:val="single" w:color="auto" w:sz="4" w:space="0"/>
              <w:left w:val="single" w:color="auto" w:sz="4" w:space="0"/>
              <w:bottom w:val="single" w:color="auto" w:sz="4" w:space="0"/>
              <w:right w:val="single" w:color="auto" w:sz="4" w:space="0"/>
            </w:tcBorders>
          </w:tcPr>
          <w:p w14:paraId="240EB0D3">
            <w:pPr>
              <w:adjustRightInd w:val="0"/>
              <w:snapToGrid w:val="0"/>
              <w:spacing w:after="200" w:line="220" w:lineRule="atLeast"/>
              <w:rPr>
                <w:color w:val="auto"/>
              </w:rPr>
            </w:pPr>
          </w:p>
        </w:tc>
      </w:tr>
      <w:tr w14:paraId="2B1A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670" w:type="dxa"/>
            <w:tcBorders>
              <w:top w:val="single" w:color="auto" w:sz="4" w:space="0"/>
              <w:left w:val="single" w:color="auto" w:sz="4" w:space="0"/>
              <w:bottom w:val="single" w:color="auto" w:sz="4" w:space="0"/>
              <w:right w:val="single" w:color="auto" w:sz="4" w:space="0"/>
            </w:tcBorders>
          </w:tcPr>
          <w:p w14:paraId="3DB4E04D">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5E448476">
            <w:pPr>
              <w:adjustRightInd w:val="0"/>
              <w:snapToGrid w:val="0"/>
              <w:spacing w:after="200" w:line="220" w:lineRule="atLeast"/>
              <w:rPr>
                <w:color w:val="auto"/>
              </w:rPr>
            </w:pPr>
          </w:p>
        </w:tc>
      </w:tr>
      <w:tr w14:paraId="08B0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0" w:hRule="atLeast"/>
          <w:jc w:val="center"/>
        </w:trPr>
        <w:tc>
          <w:tcPr>
            <w:tcW w:w="5670" w:type="dxa"/>
            <w:tcBorders>
              <w:top w:val="single" w:color="auto" w:sz="4" w:space="0"/>
              <w:left w:val="single" w:color="auto" w:sz="4" w:space="0"/>
              <w:bottom w:val="single" w:color="auto" w:sz="4" w:space="0"/>
              <w:right w:val="single" w:color="auto" w:sz="4" w:space="0"/>
            </w:tcBorders>
          </w:tcPr>
          <w:p w14:paraId="0329B10E">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2D78845F">
            <w:pPr>
              <w:adjustRightInd w:val="0"/>
              <w:snapToGrid w:val="0"/>
              <w:spacing w:after="200" w:line="220" w:lineRule="atLeast"/>
              <w:rPr>
                <w:color w:val="auto"/>
              </w:rPr>
            </w:pPr>
          </w:p>
        </w:tc>
      </w:tr>
      <w:tr w14:paraId="1B14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9" w:hRule="atLeast"/>
          <w:jc w:val="center"/>
        </w:trPr>
        <w:tc>
          <w:tcPr>
            <w:tcW w:w="5670" w:type="dxa"/>
            <w:tcBorders>
              <w:top w:val="single" w:color="auto" w:sz="4" w:space="0"/>
              <w:left w:val="single" w:color="auto" w:sz="4" w:space="0"/>
              <w:bottom w:val="single" w:color="auto" w:sz="4" w:space="0"/>
              <w:right w:val="single" w:color="auto" w:sz="4" w:space="0"/>
            </w:tcBorders>
          </w:tcPr>
          <w:p w14:paraId="71CB0E5E">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387EA4F1">
            <w:pPr>
              <w:adjustRightInd w:val="0"/>
              <w:snapToGrid w:val="0"/>
              <w:spacing w:after="200" w:line="220" w:lineRule="atLeast"/>
              <w:rPr>
                <w:color w:val="auto"/>
              </w:rPr>
            </w:pPr>
          </w:p>
        </w:tc>
      </w:tr>
      <w:tr w14:paraId="74CB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5670" w:type="dxa"/>
            <w:tcBorders>
              <w:top w:val="single" w:color="auto" w:sz="4" w:space="0"/>
              <w:left w:val="single" w:color="auto" w:sz="4" w:space="0"/>
              <w:bottom w:val="single" w:color="auto" w:sz="4" w:space="0"/>
              <w:right w:val="single" w:color="auto" w:sz="4" w:space="0"/>
            </w:tcBorders>
          </w:tcPr>
          <w:p w14:paraId="1E6AE4A9">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07A4C42B">
            <w:pPr>
              <w:adjustRightInd w:val="0"/>
              <w:snapToGrid w:val="0"/>
              <w:spacing w:after="200" w:line="220" w:lineRule="atLeast"/>
              <w:rPr>
                <w:color w:val="auto"/>
              </w:rPr>
            </w:pPr>
          </w:p>
        </w:tc>
      </w:tr>
      <w:tr w14:paraId="1FFC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9" w:hRule="atLeast"/>
          <w:jc w:val="center"/>
        </w:trPr>
        <w:tc>
          <w:tcPr>
            <w:tcW w:w="5670" w:type="dxa"/>
            <w:tcBorders>
              <w:top w:val="single" w:color="auto" w:sz="4" w:space="0"/>
              <w:left w:val="single" w:color="auto" w:sz="4" w:space="0"/>
              <w:bottom w:val="single" w:color="auto" w:sz="4" w:space="0"/>
              <w:right w:val="single" w:color="auto" w:sz="4" w:space="0"/>
            </w:tcBorders>
          </w:tcPr>
          <w:p w14:paraId="50AF698C">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6E6F40AE">
            <w:pPr>
              <w:adjustRightInd w:val="0"/>
              <w:snapToGrid w:val="0"/>
              <w:spacing w:after="200" w:line="220" w:lineRule="atLeast"/>
              <w:rPr>
                <w:color w:val="auto"/>
              </w:rPr>
            </w:pPr>
          </w:p>
        </w:tc>
      </w:tr>
      <w:tr w14:paraId="1569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jc w:val="center"/>
        </w:trPr>
        <w:tc>
          <w:tcPr>
            <w:tcW w:w="9240" w:type="dxa"/>
            <w:gridSpan w:val="2"/>
            <w:tcBorders>
              <w:top w:val="single" w:color="auto" w:sz="4" w:space="0"/>
              <w:left w:val="single" w:color="auto" w:sz="4" w:space="0"/>
              <w:bottom w:val="single" w:color="auto" w:sz="4" w:space="0"/>
              <w:right w:val="single" w:color="auto" w:sz="4" w:space="0"/>
            </w:tcBorders>
          </w:tcPr>
          <w:p w14:paraId="1E06A7E4">
            <w:pPr>
              <w:adjustRightInd w:val="0"/>
              <w:snapToGrid w:val="0"/>
              <w:spacing w:after="200" w:line="220" w:lineRule="atLeast"/>
              <w:rPr>
                <w:color w:val="auto"/>
              </w:rPr>
            </w:pPr>
          </w:p>
        </w:tc>
      </w:tr>
      <w:tr w14:paraId="76AD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jc w:val="center"/>
        </w:trPr>
        <w:tc>
          <w:tcPr>
            <w:tcW w:w="5670" w:type="dxa"/>
            <w:tcBorders>
              <w:top w:val="single" w:color="auto" w:sz="4" w:space="0"/>
              <w:left w:val="single" w:color="auto" w:sz="4" w:space="0"/>
              <w:bottom w:val="single" w:color="auto" w:sz="4" w:space="0"/>
              <w:right w:val="single" w:color="auto" w:sz="4" w:space="0"/>
            </w:tcBorders>
          </w:tcPr>
          <w:p w14:paraId="3D378B83">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6CD8C839">
            <w:pPr>
              <w:adjustRightInd w:val="0"/>
              <w:snapToGrid w:val="0"/>
              <w:spacing w:after="200" w:line="220" w:lineRule="atLeast"/>
              <w:rPr>
                <w:color w:val="auto"/>
              </w:rPr>
            </w:pPr>
          </w:p>
        </w:tc>
      </w:tr>
      <w:tr w14:paraId="7C4C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670" w:type="dxa"/>
            <w:tcBorders>
              <w:top w:val="single" w:color="auto" w:sz="4" w:space="0"/>
              <w:left w:val="single" w:color="auto" w:sz="4" w:space="0"/>
              <w:bottom w:val="single" w:color="auto" w:sz="4" w:space="0"/>
              <w:right w:val="single" w:color="auto" w:sz="4" w:space="0"/>
            </w:tcBorders>
          </w:tcPr>
          <w:p w14:paraId="76F76DC3">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135F84BF">
            <w:pPr>
              <w:adjustRightInd w:val="0"/>
              <w:snapToGrid w:val="0"/>
              <w:spacing w:after="200" w:line="220" w:lineRule="atLeast"/>
              <w:rPr>
                <w:color w:val="auto"/>
              </w:rPr>
            </w:pPr>
          </w:p>
        </w:tc>
      </w:tr>
      <w:tr w14:paraId="3417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jc w:val="center"/>
        </w:trPr>
        <w:tc>
          <w:tcPr>
            <w:tcW w:w="5670" w:type="dxa"/>
            <w:tcBorders>
              <w:top w:val="single" w:color="auto" w:sz="4" w:space="0"/>
              <w:left w:val="single" w:color="auto" w:sz="4" w:space="0"/>
              <w:bottom w:val="single" w:color="auto" w:sz="4" w:space="0"/>
              <w:right w:val="single" w:color="auto" w:sz="4" w:space="0"/>
            </w:tcBorders>
          </w:tcPr>
          <w:p w14:paraId="231EACF0">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39E658A4">
            <w:pPr>
              <w:adjustRightInd w:val="0"/>
              <w:snapToGrid w:val="0"/>
              <w:spacing w:after="200" w:line="220" w:lineRule="atLeast"/>
              <w:rPr>
                <w:color w:val="auto"/>
              </w:rPr>
            </w:pPr>
          </w:p>
        </w:tc>
      </w:tr>
      <w:tr w14:paraId="694A4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9240" w:type="dxa"/>
            <w:gridSpan w:val="2"/>
            <w:tcBorders>
              <w:top w:val="single" w:color="auto" w:sz="4" w:space="0"/>
              <w:left w:val="single" w:color="auto" w:sz="4" w:space="0"/>
              <w:bottom w:val="single" w:color="auto" w:sz="4" w:space="0"/>
              <w:right w:val="single" w:color="auto" w:sz="4" w:space="0"/>
            </w:tcBorders>
          </w:tcPr>
          <w:p w14:paraId="6C70DDA7">
            <w:pPr>
              <w:adjustRightInd w:val="0"/>
              <w:snapToGrid w:val="0"/>
              <w:spacing w:after="200" w:line="220" w:lineRule="atLeast"/>
              <w:rPr>
                <w:color w:val="auto"/>
              </w:rPr>
            </w:pPr>
          </w:p>
        </w:tc>
      </w:tr>
      <w:tr w14:paraId="22731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atLeast"/>
          <w:jc w:val="center"/>
        </w:trPr>
        <w:tc>
          <w:tcPr>
            <w:tcW w:w="5670" w:type="dxa"/>
            <w:tcBorders>
              <w:top w:val="single" w:color="auto" w:sz="4" w:space="0"/>
              <w:left w:val="single" w:color="auto" w:sz="4" w:space="0"/>
              <w:bottom w:val="single" w:color="auto" w:sz="4" w:space="0"/>
              <w:right w:val="single" w:color="auto" w:sz="4" w:space="0"/>
            </w:tcBorders>
          </w:tcPr>
          <w:p w14:paraId="5075C704">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5A2EFABC">
            <w:pPr>
              <w:adjustRightInd w:val="0"/>
              <w:snapToGrid w:val="0"/>
              <w:spacing w:after="200" w:line="220" w:lineRule="atLeast"/>
              <w:rPr>
                <w:color w:val="auto"/>
              </w:rPr>
            </w:pPr>
          </w:p>
        </w:tc>
      </w:tr>
      <w:tr w14:paraId="2E79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5670" w:type="dxa"/>
            <w:tcBorders>
              <w:top w:val="single" w:color="auto" w:sz="4" w:space="0"/>
              <w:left w:val="single" w:color="auto" w:sz="4" w:space="0"/>
              <w:bottom w:val="single" w:color="auto" w:sz="4" w:space="0"/>
              <w:right w:val="single" w:color="auto" w:sz="4" w:space="0"/>
            </w:tcBorders>
          </w:tcPr>
          <w:p w14:paraId="2266F850">
            <w:pPr>
              <w:adjustRightInd w:val="0"/>
              <w:snapToGrid w:val="0"/>
              <w:spacing w:after="200" w:line="220" w:lineRule="atLeast"/>
              <w:rPr>
                <w:color w:val="auto"/>
              </w:rPr>
            </w:pPr>
          </w:p>
        </w:tc>
        <w:tc>
          <w:tcPr>
            <w:tcW w:w="3570" w:type="dxa"/>
            <w:tcBorders>
              <w:top w:val="single" w:color="auto" w:sz="4" w:space="0"/>
              <w:left w:val="single" w:color="auto" w:sz="4" w:space="0"/>
              <w:bottom w:val="single" w:color="auto" w:sz="4" w:space="0"/>
              <w:right w:val="single" w:color="auto" w:sz="4" w:space="0"/>
            </w:tcBorders>
          </w:tcPr>
          <w:p w14:paraId="79FEDA86">
            <w:pPr>
              <w:adjustRightInd w:val="0"/>
              <w:snapToGrid w:val="0"/>
              <w:spacing w:after="200" w:line="220" w:lineRule="atLeast"/>
              <w:rPr>
                <w:color w:val="auto"/>
              </w:rPr>
            </w:pPr>
          </w:p>
        </w:tc>
      </w:tr>
    </w:tbl>
    <w:p w14:paraId="4B1161DC">
      <w:pPr>
        <w:rPr>
          <w:color w:val="auto"/>
        </w:rPr>
      </w:pPr>
    </w:p>
    <w:p w14:paraId="347A33E0">
      <w:pPr>
        <w:spacing w:line="360" w:lineRule="auto"/>
        <w:jc w:val="center"/>
        <w:rPr>
          <w:rFonts w:ascii="宋体" w:hAnsi="宋体"/>
          <w:b/>
          <w:bCs/>
          <w:color w:val="auto"/>
          <w:sz w:val="32"/>
          <w:szCs w:val="32"/>
        </w:rPr>
      </w:pPr>
      <w:r>
        <w:rPr>
          <w:b/>
          <w:color w:val="auto"/>
          <w:sz w:val="36"/>
          <w:u w:val="single"/>
        </w:rPr>
        <w:br w:type="page"/>
      </w:r>
      <w:r>
        <w:rPr>
          <w:rFonts w:hint="eastAsia" w:ascii="宋体" w:hAnsi="宋体" w:cs="宋体"/>
          <w:b/>
          <w:color w:val="auto"/>
          <w:sz w:val="24"/>
          <w:szCs w:val="24"/>
        </w:rPr>
        <w:t>响应文件目录</w:t>
      </w:r>
    </w:p>
    <w:p w14:paraId="4836B9B0">
      <w:pPr>
        <w:spacing w:line="360" w:lineRule="auto"/>
        <w:ind w:firstLine="420" w:firstLineChars="200"/>
        <w:rPr>
          <w:rFonts w:ascii="宋体" w:hAnsi="宋体"/>
          <w:color w:val="auto"/>
          <w:szCs w:val="21"/>
        </w:rPr>
      </w:pPr>
    </w:p>
    <w:p w14:paraId="7C9FD5CB">
      <w:pPr>
        <w:spacing w:line="360" w:lineRule="auto"/>
        <w:ind w:firstLine="420" w:firstLineChars="200"/>
        <w:rPr>
          <w:rFonts w:ascii="宋体" w:hAnsi="宋体"/>
          <w:color w:val="auto"/>
          <w:szCs w:val="21"/>
        </w:rPr>
      </w:pPr>
      <w:r>
        <w:rPr>
          <w:rFonts w:hint="eastAsia" w:ascii="宋体" w:hAnsi="宋体"/>
          <w:color w:val="auto"/>
          <w:szCs w:val="21"/>
        </w:rPr>
        <w:t>一、资格性和符合性检查响应对照表</w:t>
      </w:r>
    </w:p>
    <w:p w14:paraId="68D539F9">
      <w:pPr>
        <w:spacing w:line="360" w:lineRule="auto"/>
        <w:ind w:firstLine="422" w:firstLineChars="200"/>
        <w:rPr>
          <w:rFonts w:ascii="宋体" w:hAnsi="宋体"/>
          <w:bCs/>
          <w:color w:val="auto"/>
          <w:szCs w:val="21"/>
        </w:rPr>
      </w:pPr>
      <w:r>
        <w:rPr>
          <w:rFonts w:hint="eastAsia" w:ascii="宋体" w:hAnsi="宋体"/>
          <w:b/>
          <w:bCs/>
          <w:color w:val="auto"/>
          <w:szCs w:val="21"/>
        </w:rPr>
        <w:t>二</w:t>
      </w:r>
      <w:r>
        <w:rPr>
          <w:rFonts w:hint="eastAsia" w:ascii="宋体" w:hAnsi="宋体"/>
          <w:color w:val="auto"/>
          <w:szCs w:val="21"/>
        </w:rPr>
        <w:t>、</w:t>
      </w:r>
      <w:r>
        <w:rPr>
          <w:rFonts w:hint="eastAsia" w:ascii="宋体" w:hAnsi="宋体"/>
          <w:bCs/>
          <w:color w:val="auto"/>
          <w:szCs w:val="21"/>
        </w:rPr>
        <w:t>资信证明文件</w:t>
      </w:r>
    </w:p>
    <w:p w14:paraId="12270866">
      <w:pPr>
        <w:spacing w:line="360" w:lineRule="auto"/>
        <w:ind w:firstLine="420" w:firstLineChars="200"/>
        <w:rPr>
          <w:rFonts w:ascii="宋体" w:hAnsi="宋体"/>
          <w:color w:val="auto"/>
          <w:szCs w:val="21"/>
        </w:rPr>
      </w:pPr>
      <w:r>
        <w:rPr>
          <w:rFonts w:hint="eastAsia" w:ascii="宋体" w:hAnsi="宋体"/>
          <w:color w:val="auto"/>
          <w:szCs w:val="21"/>
        </w:rPr>
        <w:t>三、磋商响应函</w:t>
      </w:r>
    </w:p>
    <w:p w14:paraId="4FBF29F9">
      <w:pPr>
        <w:spacing w:line="360" w:lineRule="auto"/>
        <w:ind w:firstLine="420" w:firstLineChars="200"/>
        <w:rPr>
          <w:rFonts w:ascii="宋体" w:hAnsi="宋体"/>
          <w:color w:val="auto"/>
          <w:szCs w:val="21"/>
        </w:rPr>
      </w:pPr>
      <w:r>
        <w:rPr>
          <w:rFonts w:hint="eastAsia" w:ascii="宋体" w:hAnsi="宋体"/>
          <w:color w:val="auto"/>
          <w:szCs w:val="21"/>
        </w:rPr>
        <w:t>四、资格声明</w:t>
      </w:r>
    </w:p>
    <w:p w14:paraId="7CC66B2C">
      <w:pPr>
        <w:spacing w:line="360" w:lineRule="auto"/>
        <w:ind w:firstLine="420" w:firstLineChars="200"/>
        <w:rPr>
          <w:rFonts w:ascii="宋体" w:hAnsi="宋体"/>
          <w:color w:val="auto"/>
          <w:szCs w:val="21"/>
        </w:rPr>
      </w:pPr>
      <w:r>
        <w:rPr>
          <w:rFonts w:hint="eastAsia" w:ascii="宋体" w:hAnsi="宋体"/>
          <w:color w:val="auto"/>
          <w:szCs w:val="21"/>
        </w:rPr>
        <w:t>五、磋商响应报价表</w:t>
      </w:r>
    </w:p>
    <w:p w14:paraId="2BCD6098">
      <w:pPr>
        <w:spacing w:line="360" w:lineRule="auto"/>
        <w:ind w:firstLine="420" w:firstLineChars="200"/>
        <w:rPr>
          <w:rFonts w:ascii="宋体" w:hAnsi="宋体"/>
          <w:color w:val="auto"/>
          <w:szCs w:val="21"/>
        </w:rPr>
      </w:pPr>
      <w:r>
        <w:rPr>
          <w:rFonts w:hint="eastAsia" w:ascii="宋体" w:hAnsi="宋体"/>
          <w:color w:val="auto"/>
          <w:szCs w:val="21"/>
        </w:rPr>
        <w:t>六、分项报价表</w:t>
      </w:r>
    </w:p>
    <w:p w14:paraId="67CFBA0A">
      <w:pPr>
        <w:spacing w:line="360" w:lineRule="auto"/>
        <w:ind w:firstLine="420" w:firstLineChars="200"/>
        <w:rPr>
          <w:rFonts w:ascii="宋体" w:hAnsi="宋体"/>
          <w:color w:val="auto"/>
          <w:szCs w:val="21"/>
        </w:rPr>
      </w:pPr>
      <w:r>
        <w:rPr>
          <w:rFonts w:hint="eastAsia" w:ascii="宋体" w:hAnsi="宋体"/>
          <w:color w:val="auto"/>
          <w:szCs w:val="21"/>
        </w:rPr>
        <w:t>七、响应偏离表</w:t>
      </w:r>
    </w:p>
    <w:p w14:paraId="49F181AB">
      <w:pPr>
        <w:spacing w:line="360" w:lineRule="auto"/>
        <w:ind w:firstLine="420" w:firstLineChars="200"/>
        <w:rPr>
          <w:rFonts w:ascii="宋体" w:hAnsi="宋体" w:cs="宋体"/>
          <w:color w:val="auto"/>
          <w:szCs w:val="21"/>
        </w:rPr>
      </w:pPr>
      <w:r>
        <w:rPr>
          <w:rFonts w:hint="eastAsia" w:ascii="宋体" w:hAnsi="宋体" w:cs="宋体"/>
          <w:color w:val="auto"/>
          <w:szCs w:val="21"/>
        </w:rPr>
        <w:t>八、人员一览表</w:t>
      </w:r>
    </w:p>
    <w:p w14:paraId="67849623">
      <w:pPr>
        <w:spacing w:line="360" w:lineRule="auto"/>
        <w:ind w:firstLine="420" w:firstLineChars="200"/>
        <w:rPr>
          <w:rFonts w:ascii="宋体" w:hAnsi="宋体" w:cs="宋体"/>
          <w:color w:val="auto"/>
          <w:szCs w:val="21"/>
        </w:rPr>
      </w:pPr>
      <w:r>
        <w:rPr>
          <w:rFonts w:hint="eastAsia" w:ascii="宋体" w:hAnsi="宋体" w:cs="宋体"/>
          <w:color w:val="auto"/>
          <w:szCs w:val="21"/>
        </w:rPr>
        <w:t>九、其他</w:t>
      </w:r>
    </w:p>
    <w:p w14:paraId="487CE26A">
      <w:pPr>
        <w:spacing w:line="360" w:lineRule="auto"/>
        <w:ind w:firstLine="420" w:firstLineChars="200"/>
        <w:rPr>
          <w:rFonts w:ascii="宋体" w:hAnsi="宋体" w:cs="宋体"/>
          <w:color w:val="auto"/>
          <w:szCs w:val="21"/>
        </w:rPr>
      </w:pPr>
      <w:r>
        <w:rPr>
          <w:rFonts w:hint="eastAsia" w:ascii="宋体" w:hAnsi="宋体" w:cs="宋体"/>
          <w:color w:val="auto"/>
          <w:szCs w:val="21"/>
        </w:rPr>
        <w:t>十、主要标的信息</w:t>
      </w:r>
    </w:p>
    <w:p w14:paraId="6147CA82">
      <w:pPr>
        <w:spacing w:line="440" w:lineRule="exact"/>
        <w:ind w:firstLine="480" w:firstLineChars="200"/>
        <w:rPr>
          <w:rFonts w:ascii="宋体" w:hAnsi="宋体"/>
          <w:color w:val="auto"/>
          <w:sz w:val="24"/>
          <w:szCs w:val="21"/>
        </w:rPr>
      </w:pPr>
    </w:p>
    <w:p w14:paraId="4440F8DC">
      <w:pPr>
        <w:spacing w:line="440" w:lineRule="exact"/>
        <w:ind w:firstLine="480" w:firstLineChars="200"/>
        <w:rPr>
          <w:rFonts w:ascii="宋体" w:hAnsi="宋体"/>
          <w:color w:val="auto"/>
          <w:sz w:val="24"/>
          <w:szCs w:val="21"/>
        </w:rPr>
      </w:pPr>
    </w:p>
    <w:p w14:paraId="5E0AB20F">
      <w:pPr>
        <w:spacing w:line="440" w:lineRule="exact"/>
        <w:ind w:firstLine="480" w:firstLineChars="200"/>
        <w:rPr>
          <w:rFonts w:ascii="宋体" w:hAnsi="宋体"/>
          <w:color w:val="auto"/>
          <w:sz w:val="24"/>
          <w:szCs w:val="21"/>
        </w:rPr>
      </w:pPr>
    </w:p>
    <w:p w14:paraId="3E0F68C9">
      <w:pPr>
        <w:spacing w:line="440" w:lineRule="exact"/>
        <w:ind w:firstLine="480" w:firstLineChars="200"/>
        <w:rPr>
          <w:rFonts w:ascii="宋体" w:hAnsi="宋体"/>
          <w:color w:val="auto"/>
          <w:sz w:val="24"/>
          <w:szCs w:val="21"/>
        </w:rPr>
      </w:pPr>
    </w:p>
    <w:p w14:paraId="0584305B">
      <w:pPr>
        <w:spacing w:line="440" w:lineRule="exact"/>
        <w:ind w:firstLine="480" w:firstLineChars="200"/>
        <w:rPr>
          <w:rFonts w:ascii="宋体" w:hAnsi="宋体"/>
          <w:color w:val="auto"/>
          <w:sz w:val="24"/>
          <w:szCs w:val="21"/>
        </w:rPr>
      </w:pPr>
    </w:p>
    <w:p w14:paraId="1B238710">
      <w:pPr>
        <w:spacing w:line="440" w:lineRule="exact"/>
        <w:ind w:firstLine="480" w:firstLineChars="200"/>
        <w:rPr>
          <w:rFonts w:ascii="宋体" w:hAnsi="宋体"/>
          <w:color w:val="auto"/>
          <w:sz w:val="24"/>
          <w:szCs w:val="21"/>
        </w:rPr>
      </w:pPr>
    </w:p>
    <w:p w14:paraId="370E70C9">
      <w:pPr>
        <w:spacing w:line="440" w:lineRule="exact"/>
        <w:ind w:firstLine="480" w:firstLineChars="200"/>
        <w:rPr>
          <w:rFonts w:ascii="宋体" w:hAnsi="宋体"/>
          <w:color w:val="auto"/>
          <w:sz w:val="24"/>
          <w:szCs w:val="21"/>
        </w:rPr>
      </w:pPr>
    </w:p>
    <w:p w14:paraId="23C78A1F">
      <w:pPr>
        <w:spacing w:line="440" w:lineRule="exact"/>
        <w:ind w:firstLine="480" w:firstLineChars="200"/>
        <w:rPr>
          <w:rFonts w:ascii="宋体" w:hAnsi="宋体"/>
          <w:color w:val="auto"/>
          <w:sz w:val="24"/>
          <w:szCs w:val="21"/>
        </w:rPr>
      </w:pPr>
    </w:p>
    <w:p w14:paraId="1204167C">
      <w:pPr>
        <w:spacing w:line="440" w:lineRule="exact"/>
        <w:ind w:firstLine="480" w:firstLineChars="200"/>
        <w:rPr>
          <w:rFonts w:ascii="宋体" w:hAnsi="宋体"/>
          <w:color w:val="auto"/>
          <w:sz w:val="24"/>
          <w:szCs w:val="21"/>
        </w:rPr>
      </w:pPr>
    </w:p>
    <w:p w14:paraId="6DFD96B2">
      <w:pPr>
        <w:spacing w:line="360" w:lineRule="auto"/>
        <w:jc w:val="center"/>
        <w:rPr>
          <w:rFonts w:ascii="宋体" w:hAnsi="宋体"/>
          <w:b/>
          <w:color w:val="auto"/>
          <w:szCs w:val="21"/>
        </w:rPr>
      </w:pPr>
      <w:r>
        <w:rPr>
          <w:rFonts w:hint="eastAsia" w:ascii="黑体" w:hAnsi="黑体" w:eastAsia="黑体"/>
          <w:i/>
          <w:color w:val="auto"/>
          <w:sz w:val="32"/>
          <w:szCs w:val="32"/>
          <w:u w:val="single"/>
        </w:rPr>
        <w:br w:type="page"/>
      </w:r>
      <w:r>
        <w:rPr>
          <w:rFonts w:hint="eastAsia" w:ascii="宋体" w:hAnsi="宋体" w:cs="宋体"/>
          <w:b/>
          <w:color w:val="auto"/>
          <w:sz w:val="24"/>
        </w:rPr>
        <w:t>一、资格性和符合性检查响应对照表</w:t>
      </w:r>
    </w:p>
    <w:p w14:paraId="53326511">
      <w:pPr>
        <w:spacing w:line="360" w:lineRule="auto"/>
        <w:ind w:firstLine="309"/>
        <w:rPr>
          <w:rFonts w:ascii="宋体" w:hAnsi="宋体"/>
          <w:color w:val="auto"/>
          <w:szCs w:val="21"/>
        </w:rPr>
      </w:pPr>
      <w:r>
        <w:rPr>
          <w:rFonts w:hint="eastAsia" w:ascii="宋体" w:hAnsi="宋体"/>
          <w:color w:val="auto"/>
          <w:szCs w:val="21"/>
        </w:rPr>
        <w:t>磋商供应商全称（加盖公章）：</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5447"/>
        <w:gridCol w:w="1680"/>
        <w:gridCol w:w="1785"/>
      </w:tblGrid>
      <w:tr w14:paraId="0C02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646" w:type="dxa"/>
            <w:noWrap/>
            <w:vAlign w:val="center"/>
          </w:tcPr>
          <w:p w14:paraId="6929170F">
            <w:pPr>
              <w:snapToGrid w:val="0"/>
              <w:spacing w:line="360" w:lineRule="auto"/>
              <w:jc w:val="center"/>
              <w:rPr>
                <w:rFonts w:ascii="宋体" w:hAnsi="宋体"/>
                <w:color w:val="auto"/>
                <w:szCs w:val="21"/>
              </w:rPr>
            </w:pPr>
            <w:r>
              <w:rPr>
                <w:rFonts w:hint="eastAsia" w:ascii="宋体" w:hAnsi="宋体"/>
                <w:color w:val="auto"/>
                <w:szCs w:val="21"/>
              </w:rPr>
              <w:t>序号</w:t>
            </w:r>
          </w:p>
        </w:tc>
        <w:tc>
          <w:tcPr>
            <w:tcW w:w="5447" w:type="dxa"/>
            <w:noWrap/>
            <w:vAlign w:val="center"/>
          </w:tcPr>
          <w:p w14:paraId="56BED02B">
            <w:pPr>
              <w:snapToGrid w:val="0"/>
              <w:spacing w:line="360" w:lineRule="auto"/>
              <w:jc w:val="center"/>
              <w:rPr>
                <w:rFonts w:ascii="宋体" w:hAnsi="宋体"/>
                <w:color w:val="auto"/>
                <w:szCs w:val="21"/>
              </w:rPr>
            </w:pPr>
            <w:r>
              <w:rPr>
                <w:rFonts w:hint="eastAsia" w:ascii="宋体" w:hAnsi="宋体"/>
                <w:color w:val="auto"/>
                <w:szCs w:val="21"/>
              </w:rPr>
              <w:t>资格和符合性检查响应内容</w:t>
            </w:r>
          </w:p>
        </w:tc>
        <w:tc>
          <w:tcPr>
            <w:tcW w:w="1680" w:type="dxa"/>
            <w:noWrap/>
            <w:vAlign w:val="center"/>
          </w:tcPr>
          <w:p w14:paraId="3F446812">
            <w:pPr>
              <w:snapToGrid w:val="0"/>
              <w:spacing w:line="360" w:lineRule="auto"/>
              <w:jc w:val="center"/>
              <w:rPr>
                <w:rFonts w:ascii="宋体" w:hAnsi="宋体"/>
                <w:color w:val="auto"/>
                <w:szCs w:val="21"/>
              </w:rPr>
            </w:pPr>
            <w:r>
              <w:rPr>
                <w:rFonts w:hint="eastAsia" w:ascii="宋体" w:hAnsi="宋体"/>
                <w:color w:val="auto"/>
                <w:szCs w:val="21"/>
              </w:rPr>
              <w:t>是否响应</w:t>
            </w:r>
          </w:p>
          <w:p w14:paraId="36795C81">
            <w:pPr>
              <w:snapToGrid w:val="0"/>
              <w:spacing w:line="360" w:lineRule="auto"/>
              <w:jc w:val="center"/>
              <w:rPr>
                <w:rFonts w:ascii="宋体" w:hAnsi="宋体"/>
                <w:color w:val="auto"/>
                <w:szCs w:val="21"/>
              </w:rPr>
            </w:pPr>
            <w:r>
              <w:rPr>
                <w:rFonts w:hint="eastAsia" w:ascii="宋体" w:hAnsi="宋体"/>
                <w:color w:val="auto"/>
                <w:szCs w:val="21"/>
              </w:rPr>
              <w:t>（填是或者否）</w:t>
            </w:r>
          </w:p>
        </w:tc>
        <w:tc>
          <w:tcPr>
            <w:tcW w:w="1785" w:type="dxa"/>
            <w:noWrap/>
            <w:vAlign w:val="center"/>
          </w:tcPr>
          <w:p w14:paraId="3B71317E">
            <w:pPr>
              <w:snapToGrid w:val="0"/>
              <w:spacing w:line="360" w:lineRule="auto"/>
              <w:jc w:val="center"/>
              <w:rPr>
                <w:rFonts w:ascii="宋体" w:hAnsi="宋体"/>
                <w:color w:val="auto"/>
                <w:szCs w:val="21"/>
              </w:rPr>
            </w:pPr>
            <w:r>
              <w:rPr>
                <w:rFonts w:hint="eastAsia" w:ascii="宋体" w:hAnsi="宋体"/>
                <w:color w:val="auto"/>
                <w:szCs w:val="21"/>
              </w:rPr>
              <w:t>响应文件中的页码位置</w:t>
            </w:r>
          </w:p>
        </w:tc>
      </w:tr>
      <w:tr w14:paraId="4740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646" w:type="dxa"/>
            <w:noWrap/>
            <w:vAlign w:val="center"/>
          </w:tcPr>
          <w:p w14:paraId="0FB0D0A9">
            <w:pPr>
              <w:spacing w:line="360" w:lineRule="auto"/>
              <w:jc w:val="center"/>
              <w:rPr>
                <w:rFonts w:ascii="宋体" w:hAnsi="宋体"/>
                <w:i/>
                <w:color w:val="auto"/>
                <w:szCs w:val="21"/>
                <w:u w:val="single"/>
              </w:rPr>
            </w:pPr>
            <w:r>
              <w:rPr>
                <w:rFonts w:hint="eastAsia" w:ascii="宋体" w:hAnsi="宋体"/>
                <w:i/>
                <w:color w:val="auto"/>
                <w:szCs w:val="21"/>
                <w:u w:val="single"/>
              </w:rPr>
              <w:t>1</w:t>
            </w:r>
          </w:p>
        </w:tc>
        <w:tc>
          <w:tcPr>
            <w:tcW w:w="5447" w:type="dxa"/>
            <w:noWrap/>
            <w:vAlign w:val="center"/>
          </w:tcPr>
          <w:p w14:paraId="1A1B5F84">
            <w:pPr>
              <w:spacing w:line="360" w:lineRule="auto"/>
              <w:rPr>
                <w:rFonts w:ascii="宋体" w:hAnsi="宋体"/>
                <w:i/>
                <w:iCs/>
                <w:color w:val="auto"/>
                <w:szCs w:val="21"/>
                <w:u w:val="single"/>
              </w:rPr>
            </w:pPr>
          </w:p>
        </w:tc>
        <w:tc>
          <w:tcPr>
            <w:tcW w:w="1680" w:type="dxa"/>
            <w:noWrap/>
            <w:vAlign w:val="center"/>
          </w:tcPr>
          <w:p w14:paraId="448ACBCB">
            <w:pPr>
              <w:spacing w:line="360" w:lineRule="auto"/>
              <w:rPr>
                <w:rFonts w:ascii="宋体" w:hAnsi="宋体"/>
                <w:color w:val="auto"/>
                <w:szCs w:val="21"/>
              </w:rPr>
            </w:pPr>
          </w:p>
        </w:tc>
        <w:tc>
          <w:tcPr>
            <w:tcW w:w="1785" w:type="dxa"/>
            <w:noWrap/>
            <w:vAlign w:val="center"/>
          </w:tcPr>
          <w:p w14:paraId="16130B17">
            <w:pPr>
              <w:spacing w:line="360" w:lineRule="auto"/>
              <w:rPr>
                <w:rFonts w:ascii="宋体" w:hAnsi="宋体"/>
                <w:color w:val="auto"/>
                <w:szCs w:val="21"/>
              </w:rPr>
            </w:pPr>
          </w:p>
        </w:tc>
      </w:tr>
      <w:tr w14:paraId="37F8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646" w:type="dxa"/>
            <w:noWrap/>
            <w:vAlign w:val="center"/>
          </w:tcPr>
          <w:p w14:paraId="6F01910D">
            <w:pPr>
              <w:spacing w:line="360" w:lineRule="auto"/>
              <w:jc w:val="center"/>
              <w:rPr>
                <w:rFonts w:ascii="宋体" w:hAnsi="宋体"/>
                <w:i/>
                <w:color w:val="auto"/>
                <w:szCs w:val="21"/>
                <w:u w:val="single"/>
              </w:rPr>
            </w:pPr>
            <w:r>
              <w:rPr>
                <w:rFonts w:hint="eastAsia" w:ascii="宋体" w:hAnsi="宋体"/>
                <w:i/>
                <w:color w:val="auto"/>
                <w:szCs w:val="21"/>
                <w:u w:val="single"/>
              </w:rPr>
              <w:t>2</w:t>
            </w:r>
          </w:p>
        </w:tc>
        <w:tc>
          <w:tcPr>
            <w:tcW w:w="5447" w:type="dxa"/>
            <w:noWrap/>
            <w:vAlign w:val="center"/>
          </w:tcPr>
          <w:p w14:paraId="09D2A585">
            <w:pPr>
              <w:spacing w:line="360" w:lineRule="auto"/>
              <w:rPr>
                <w:rFonts w:ascii="宋体" w:hAnsi="宋体"/>
                <w:i/>
                <w:iCs/>
                <w:color w:val="auto"/>
                <w:szCs w:val="21"/>
                <w:u w:val="single"/>
              </w:rPr>
            </w:pPr>
          </w:p>
        </w:tc>
        <w:tc>
          <w:tcPr>
            <w:tcW w:w="1680" w:type="dxa"/>
            <w:noWrap/>
            <w:vAlign w:val="center"/>
          </w:tcPr>
          <w:p w14:paraId="0855E6E2">
            <w:pPr>
              <w:spacing w:line="360" w:lineRule="auto"/>
              <w:rPr>
                <w:rFonts w:ascii="宋体" w:hAnsi="宋体"/>
                <w:color w:val="auto"/>
                <w:szCs w:val="21"/>
              </w:rPr>
            </w:pPr>
          </w:p>
        </w:tc>
        <w:tc>
          <w:tcPr>
            <w:tcW w:w="1785" w:type="dxa"/>
            <w:noWrap/>
            <w:vAlign w:val="center"/>
          </w:tcPr>
          <w:p w14:paraId="6111BA6B">
            <w:pPr>
              <w:spacing w:line="360" w:lineRule="auto"/>
              <w:rPr>
                <w:rFonts w:ascii="宋体" w:hAnsi="宋体"/>
                <w:color w:val="auto"/>
                <w:szCs w:val="21"/>
              </w:rPr>
            </w:pPr>
          </w:p>
        </w:tc>
      </w:tr>
      <w:tr w14:paraId="23ED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646" w:type="dxa"/>
            <w:noWrap/>
            <w:vAlign w:val="center"/>
          </w:tcPr>
          <w:p w14:paraId="1A991238">
            <w:pPr>
              <w:spacing w:line="360" w:lineRule="auto"/>
              <w:jc w:val="center"/>
              <w:rPr>
                <w:rFonts w:ascii="宋体" w:hAnsi="宋体"/>
                <w:i/>
                <w:color w:val="auto"/>
                <w:szCs w:val="21"/>
                <w:u w:val="single"/>
              </w:rPr>
            </w:pPr>
            <w:r>
              <w:rPr>
                <w:rFonts w:hint="eastAsia" w:ascii="宋体" w:hAnsi="宋体"/>
                <w:i/>
                <w:color w:val="auto"/>
                <w:szCs w:val="21"/>
                <w:u w:val="single"/>
              </w:rPr>
              <w:t>3</w:t>
            </w:r>
          </w:p>
        </w:tc>
        <w:tc>
          <w:tcPr>
            <w:tcW w:w="5447" w:type="dxa"/>
            <w:noWrap/>
            <w:vAlign w:val="center"/>
          </w:tcPr>
          <w:p w14:paraId="0E8DF586">
            <w:pPr>
              <w:spacing w:line="360" w:lineRule="auto"/>
              <w:rPr>
                <w:rFonts w:ascii="宋体" w:hAnsi="宋体"/>
                <w:i/>
                <w:iCs/>
                <w:color w:val="auto"/>
                <w:szCs w:val="21"/>
                <w:u w:val="single"/>
              </w:rPr>
            </w:pPr>
          </w:p>
        </w:tc>
        <w:tc>
          <w:tcPr>
            <w:tcW w:w="1680" w:type="dxa"/>
            <w:noWrap/>
            <w:vAlign w:val="center"/>
          </w:tcPr>
          <w:p w14:paraId="233F2B00">
            <w:pPr>
              <w:spacing w:line="360" w:lineRule="auto"/>
              <w:rPr>
                <w:rFonts w:ascii="宋体" w:hAnsi="宋体"/>
                <w:color w:val="auto"/>
                <w:szCs w:val="21"/>
              </w:rPr>
            </w:pPr>
          </w:p>
        </w:tc>
        <w:tc>
          <w:tcPr>
            <w:tcW w:w="1785" w:type="dxa"/>
            <w:noWrap/>
            <w:vAlign w:val="center"/>
          </w:tcPr>
          <w:p w14:paraId="71E02787">
            <w:pPr>
              <w:spacing w:line="360" w:lineRule="auto"/>
              <w:rPr>
                <w:rFonts w:ascii="宋体" w:hAnsi="宋体"/>
                <w:color w:val="auto"/>
                <w:szCs w:val="21"/>
              </w:rPr>
            </w:pPr>
          </w:p>
        </w:tc>
      </w:tr>
      <w:tr w14:paraId="27A2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646" w:type="dxa"/>
            <w:noWrap/>
            <w:vAlign w:val="center"/>
          </w:tcPr>
          <w:p w14:paraId="096336A6">
            <w:pPr>
              <w:spacing w:line="360" w:lineRule="auto"/>
              <w:jc w:val="center"/>
              <w:rPr>
                <w:rFonts w:ascii="宋体" w:hAnsi="宋体"/>
                <w:i/>
                <w:color w:val="auto"/>
                <w:szCs w:val="21"/>
                <w:u w:val="single"/>
              </w:rPr>
            </w:pPr>
            <w:r>
              <w:rPr>
                <w:rFonts w:hint="eastAsia" w:ascii="宋体" w:hAnsi="宋体"/>
                <w:i/>
                <w:color w:val="auto"/>
                <w:szCs w:val="21"/>
                <w:u w:val="single"/>
              </w:rPr>
              <w:t>4</w:t>
            </w:r>
          </w:p>
        </w:tc>
        <w:tc>
          <w:tcPr>
            <w:tcW w:w="5447" w:type="dxa"/>
            <w:noWrap/>
            <w:vAlign w:val="center"/>
          </w:tcPr>
          <w:p w14:paraId="25057D9A">
            <w:pPr>
              <w:spacing w:line="360" w:lineRule="auto"/>
              <w:rPr>
                <w:rFonts w:ascii="宋体" w:hAnsi="宋体"/>
                <w:i/>
                <w:iCs/>
                <w:color w:val="auto"/>
                <w:szCs w:val="21"/>
                <w:u w:val="single"/>
              </w:rPr>
            </w:pPr>
          </w:p>
        </w:tc>
        <w:tc>
          <w:tcPr>
            <w:tcW w:w="1680" w:type="dxa"/>
            <w:noWrap/>
            <w:vAlign w:val="center"/>
          </w:tcPr>
          <w:p w14:paraId="1EF44AC5">
            <w:pPr>
              <w:spacing w:line="360" w:lineRule="auto"/>
              <w:rPr>
                <w:rFonts w:ascii="宋体" w:hAnsi="宋体"/>
                <w:color w:val="auto"/>
                <w:szCs w:val="21"/>
              </w:rPr>
            </w:pPr>
          </w:p>
        </w:tc>
        <w:tc>
          <w:tcPr>
            <w:tcW w:w="1785" w:type="dxa"/>
            <w:noWrap/>
            <w:vAlign w:val="center"/>
          </w:tcPr>
          <w:p w14:paraId="6509E912">
            <w:pPr>
              <w:spacing w:line="360" w:lineRule="auto"/>
              <w:rPr>
                <w:rFonts w:ascii="宋体" w:hAnsi="宋体"/>
                <w:color w:val="auto"/>
                <w:szCs w:val="21"/>
              </w:rPr>
            </w:pPr>
          </w:p>
        </w:tc>
      </w:tr>
      <w:tr w14:paraId="5D4C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646" w:type="dxa"/>
            <w:noWrap/>
            <w:vAlign w:val="center"/>
          </w:tcPr>
          <w:p w14:paraId="076C31E8">
            <w:pPr>
              <w:spacing w:line="360" w:lineRule="auto"/>
              <w:jc w:val="center"/>
              <w:rPr>
                <w:rFonts w:ascii="宋体" w:hAnsi="宋体"/>
                <w:i/>
                <w:color w:val="auto"/>
                <w:szCs w:val="21"/>
                <w:u w:val="single"/>
              </w:rPr>
            </w:pPr>
            <w:r>
              <w:rPr>
                <w:rFonts w:hint="eastAsia" w:ascii="宋体" w:hAnsi="宋体"/>
                <w:i/>
                <w:color w:val="auto"/>
                <w:szCs w:val="21"/>
                <w:u w:val="single"/>
              </w:rPr>
              <w:t>5</w:t>
            </w:r>
          </w:p>
        </w:tc>
        <w:tc>
          <w:tcPr>
            <w:tcW w:w="5447" w:type="dxa"/>
            <w:noWrap/>
            <w:vAlign w:val="center"/>
          </w:tcPr>
          <w:p w14:paraId="1ED13474">
            <w:pPr>
              <w:snapToGrid w:val="0"/>
              <w:spacing w:line="360" w:lineRule="auto"/>
              <w:rPr>
                <w:rFonts w:ascii="宋体" w:hAnsi="宋体"/>
                <w:i/>
                <w:iCs/>
                <w:color w:val="auto"/>
                <w:szCs w:val="21"/>
                <w:u w:val="single"/>
              </w:rPr>
            </w:pPr>
          </w:p>
        </w:tc>
        <w:tc>
          <w:tcPr>
            <w:tcW w:w="1680" w:type="dxa"/>
            <w:noWrap/>
            <w:vAlign w:val="center"/>
          </w:tcPr>
          <w:p w14:paraId="5565AFE9">
            <w:pPr>
              <w:spacing w:line="360" w:lineRule="auto"/>
              <w:rPr>
                <w:rFonts w:ascii="宋体" w:hAnsi="宋体"/>
                <w:color w:val="auto"/>
                <w:szCs w:val="21"/>
              </w:rPr>
            </w:pPr>
          </w:p>
        </w:tc>
        <w:tc>
          <w:tcPr>
            <w:tcW w:w="1785" w:type="dxa"/>
            <w:noWrap/>
            <w:vAlign w:val="center"/>
          </w:tcPr>
          <w:p w14:paraId="25FAD319">
            <w:pPr>
              <w:spacing w:line="360" w:lineRule="auto"/>
              <w:rPr>
                <w:rFonts w:ascii="宋体" w:hAnsi="宋体"/>
                <w:color w:val="auto"/>
                <w:szCs w:val="21"/>
              </w:rPr>
            </w:pPr>
          </w:p>
        </w:tc>
      </w:tr>
      <w:tr w14:paraId="5A4F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646" w:type="dxa"/>
            <w:noWrap/>
            <w:vAlign w:val="center"/>
          </w:tcPr>
          <w:p w14:paraId="603A1A68">
            <w:pPr>
              <w:spacing w:line="360" w:lineRule="auto"/>
              <w:jc w:val="center"/>
              <w:rPr>
                <w:rFonts w:ascii="宋体" w:hAnsi="宋体"/>
                <w:i/>
                <w:color w:val="auto"/>
                <w:szCs w:val="21"/>
                <w:u w:val="single"/>
              </w:rPr>
            </w:pPr>
            <w:r>
              <w:rPr>
                <w:rFonts w:hint="eastAsia" w:ascii="宋体" w:hAnsi="宋体"/>
                <w:i/>
                <w:color w:val="auto"/>
                <w:szCs w:val="21"/>
                <w:u w:val="single"/>
              </w:rPr>
              <w:t>6</w:t>
            </w:r>
          </w:p>
        </w:tc>
        <w:tc>
          <w:tcPr>
            <w:tcW w:w="5447" w:type="dxa"/>
            <w:noWrap/>
            <w:vAlign w:val="center"/>
          </w:tcPr>
          <w:p w14:paraId="768738E3">
            <w:pPr>
              <w:snapToGrid w:val="0"/>
              <w:spacing w:line="360" w:lineRule="auto"/>
              <w:rPr>
                <w:rFonts w:ascii="宋体" w:hAnsi="宋体"/>
                <w:i/>
                <w:iCs/>
                <w:color w:val="auto"/>
                <w:szCs w:val="21"/>
                <w:u w:val="single"/>
              </w:rPr>
            </w:pPr>
          </w:p>
        </w:tc>
        <w:tc>
          <w:tcPr>
            <w:tcW w:w="1680" w:type="dxa"/>
            <w:noWrap/>
            <w:vAlign w:val="center"/>
          </w:tcPr>
          <w:p w14:paraId="33BE7A20">
            <w:pPr>
              <w:spacing w:line="360" w:lineRule="auto"/>
              <w:rPr>
                <w:rFonts w:ascii="宋体" w:hAnsi="宋体"/>
                <w:color w:val="auto"/>
                <w:szCs w:val="21"/>
              </w:rPr>
            </w:pPr>
          </w:p>
        </w:tc>
        <w:tc>
          <w:tcPr>
            <w:tcW w:w="1785" w:type="dxa"/>
            <w:noWrap/>
            <w:vAlign w:val="center"/>
          </w:tcPr>
          <w:p w14:paraId="55CD8B02">
            <w:pPr>
              <w:spacing w:line="360" w:lineRule="auto"/>
              <w:rPr>
                <w:rFonts w:ascii="宋体" w:hAnsi="宋体"/>
                <w:color w:val="auto"/>
                <w:szCs w:val="21"/>
              </w:rPr>
            </w:pPr>
          </w:p>
        </w:tc>
      </w:tr>
      <w:tr w14:paraId="751F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646" w:type="dxa"/>
            <w:noWrap/>
            <w:vAlign w:val="center"/>
          </w:tcPr>
          <w:p w14:paraId="5BFAF798">
            <w:pPr>
              <w:spacing w:line="360" w:lineRule="auto"/>
              <w:jc w:val="center"/>
              <w:rPr>
                <w:rFonts w:ascii="宋体" w:hAnsi="宋体"/>
                <w:i/>
                <w:color w:val="auto"/>
                <w:szCs w:val="21"/>
                <w:u w:val="single"/>
              </w:rPr>
            </w:pPr>
            <w:r>
              <w:rPr>
                <w:rFonts w:hint="eastAsia" w:ascii="宋体" w:hAnsi="宋体"/>
                <w:i/>
                <w:color w:val="auto"/>
                <w:szCs w:val="21"/>
                <w:u w:val="single"/>
              </w:rPr>
              <w:t>7</w:t>
            </w:r>
          </w:p>
        </w:tc>
        <w:tc>
          <w:tcPr>
            <w:tcW w:w="5447" w:type="dxa"/>
            <w:noWrap/>
            <w:vAlign w:val="center"/>
          </w:tcPr>
          <w:p w14:paraId="69A5885A">
            <w:pPr>
              <w:snapToGrid w:val="0"/>
              <w:spacing w:line="360" w:lineRule="auto"/>
              <w:rPr>
                <w:rFonts w:ascii="宋体" w:hAnsi="宋体"/>
                <w:i/>
                <w:iCs/>
                <w:color w:val="auto"/>
                <w:szCs w:val="21"/>
                <w:u w:val="single"/>
              </w:rPr>
            </w:pPr>
            <w:r>
              <w:rPr>
                <w:rFonts w:hint="eastAsia" w:ascii="宋体" w:hAnsi="宋体"/>
                <w:i/>
                <w:iCs/>
                <w:color w:val="auto"/>
                <w:szCs w:val="21"/>
                <w:u w:val="single"/>
              </w:rPr>
              <w:t>磋商文件中的其他实质性要求</w:t>
            </w:r>
          </w:p>
        </w:tc>
        <w:tc>
          <w:tcPr>
            <w:tcW w:w="1680" w:type="dxa"/>
            <w:noWrap/>
            <w:vAlign w:val="center"/>
          </w:tcPr>
          <w:p w14:paraId="36DB6DB9">
            <w:pPr>
              <w:spacing w:line="360" w:lineRule="auto"/>
              <w:rPr>
                <w:rFonts w:ascii="宋体" w:hAnsi="宋体"/>
                <w:color w:val="auto"/>
                <w:szCs w:val="21"/>
              </w:rPr>
            </w:pPr>
          </w:p>
        </w:tc>
        <w:tc>
          <w:tcPr>
            <w:tcW w:w="1785" w:type="dxa"/>
            <w:noWrap/>
            <w:vAlign w:val="center"/>
          </w:tcPr>
          <w:p w14:paraId="66279D38">
            <w:pPr>
              <w:spacing w:line="360" w:lineRule="auto"/>
              <w:rPr>
                <w:rFonts w:ascii="宋体" w:hAnsi="宋体"/>
                <w:color w:val="auto"/>
                <w:szCs w:val="21"/>
              </w:rPr>
            </w:pPr>
          </w:p>
        </w:tc>
      </w:tr>
    </w:tbl>
    <w:p w14:paraId="0C8DE19A">
      <w:pPr>
        <w:spacing w:line="360" w:lineRule="auto"/>
        <w:ind w:firstLine="420" w:firstLineChars="200"/>
        <w:rPr>
          <w:rFonts w:ascii="宋体" w:hAnsi="宋体"/>
          <w:color w:val="auto"/>
          <w:szCs w:val="21"/>
        </w:rPr>
      </w:pPr>
    </w:p>
    <w:p w14:paraId="641E9DA0">
      <w:pPr>
        <w:snapToGrid w:val="0"/>
        <w:spacing w:line="360" w:lineRule="auto"/>
        <w:rPr>
          <w:rFonts w:ascii="宋体" w:hAnsi="宋体"/>
          <w:color w:val="auto"/>
          <w:szCs w:val="21"/>
        </w:rPr>
      </w:pPr>
    </w:p>
    <w:p w14:paraId="70B5BB2B">
      <w:pPr>
        <w:snapToGrid w:val="0"/>
        <w:spacing w:line="360" w:lineRule="auto"/>
        <w:rPr>
          <w:rFonts w:ascii="宋体" w:hAnsi="宋体"/>
          <w:color w:val="auto"/>
          <w:szCs w:val="21"/>
        </w:rPr>
      </w:pPr>
    </w:p>
    <w:p w14:paraId="251E6347">
      <w:pPr>
        <w:spacing w:line="360" w:lineRule="auto"/>
        <w:jc w:val="center"/>
        <w:rPr>
          <w:rFonts w:ascii="宋体" w:hAnsi="宋体"/>
          <w:b/>
          <w:color w:val="auto"/>
          <w:szCs w:val="21"/>
        </w:rPr>
      </w:pPr>
    </w:p>
    <w:p w14:paraId="3F434AD3">
      <w:pPr>
        <w:spacing w:line="360" w:lineRule="auto"/>
        <w:jc w:val="center"/>
        <w:rPr>
          <w:rFonts w:ascii="宋体" w:hAnsi="宋体"/>
          <w:b/>
          <w:color w:val="auto"/>
          <w:szCs w:val="21"/>
        </w:rPr>
      </w:pPr>
    </w:p>
    <w:p w14:paraId="3D36C4CB">
      <w:pPr>
        <w:spacing w:line="360" w:lineRule="auto"/>
        <w:jc w:val="center"/>
        <w:rPr>
          <w:rFonts w:ascii="宋体" w:hAnsi="宋体"/>
          <w:b/>
          <w:color w:val="auto"/>
          <w:szCs w:val="21"/>
        </w:rPr>
      </w:pPr>
    </w:p>
    <w:p w14:paraId="59C9CFB5">
      <w:pPr>
        <w:spacing w:line="360" w:lineRule="auto"/>
        <w:jc w:val="center"/>
        <w:rPr>
          <w:rFonts w:ascii="宋体" w:hAnsi="宋体"/>
          <w:b/>
          <w:color w:val="auto"/>
          <w:szCs w:val="21"/>
        </w:rPr>
      </w:pPr>
    </w:p>
    <w:p w14:paraId="677E0038">
      <w:pPr>
        <w:spacing w:line="360" w:lineRule="auto"/>
        <w:jc w:val="center"/>
        <w:rPr>
          <w:rFonts w:ascii="宋体" w:hAnsi="宋体"/>
          <w:b/>
          <w:color w:val="auto"/>
          <w:szCs w:val="21"/>
        </w:rPr>
      </w:pPr>
    </w:p>
    <w:p w14:paraId="0A8D29A9">
      <w:pPr>
        <w:spacing w:line="360" w:lineRule="auto"/>
        <w:jc w:val="center"/>
        <w:rPr>
          <w:rFonts w:ascii="宋体" w:hAnsi="宋体"/>
          <w:b/>
          <w:color w:val="auto"/>
          <w:szCs w:val="21"/>
        </w:rPr>
      </w:pPr>
    </w:p>
    <w:p w14:paraId="30A38B33">
      <w:pPr>
        <w:spacing w:line="360" w:lineRule="auto"/>
        <w:rPr>
          <w:color w:val="auto"/>
        </w:rPr>
      </w:pPr>
    </w:p>
    <w:p w14:paraId="257AF0B1">
      <w:pPr>
        <w:spacing w:line="360" w:lineRule="auto"/>
        <w:jc w:val="center"/>
        <w:rPr>
          <w:rFonts w:ascii="宋体" w:hAnsi="宋体"/>
          <w:b/>
          <w:color w:val="auto"/>
          <w:szCs w:val="21"/>
        </w:rPr>
      </w:pPr>
      <w:r>
        <w:rPr>
          <w:rFonts w:hint="eastAsia" w:ascii="宋体" w:hAnsi="宋体"/>
          <w:b/>
          <w:color w:val="auto"/>
          <w:szCs w:val="21"/>
        </w:rPr>
        <w:br w:type="page"/>
      </w:r>
      <w:r>
        <w:rPr>
          <w:rFonts w:hint="eastAsia" w:ascii="宋体" w:hAnsi="宋体" w:cs="宋体"/>
          <w:b/>
          <w:color w:val="auto"/>
          <w:sz w:val="24"/>
        </w:rPr>
        <w:t>二、资信证明文件</w:t>
      </w:r>
    </w:p>
    <w:p w14:paraId="172FA7F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（一）通用资格要求</w:t>
      </w:r>
    </w:p>
    <w:p w14:paraId="3536F11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1.满足《中华人民共和国政府采购法》第二十二条规定，并提供下列材料：</w:t>
      </w:r>
    </w:p>
    <w:p w14:paraId="0B4F9155">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1.1 法人或者其他组织的营业执照等证明文件，自然人的身份证明（身份证为正、反面）；</w:t>
      </w:r>
    </w:p>
    <w:p w14:paraId="5FC8BA48">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1.2若法定代表人参加磋商的，须提供本人身份证复印件（原件备查）；若授权代表参加的，须提供《法人授权书》原件和授权代表身份证复印件（原件备查）；</w:t>
      </w:r>
    </w:p>
    <w:p w14:paraId="3DB322C5">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1.3 上一年度的财务状况报告（成立不满一年无需提供）；</w:t>
      </w:r>
    </w:p>
    <w:p w14:paraId="1C44915A">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1.4依法缴纳税收和社会保障资金的相关材料（提供提交响应文件截止时间前一年内至少一个月依法缴纳税收及缴纳社会保障资金的证明材料。供应商依法享受缓缴、免缴税收、社会保障资金的提供相应证明材料。）；</w:t>
      </w:r>
    </w:p>
    <w:p w14:paraId="482009CA">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1.5具备履行合同所必需的设备和专业技术能力的书面声明；（原件加盖供应商公章）</w:t>
      </w:r>
    </w:p>
    <w:p w14:paraId="0DBF9D81">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1.6参加政府采购活动前3年内在经营活动中没有重大违法记录的书面声明；（原件加盖供应商公章）</w:t>
      </w:r>
    </w:p>
    <w:p w14:paraId="480BAB10">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1.7供应商信用承诺书。（原件加盖供应商公章）</w:t>
      </w:r>
    </w:p>
    <w:p w14:paraId="5DCD34F8">
      <w:pPr>
        <w:spacing w:line="360" w:lineRule="auto"/>
        <w:ind w:firstLine="420" w:firstLineChars="200"/>
        <w:rPr>
          <w:rFonts w:ascii="宋体" w:hAnsi="宋体" w:cs="宋体"/>
          <w:i/>
          <w:iCs/>
          <w:color w:val="auto"/>
          <w:szCs w:val="21"/>
          <w:highlight w:val="none"/>
          <w:u w:val="single"/>
        </w:rPr>
      </w:pPr>
      <w:r>
        <w:rPr>
          <w:rFonts w:hint="eastAsia" w:ascii="宋体" w:hAnsi="宋体" w:cs="宋体"/>
          <w:i/>
          <w:iCs/>
          <w:color w:val="auto"/>
          <w:szCs w:val="21"/>
          <w:highlight w:val="none"/>
          <w:u w:val="single"/>
        </w:rPr>
        <w:t>1.8未被“信用中国”网站（www.creditchina.gov.cn）、“中国政府采购网”</w:t>
      </w:r>
      <w:r>
        <w:rPr>
          <w:rFonts w:hint="eastAsia" w:ascii="宋体" w:hAnsi="宋体" w:cs="宋体"/>
          <w:i/>
          <w:iCs/>
          <w:color w:val="auto"/>
          <w:szCs w:val="21"/>
          <w:highlight w:val="none"/>
          <w:u w:val="single"/>
          <w:lang w:eastAsia="zh-CN"/>
        </w:rPr>
        <w:t>（</w:t>
      </w:r>
      <w:r>
        <w:rPr>
          <w:rFonts w:hint="eastAsia" w:ascii="宋体" w:hAnsi="宋体" w:cs="宋体"/>
          <w:i/>
          <w:iCs/>
          <w:color w:val="auto"/>
          <w:szCs w:val="21"/>
          <w:highlight w:val="none"/>
          <w:u w:val="single"/>
        </w:rPr>
        <w:t>www.ccgp.gov.cn）列入失信被执行人、重大税收违法案件当事人名单、政府采购严重违法失信行为记录名单（响应文件中无需提供证明材料）。</w:t>
      </w:r>
    </w:p>
    <w:p w14:paraId="76881392">
      <w:pPr>
        <w:pStyle w:val="99"/>
        <w:adjustRightInd/>
        <w:spacing w:line="360" w:lineRule="auto"/>
        <w:ind w:firstLine="480" w:firstLineChars="200"/>
        <w:rPr>
          <w:rFonts w:hAnsi="宋体"/>
          <w:i/>
          <w:iCs/>
          <w:color w:val="auto"/>
          <w:sz w:val="21"/>
          <w:szCs w:val="21"/>
          <w:highlight w:val="none"/>
          <w:u w:val="single"/>
        </w:rPr>
      </w:pPr>
      <w:r>
        <w:rPr>
          <w:rFonts w:hint="eastAsia" w:hAnsi="宋体"/>
          <w:color w:val="auto"/>
          <w:szCs w:val="21"/>
          <w:highlight w:val="none"/>
        </w:rPr>
        <w:t>（二）</w:t>
      </w:r>
      <w:r>
        <w:rPr>
          <w:rFonts w:hint="eastAsia" w:hAnsi="宋体"/>
          <w:color w:val="auto"/>
          <w:sz w:val="21"/>
          <w:szCs w:val="21"/>
          <w:highlight w:val="none"/>
        </w:rPr>
        <w:t>本项目的特定资格要求：</w:t>
      </w:r>
      <w:r>
        <w:rPr>
          <w:rFonts w:hint="eastAsia" w:hAnsi="宋体"/>
          <w:i/>
          <w:iCs/>
          <w:color w:val="auto"/>
          <w:sz w:val="21"/>
          <w:szCs w:val="21"/>
          <w:highlight w:val="none"/>
          <w:u w:val="single"/>
        </w:rPr>
        <w:t>本项目根据《扬州市重大决策社会稳定风险评估第三方机构管理办法（试行）》（扬委法〔2022〕57号），供应商应在扬州市2026-2028年度可参与重大决策社会稳定风险评估第三方机构名单内。（提供有效证明材料复印件加盖供应商公章）（《关于公布扬州市2026-2028年度可参与重大决策社会稳定风险评估第三方机构名单的通知》查询网址：http://caw.yangzhou.gov.cn/gsgg/art/2026/art_a31680c585ea4f0a86707f2dd15a6749.html）</w:t>
      </w:r>
    </w:p>
    <w:p w14:paraId="4DCDE80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（三）拒绝下述供应商参加本次采购活动：</w:t>
      </w:r>
    </w:p>
    <w:p w14:paraId="51F4D1A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3.1单位负责人为同一人或者存在直接控股、管理关系的不同供应商，不得参加同一合同项下的政府采购活动；</w:t>
      </w:r>
    </w:p>
    <w:p w14:paraId="5ED9DC2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3.2除单一来源采购项目外，为采购项目提供整体设计、规范编制或者项目管理、监理、检测等服务的供应商，不得再参加该采购项目的其他采购活动。</w:t>
      </w:r>
    </w:p>
    <w:p w14:paraId="75A5537E">
      <w:pPr>
        <w:spacing w:line="360" w:lineRule="auto"/>
        <w:jc w:val="center"/>
        <w:rPr>
          <w:rFonts w:ascii="宋体" w:hAnsi="宋体" w:cs="宋体"/>
          <w:b/>
          <w:color w:val="auto"/>
          <w:sz w:val="24"/>
        </w:rPr>
        <w:sectPr>
          <w:footerReference r:id="rId5" w:type="default"/>
          <w:pgSz w:w="11906" w:h="16838"/>
          <w:pgMar w:top="1270" w:right="1083" w:bottom="1270" w:left="1083" w:header="1191" w:footer="992" w:gutter="0"/>
          <w:pgBorders>
            <w:top w:val="none" w:sz="0" w:space="0"/>
            <w:left w:val="none" w:sz="0" w:space="0"/>
            <w:bottom w:val="none" w:sz="0" w:space="0"/>
            <w:right w:val="none" w:sz="0" w:space="0"/>
          </w:pgBorders>
          <w:pgNumType w:fmt="numberInDash" w:start="1"/>
          <w:cols w:space="0" w:num="1"/>
          <w:docGrid w:type="lines" w:linePitch="325" w:charSpace="0"/>
        </w:sectPr>
      </w:pPr>
    </w:p>
    <w:p w14:paraId="42C54B97">
      <w:pPr>
        <w:spacing w:line="360" w:lineRule="auto"/>
        <w:jc w:val="center"/>
        <w:rPr>
          <w:rFonts w:ascii="宋体" w:hAnsi="宋体" w:cs="宋体"/>
          <w:b/>
          <w:color w:val="auto"/>
          <w:kern w:val="1"/>
          <w:szCs w:val="21"/>
        </w:rPr>
      </w:pPr>
      <w:r>
        <w:rPr>
          <w:rFonts w:hint="eastAsia" w:ascii="宋体" w:hAnsi="宋体" w:cs="宋体"/>
          <w:b/>
          <w:color w:val="auto"/>
          <w:sz w:val="24"/>
        </w:rPr>
        <w:t>法人授权书</w:t>
      </w:r>
    </w:p>
    <w:p w14:paraId="29CBE5E1">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本授权书声明：</w:t>
      </w:r>
      <w:r>
        <w:rPr>
          <w:rFonts w:hint="eastAsia" w:ascii="宋体" w:hAnsi="宋体" w:cs="宋体"/>
          <w:color w:val="auto"/>
          <w:sz w:val="21"/>
          <w:szCs w:val="21"/>
          <w:u w:val="single"/>
        </w:rPr>
        <w:t xml:space="preserve">    （供应商名称） </w:t>
      </w:r>
      <w:r>
        <w:rPr>
          <w:rFonts w:hint="eastAsia" w:ascii="宋体" w:hAnsi="宋体" w:cs="宋体"/>
          <w:color w:val="auto"/>
          <w:sz w:val="21"/>
          <w:szCs w:val="21"/>
        </w:rPr>
        <w:t>授权</w:t>
      </w:r>
      <w:r>
        <w:rPr>
          <w:rFonts w:hint="eastAsia" w:ascii="宋体" w:hAnsi="宋体" w:cs="宋体"/>
          <w:color w:val="auto"/>
          <w:sz w:val="21"/>
          <w:szCs w:val="21"/>
          <w:u w:val="single"/>
        </w:rPr>
        <w:t xml:space="preserve">    （被授权人的姓名）    </w:t>
      </w:r>
      <w:r>
        <w:rPr>
          <w:rFonts w:hint="eastAsia" w:ascii="宋体" w:hAnsi="宋体" w:cs="宋体"/>
          <w:color w:val="auto"/>
          <w:sz w:val="21"/>
          <w:szCs w:val="21"/>
        </w:rPr>
        <w:t>为我方就 号</w:t>
      </w:r>
      <w:r>
        <w:rPr>
          <w:rFonts w:hint="eastAsia" w:ascii="宋体" w:hAnsi="宋体" w:cs="宋体"/>
          <w:color w:val="auto"/>
          <w:sz w:val="21"/>
          <w:szCs w:val="21"/>
          <w:u w:val="single"/>
        </w:rPr>
        <w:t xml:space="preserve">    （项目编号、项目名称）  </w:t>
      </w:r>
      <w:r>
        <w:rPr>
          <w:rFonts w:hint="eastAsia" w:ascii="宋体" w:hAnsi="宋体" w:cs="宋体"/>
          <w:color w:val="auto"/>
          <w:sz w:val="21"/>
          <w:szCs w:val="21"/>
        </w:rPr>
        <w:t>采购活动的合法代理人，以本公司名义全权处理一切与该项目采购有关的事务。</w:t>
      </w:r>
    </w:p>
    <w:p w14:paraId="58E02B54">
      <w:pPr>
        <w:pStyle w:val="91"/>
        <w:spacing w:line="360" w:lineRule="auto"/>
        <w:ind w:firstLine="420"/>
        <w:rPr>
          <w:rFonts w:ascii="宋体" w:hAnsi="宋体" w:cs="宋体"/>
          <w:color w:val="auto"/>
          <w:sz w:val="21"/>
          <w:szCs w:val="21"/>
        </w:rPr>
      </w:pPr>
    </w:p>
    <w:p w14:paraId="780C7959">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本授权书于年月日起生效，特此声明。</w:t>
      </w:r>
    </w:p>
    <w:p w14:paraId="713F3BDF">
      <w:pPr>
        <w:pStyle w:val="91"/>
        <w:spacing w:line="360" w:lineRule="auto"/>
        <w:ind w:firstLine="420"/>
        <w:rPr>
          <w:rFonts w:ascii="宋体" w:hAnsi="宋体" w:cs="宋体"/>
          <w:color w:val="auto"/>
          <w:sz w:val="21"/>
          <w:szCs w:val="21"/>
        </w:rPr>
      </w:pPr>
    </w:p>
    <w:tbl>
      <w:tblPr>
        <w:tblStyle w:val="30"/>
        <w:tblW w:w="0" w:type="auto"/>
        <w:tblInd w:w="6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1"/>
        <w:gridCol w:w="4008"/>
      </w:tblGrid>
      <w:tr w14:paraId="2770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3211" w:type="dxa"/>
            <w:tcBorders>
              <w:top w:val="nil"/>
              <w:left w:val="nil"/>
              <w:bottom w:val="nil"/>
              <w:right w:val="nil"/>
            </w:tcBorders>
            <w:noWrap/>
            <w:vAlign w:val="bottom"/>
          </w:tcPr>
          <w:p w14:paraId="01ADA361">
            <w:pPr>
              <w:pStyle w:val="91"/>
              <w:spacing w:line="360" w:lineRule="auto"/>
              <w:ind w:firstLine="420"/>
              <w:jc w:val="left"/>
              <w:rPr>
                <w:rFonts w:ascii="宋体" w:hAnsi="宋体" w:cs="宋体"/>
                <w:color w:val="auto"/>
                <w:sz w:val="21"/>
                <w:szCs w:val="21"/>
              </w:rPr>
            </w:pPr>
            <w:r>
              <w:rPr>
                <w:rFonts w:hint="eastAsia" w:ascii="宋体" w:hAnsi="宋体" w:cs="宋体"/>
                <w:color w:val="auto"/>
                <w:sz w:val="21"/>
                <w:szCs w:val="21"/>
              </w:rPr>
              <w:t>单位名称（公章）：</w:t>
            </w:r>
          </w:p>
        </w:tc>
        <w:tc>
          <w:tcPr>
            <w:tcW w:w="4008" w:type="dxa"/>
            <w:tcBorders>
              <w:top w:val="nil"/>
              <w:left w:val="nil"/>
              <w:right w:val="nil"/>
            </w:tcBorders>
            <w:noWrap/>
          </w:tcPr>
          <w:p w14:paraId="77CD55FC">
            <w:pPr>
              <w:pStyle w:val="91"/>
              <w:spacing w:line="360" w:lineRule="auto"/>
              <w:ind w:firstLine="420"/>
              <w:rPr>
                <w:rFonts w:ascii="宋体" w:hAnsi="宋体" w:cs="宋体"/>
                <w:color w:val="auto"/>
                <w:sz w:val="21"/>
                <w:szCs w:val="21"/>
              </w:rPr>
            </w:pPr>
          </w:p>
        </w:tc>
      </w:tr>
      <w:tr w14:paraId="6B58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3211" w:type="dxa"/>
            <w:tcBorders>
              <w:top w:val="nil"/>
              <w:left w:val="nil"/>
              <w:bottom w:val="nil"/>
              <w:right w:val="nil"/>
            </w:tcBorders>
            <w:noWrap/>
            <w:vAlign w:val="bottom"/>
          </w:tcPr>
          <w:p w14:paraId="5A1A312B">
            <w:pPr>
              <w:pStyle w:val="91"/>
              <w:spacing w:line="360" w:lineRule="auto"/>
              <w:ind w:firstLine="420"/>
              <w:jc w:val="left"/>
              <w:rPr>
                <w:rFonts w:ascii="宋体" w:hAnsi="宋体" w:cs="宋体"/>
                <w:color w:val="auto"/>
                <w:sz w:val="21"/>
                <w:szCs w:val="21"/>
              </w:rPr>
            </w:pPr>
            <w:r>
              <w:rPr>
                <w:rFonts w:hint="eastAsia" w:ascii="宋体" w:hAnsi="宋体" w:cs="宋体"/>
                <w:color w:val="auto"/>
                <w:sz w:val="21"/>
                <w:szCs w:val="21"/>
              </w:rPr>
              <w:t>法定代表人（签字或盖章）：</w:t>
            </w:r>
          </w:p>
        </w:tc>
        <w:tc>
          <w:tcPr>
            <w:tcW w:w="4008" w:type="dxa"/>
            <w:tcBorders>
              <w:left w:val="nil"/>
              <w:right w:val="nil"/>
            </w:tcBorders>
            <w:noWrap/>
          </w:tcPr>
          <w:p w14:paraId="33C1F774">
            <w:pPr>
              <w:pStyle w:val="91"/>
              <w:spacing w:line="360" w:lineRule="auto"/>
              <w:ind w:firstLine="420"/>
              <w:rPr>
                <w:rFonts w:ascii="宋体" w:hAnsi="宋体" w:cs="宋体"/>
                <w:color w:val="auto"/>
                <w:sz w:val="21"/>
                <w:szCs w:val="21"/>
              </w:rPr>
            </w:pPr>
          </w:p>
        </w:tc>
      </w:tr>
      <w:tr w14:paraId="3CA6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3211" w:type="dxa"/>
            <w:tcBorders>
              <w:top w:val="nil"/>
              <w:left w:val="nil"/>
              <w:bottom w:val="nil"/>
              <w:right w:val="nil"/>
            </w:tcBorders>
            <w:noWrap/>
            <w:vAlign w:val="bottom"/>
          </w:tcPr>
          <w:p w14:paraId="4CAA14BD">
            <w:pPr>
              <w:pStyle w:val="91"/>
              <w:spacing w:line="360" w:lineRule="auto"/>
              <w:ind w:firstLine="420"/>
              <w:jc w:val="left"/>
              <w:rPr>
                <w:rFonts w:ascii="宋体" w:hAnsi="宋体" w:cs="宋体"/>
                <w:color w:val="auto"/>
                <w:sz w:val="21"/>
                <w:szCs w:val="21"/>
              </w:rPr>
            </w:pPr>
            <w:r>
              <w:rPr>
                <w:rFonts w:hint="eastAsia" w:ascii="宋体" w:hAnsi="宋体" w:cs="宋体"/>
                <w:color w:val="auto"/>
                <w:sz w:val="21"/>
                <w:szCs w:val="21"/>
              </w:rPr>
              <w:t>身份证号码：</w:t>
            </w:r>
          </w:p>
        </w:tc>
        <w:tc>
          <w:tcPr>
            <w:tcW w:w="4008" w:type="dxa"/>
            <w:tcBorders>
              <w:left w:val="nil"/>
              <w:right w:val="nil"/>
            </w:tcBorders>
            <w:noWrap/>
          </w:tcPr>
          <w:p w14:paraId="5B3B70EA">
            <w:pPr>
              <w:pStyle w:val="91"/>
              <w:spacing w:line="360" w:lineRule="auto"/>
              <w:ind w:firstLine="420"/>
              <w:rPr>
                <w:rFonts w:ascii="宋体" w:hAnsi="宋体" w:cs="宋体"/>
                <w:color w:val="auto"/>
                <w:sz w:val="21"/>
                <w:szCs w:val="21"/>
              </w:rPr>
            </w:pPr>
          </w:p>
        </w:tc>
      </w:tr>
      <w:tr w14:paraId="2A62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3211" w:type="dxa"/>
            <w:tcBorders>
              <w:top w:val="nil"/>
              <w:left w:val="nil"/>
              <w:bottom w:val="nil"/>
              <w:right w:val="nil"/>
            </w:tcBorders>
            <w:noWrap/>
            <w:vAlign w:val="bottom"/>
          </w:tcPr>
          <w:p w14:paraId="27A4DD28">
            <w:pPr>
              <w:pStyle w:val="91"/>
              <w:spacing w:line="360" w:lineRule="auto"/>
              <w:ind w:firstLine="420"/>
              <w:jc w:val="left"/>
              <w:rPr>
                <w:rFonts w:ascii="宋体" w:hAnsi="宋体" w:cs="宋体"/>
                <w:color w:val="auto"/>
                <w:sz w:val="21"/>
                <w:szCs w:val="21"/>
              </w:rPr>
            </w:pPr>
            <w:r>
              <w:rPr>
                <w:rFonts w:hint="eastAsia" w:ascii="宋体" w:hAnsi="宋体" w:cs="宋体"/>
                <w:color w:val="auto"/>
                <w:sz w:val="21"/>
                <w:szCs w:val="21"/>
              </w:rPr>
              <w:t>被授权人（签字或盖章）：</w:t>
            </w:r>
          </w:p>
        </w:tc>
        <w:tc>
          <w:tcPr>
            <w:tcW w:w="4008" w:type="dxa"/>
            <w:tcBorders>
              <w:left w:val="nil"/>
              <w:right w:val="nil"/>
            </w:tcBorders>
            <w:noWrap/>
          </w:tcPr>
          <w:p w14:paraId="7FB4A048">
            <w:pPr>
              <w:pStyle w:val="91"/>
              <w:spacing w:line="360" w:lineRule="auto"/>
              <w:ind w:firstLine="420"/>
              <w:rPr>
                <w:rFonts w:ascii="宋体" w:hAnsi="宋体" w:cs="宋体"/>
                <w:color w:val="auto"/>
                <w:sz w:val="21"/>
                <w:szCs w:val="21"/>
              </w:rPr>
            </w:pPr>
          </w:p>
        </w:tc>
      </w:tr>
      <w:tr w14:paraId="73C5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3211" w:type="dxa"/>
            <w:tcBorders>
              <w:top w:val="nil"/>
              <w:left w:val="nil"/>
              <w:bottom w:val="nil"/>
              <w:right w:val="nil"/>
            </w:tcBorders>
            <w:noWrap/>
            <w:vAlign w:val="bottom"/>
          </w:tcPr>
          <w:p w14:paraId="48CBF887">
            <w:pPr>
              <w:pStyle w:val="91"/>
              <w:spacing w:line="360" w:lineRule="auto"/>
              <w:ind w:firstLine="420"/>
              <w:jc w:val="left"/>
              <w:rPr>
                <w:rFonts w:ascii="宋体" w:hAnsi="宋体" w:cs="宋体"/>
                <w:color w:val="auto"/>
                <w:sz w:val="21"/>
                <w:szCs w:val="21"/>
              </w:rPr>
            </w:pPr>
            <w:r>
              <w:rPr>
                <w:rFonts w:hint="eastAsia" w:ascii="宋体" w:hAnsi="宋体" w:cs="宋体"/>
                <w:color w:val="auto"/>
                <w:sz w:val="21"/>
                <w:szCs w:val="21"/>
              </w:rPr>
              <w:t>身份证号码：</w:t>
            </w:r>
          </w:p>
        </w:tc>
        <w:tc>
          <w:tcPr>
            <w:tcW w:w="4008" w:type="dxa"/>
            <w:tcBorders>
              <w:left w:val="nil"/>
              <w:right w:val="nil"/>
            </w:tcBorders>
            <w:noWrap/>
          </w:tcPr>
          <w:p w14:paraId="19D2A15E">
            <w:pPr>
              <w:pStyle w:val="91"/>
              <w:spacing w:line="360" w:lineRule="auto"/>
              <w:ind w:firstLine="420"/>
              <w:rPr>
                <w:rFonts w:ascii="宋体" w:hAnsi="宋体" w:cs="宋体"/>
                <w:color w:val="auto"/>
                <w:sz w:val="21"/>
                <w:szCs w:val="21"/>
              </w:rPr>
            </w:pPr>
          </w:p>
        </w:tc>
      </w:tr>
      <w:tr w14:paraId="3A09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3211" w:type="dxa"/>
            <w:tcBorders>
              <w:top w:val="nil"/>
              <w:left w:val="nil"/>
              <w:bottom w:val="nil"/>
              <w:right w:val="nil"/>
            </w:tcBorders>
            <w:noWrap/>
            <w:vAlign w:val="bottom"/>
          </w:tcPr>
          <w:p w14:paraId="4AAA296E">
            <w:pPr>
              <w:pStyle w:val="91"/>
              <w:spacing w:line="360" w:lineRule="auto"/>
              <w:ind w:firstLine="420"/>
              <w:jc w:val="left"/>
              <w:rPr>
                <w:rFonts w:ascii="宋体" w:hAnsi="宋体" w:cs="宋体"/>
                <w:color w:val="auto"/>
                <w:sz w:val="21"/>
                <w:szCs w:val="21"/>
              </w:rPr>
            </w:pPr>
            <w:r>
              <w:rPr>
                <w:rFonts w:hint="eastAsia" w:ascii="宋体" w:hAnsi="宋体" w:cs="宋体"/>
                <w:color w:val="auto"/>
                <w:sz w:val="21"/>
                <w:szCs w:val="21"/>
              </w:rPr>
              <w:t>日期：</w:t>
            </w:r>
          </w:p>
        </w:tc>
        <w:tc>
          <w:tcPr>
            <w:tcW w:w="4008" w:type="dxa"/>
            <w:tcBorders>
              <w:left w:val="nil"/>
              <w:right w:val="nil"/>
            </w:tcBorders>
            <w:noWrap/>
            <w:vAlign w:val="bottom"/>
          </w:tcPr>
          <w:p w14:paraId="3CCC27D5">
            <w:pPr>
              <w:pStyle w:val="91"/>
              <w:spacing w:line="360" w:lineRule="auto"/>
              <w:ind w:firstLine="1050" w:firstLineChars="500"/>
              <w:rPr>
                <w:rFonts w:ascii="宋体" w:hAnsi="宋体" w:cs="宋体"/>
                <w:color w:val="auto"/>
                <w:sz w:val="21"/>
                <w:szCs w:val="21"/>
              </w:rPr>
            </w:pPr>
            <w:r>
              <w:rPr>
                <w:rFonts w:hint="eastAsia" w:ascii="宋体" w:hAnsi="宋体" w:cs="宋体"/>
                <w:color w:val="auto"/>
                <w:sz w:val="21"/>
                <w:szCs w:val="21"/>
              </w:rPr>
              <w:t>年    月    日</w:t>
            </w:r>
          </w:p>
        </w:tc>
      </w:tr>
    </w:tbl>
    <w:p w14:paraId="3F2D0526">
      <w:pPr>
        <w:pStyle w:val="7"/>
        <w:spacing w:line="360" w:lineRule="auto"/>
        <w:ind w:firstLine="0"/>
        <w:rPr>
          <w:rFonts w:ascii="宋体" w:hAnsi="宋体" w:cs="宋体"/>
          <w:color w:val="auto"/>
        </w:rPr>
      </w:pPr>
    </w:p>
    <w:p w14:paraId="578E6FC7">
      <w:pPr>
        <w:spacing w:line="460" w:lineRule="exact"/>
        <w:ind w:firstLine="420" w:firstLineChars="200"/>
        <w:rPr>
          <w:rFonts w:ascii="宋体" w:hAnsi="宋体" w:cs="宋体"/>
          <w:color w:val="auto"/>
          <w:szCs w:val="21"/>
        </w:rPr>
      </w:pPr>
      <w:r>
        <w:rPr>
          <w:rFonts w:hint="eastAsia" w:ascii="宋体" w:hAnsi="宋体" w:cs="宋体"/>
          <w:bCs/>
          <w:color w:val="auto"/>
          <w:szCs w:val="21"/>
        </w:rPr>
        <w:t>法定代表人身份证正反面复印件、被授权人身份证正反面复印件：</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56"/>
      </w:tblGrid>
      <w:tr w14:paraId="49E9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7" w:hRule="atLeast"/>
        </w:trPr>
        <w:tc>
          <w:tcPr>
            <w:tcW w:w="5000" w:type="pct"/>
            <w:noWrap/>
          </w:tcPr>
          <w:p w14:paraId="304F7B69">
            <w:pPr>
              <w:spacing w:beforeLines="50" w:afterLines="50" w:line="360" w:lineRule="auto"/>
              <w:jc w:val="center"/>
              <w:rPr>
                <w:rFonts w:ascii="宋体" w:hAnsi="宋体" w:cs="宋体"/>
                <w:b/>
                <w:bCs/>
                <w:color w:val="auto"/>
                <w:szCs w:val="21"/>
              </w:rPr>
            </w:pPr>
          </w:p>
        </w:tc>
      </w:tr>
    </w:tbl>
    <w:p w14:paraId="2BCAC035">
      <w:pPr>
        <w:rPr>
          <w:rFonts w:ascii="宋体" w:hAnsi="宋体" w:cs="宋体"/>
          <w:b/>
          <w:color w:val="auto"/>
          <w:sz w:val="24"/>
        </w:rPr>
      </w:pPr>
      <w:r>
        <w:rPr>
          <w:rFonts w:hint="eastAsia" w:ascii="宋体" w:hAnsi="宋体" w:cs="宋体"/>
          <w:color w:val="auto"/>
          <w:kern w:val="1"/>
          <w:sz w:val="24"/>
        </w:rPr>
        <w:br w:type="page"/>
      </w:r>
    </w:p>
    <w:p w14:paraId="64E1DC75">
      <w:pPr>
        <w:spacing w:line="360" w:lineRule="auto"/>
        <w:jc w:val="center"/>
        <w:rPr>
          <w:rFonts w:ascii="宋体" w:hAnsi="宋体" w:cs="宋体"/>
          <w:b/>
          <w:color w:val="auto"/>
          <w:sz w:val="24"/>
        </w:rPr>
      </w:pPr>
    </w:p>
    <w:p w14:paraId="56F5873F">
      <w:pPr>
        <w:spacing w:line="360" w:lineRule="auto"/>
        <w:jc w:val="center"/>
        <w:rPr>
          <w:rFonts w:ascii="宋体" w:hAnsi="宋体" w:cs="宋体"/>
          <w:b/>
          <w:color w:val="auto"/>
          <w:sz w:val="24"/>
        </w:rPr>
      </w:pPr>
      <w:r>
        <w:rPr>
          <w:rFonts w:hint="eastAsia" w:ascii="宋体" w:hAnsi="宋体" w:cs="宋体"/>
          <w:b/>
          <w:color w:val="auto"/>
          <w:sz w:val="24"/>
        </w:rPr>
        <w:t>具备履行合同所必需的设备和专业技术能力的书面声明</w:t>
      </w:r>
    </w:p>
    <w:p w14:paraId="77753237">
      <w:pPr>
        <w:spacing w:line="360" w:lineRule="auto"/>
        <w:ind w:firstLine="492"/>
        <w:jc w:val="left"/>
        <w:rPr>
          <w:rFonts w:ascii="宋体" w:hAnsi="宋体" w:cs="宋体"/>
          <w:bCs/>
          <w:color w:val="auto"/>
          <w:szCs w:val="21"/>
        </w:rPr>
      </w:pPr>
    </w:p>
    <w:p w14:paraId="0FA764A0">
      <w:pPr>
        <w:spacing w:line="360" w:lineRule="auto"/>
        <w:ind w:firstLine="492"/>
        <w:jc w:val="left"/>
        <w:rPr>
          <w:rFonts w:ascii="宋体" w:hAnsi="宋体" w:cs="宋体"/>
          <w:bCs/>
          <w:color w:val="auto"/>
          <w:szCs w:val="21"/>
        </w:rPr>
      </w:pPr>
      <w:r>
        <w:rPr>
          <w:rFonts w:hint="eastAsia" w:ascii="宋体" w:hAnsi="宋体" w:cs="宋体"/>
          <w:bCs/>
          <w:color w:val="auto"/>
          <w:szCs w:val="21"/>
        </w:rPr>
        <w:t>我单位郑重声明：我单位具备履行本项采购合同所必需的设备和专业技术能力，为履行本项采购合同我公司具备如下主要设备和主要专业技术能力：</w:t>
      </w:r>
    </w:p>
    <w:p w14:paraId="29CFCA13">
      <w:pPr>
        <w:spacing w:line="360" w:lineRule="auto"/>
        <w:ind w:firstLine="492"/>
        <w:jc w:val="left"/>
        <w:rPr>
          <w:rFonts w:ascii="宋体" w:hAnsi="宋体" w:cs="宋体"/>
          <w:bCs/>
          <w:color w:val="auto"/>
          <w:szCs w:val="21"/>
        </w:rPr>
      </w:pPr>
      <w:r>
        <w:rPr>
          <w:rFonts w:hint="eastAsia" w:ascii="宋体" w:hAnsi="宋体" w:cs="宋体"/>
          <w:bCs/>
          <w:color w:val="auto"/>
          <w:szCs w:val="21"/>
        </w:rPr>
        <w:t>主要设备有</w:t>
      </w:r>
      <w:r>
        <w:rPr>
          <w:rFonts w:hint="eastAsia" w:ascii="宋体" w:hAnsi="宋体" w:cs="宋体"/>
          <w:bCs/>
          <w:color w:val="auto"/>
          <w:szCs w:val="21"/>
          <w:lang w:eastAsia="zh-CN"/>
        </w:rPr>
        <w:t>：</w:t>
      </w:r>
    </w:p>
    <w:p w14:paraId="79F459D5">
      <w:pPr>
        <w:spacing w:line="360" w:lineRule="auto"/>
        <w:ind w:firstLine="492"/>
        <w:jc w:val="left"/>
        <w:rPr>
          <w:rFonts w:ascii="宋体" w:hAnsi="宋体" w:cs="宋体"/>
          <w:bCs/>
          <w:color w:val="auto"/>
          <w:szCs w:val="21"/>
        </w:rPr>
      </w:pPr>
      <w:r>
        <w:rPr>
          <w:rFonts w:hint="eastAsia" w:ascii="宋体" w:hAnsi="宋体" w:cs="宋体"/>
          <w:bCs/>
          <w:color w:val="auto"/>
          <w:szCs w:val="21"/>
        </w:rPr>
        <w:t>主要专业技术能力有</w:t>
      </w:r>
      <w:r>
        <w:rPr>
          <w:rFonts w:hint="eastAsia" w:ascii="宋体" w:hAnsi="宋体" w:cs="宋体"/>
          <w:bCs/>
          <w:color w:val="auto"/>
          <w:szCs w:val="21"/>
          <w:lang w:eastAsia="zh-CN"/>
        </w:rPr>
        <w:t>：</w:t>
      </w:r>
    </w:p>
    <w:p w14:paraId="2F1F8B14">
      <w:pPr>
        <w:spacing w:line="360" w:lineRule="auto"/>
        <w:jc w:val="left"/>
        <w:rPr>
          <w:rFonts w:ascii="宋体" w:hAnsi="宋体" w:cs="宋体"/>
          <w:b/>
          <w:bCs/>
          <w:color w:val="auto"/>
        </w:rPr>
      </w:pPr>
    </w:p>
    <w:p w14:paraId="69FD8DCE">
      <w:pPr>
        <w:spacing w:line="360" w:lineRule="auto"/>
        <w:ind w:firstLine="1890" w:firstLineChars="900"/>
        <w:jc w:val="left"/>
        <w:rPr>
          <w:rFonts w:ascii="宋体" w:hAnsi="宋体" w:cs="宋体"/>
          <w:bCs/>
          <w:color w:val="auto"/>
        </w:rPr>
      </w:pPr>
      <w:r>
        <w:rPr>
          <w:rFonts w:hint="eastAsia" w:ascii="宋体" w:hAnsi="宋体" w:cs="宋体"/>
          <w:bCs/>
          <w:color w:val="auto"/>
        </w:rPr>
        <w:t>供应商名称（</w:t>
      </w:r>
      <w:r>
        <w:rPr>
          <w:rFonts w:hint="eastAsia" w:ascii="宋体" w:hAnsi="宋体" w:cs="宋体"/>
          <w:color w:val="auto"/>
          <w:szCs w:val="21"/>
        </w:rPr>
        <w:t>公章</w:t>
      </w:r>
      <w:r>
        <w:rPr>
          <w:rFonts w:hint="eastAsia" w:ascii="宋体" w:hAnsi="宋体" w:cs="宋体"/>
          <w:bCs/>
          <w:color w:val="auto"/>
        </w:rPr>
        <w:t>）：</w:t>
      </w:r>
    </w:p>
    <w:p w14:paraId="042D4CD7">
      <w:pPr>
        <w:spacing w:line="360" w:lineRule="auto"/>
        <w:ind w:firstLine="1890" w:firstLineChars="900"/>
        <w:jc w:val="left"/>
        <w:rPr>
          <w:rFonts w:ascii="宋体" w:hAnsi="宋体" w:cs="宋体"/>
          <w:bCs/>
          <w:color w:val="auto"/>
          <w:u w:val="single"/>
        </w:rPr>
      </w:pPr>
      <w:r>
        <w:rPr>
          <w:rFonts w:hint="eastAsia" w:ascii="宋体" w:hAnsi="宋体" w:cs="宋体"/>
          <w:bCs/>
          <w:color w:val="auto"/>
        </w:rPr>
        <w:t>法定代表人（签字或盖章）：</w:t>
      </w:r>
    </w:p>
    <w:p w14:paraId="718B6E3B">
      <w:pPr>
        <w:spacing w:line="360" w:lineRule="auto"/>
        <w:ind w:firstLine="1890" w:firstLineChars="900"/>
        <w:jc w:val="left"/>
        <w:rPr>
          <w:rFonts w:ascii="宋体" w:hAnsi="宋体" w:cs="宋体"/>
          <w:bCs/>
          <w:color w:val="auto"/>
        </w:rPr>
      </w:pPr>
      <w:r>
        <w:rPr>
          <w:rFonts w:hint="eastAsia" w:ascii="宋体" w:hAnsi="宋体" w:cs="宋体"/>
          <w:bCs/>
          <w:color w:val="auto"/>
        </w:rPr>
        <w:t>日期：年月日</w:t>
      </w:r>
    </w:p>
    <w:p w14:paraId="3B62FC47">
      <w:pPr>
        <w:pStyle w:val="120"/>
        <w:ind w:firstLine="422"/>
        <w:rPr>
          <w:rFonts w:ascii="宋体" w:hAnsi="宋体" w:cs="宋体"/>
          <w:b/>
          <w:bCs/>
          <w:color w:val="auto"/>
        </w:rPr>
      </w:pPr>
    </w:p>
    <w:p w14:paraId="7F753D6E">
      <w:pPr>
        <w:pStyle w:val="120"/>
        <w:ind w:firstLine="422"/>
        <w:rPr>
          <w:rFonts w:ascii="宋体" w:hAnsi="宋体" w:cs="宋体"/>
          <w:b/>
          <w:bCs/>
          <w:color w:val="auto"/>
        </w:rPr>
      </w:pPr>
    </w:p>
    <w:p w14:paraId="303748C9">
      <w:pPr>
        <w:spacing w:line="360" w:lineRule="auto"/>
        <w:jc w:val="center"/>
        <w:rPr>
          <w:rFonts w:ascii="宋体" w:hAnsi="宋体" w:cs="宋体"/>
          <w:b/>
          <w:bCs/>
          <w:color w:val="auto"/>
        </w:rPr>
      </w:pPr>
    </w:p>
    <w:p w14:paraId="1F5BB37E">
      <w:pPr>
        <w:spacing w:line="360" w:lineRule="auto"/>
        <w:jc w:val="center"/>
        <w:rPr>
          <w:rFonts w:ascii="宋体" w:hAnsi="宋体" w:cs="宋体"/>
          <w:b/>
          <w:bCs/>
          <w:color w:val="auto"/>
        </w:rPr>
      </w:pPr>
    </w:p>
    <w:p w14:paraId="05CF8871">
      <w:pPr>
        <w:spacing w:line="360" w:lineRule="auto"/>
        <w:jc w:val="center"/>
        <w:rPr>
          <w:rFonts w:ascii="宋体" w:hAnsi="宋体" w:cs="宋体"/>
          <w:b/>
          <w:bCs/>
          <w:color w:val="auto"/>
        </w:rPr>
      </w:pPr>
    </w:p>
    <w:p w14:paraId="0020B19C">
      <w:pPr>
        <w:spacing w:line="360" w:lineRule="auto"/>
        <w:jc w:val="center"/>
        <w:rPr>
          <w:rFonts w:ascii="宋体" w:hAnsi="宋体" w:cs="宋体"/>
          <w:b/>
          <w:color w:val="auto"/>
          <w:sz w:val="24"/>
        </w:rPr>
      </w:pPr>
      <w:r>
        <w:rPr>
          <w:rFonts w:hint="eastAsia" w:ascii="宋体" w:hAnsi="宋体" w:cs="宋体"/>
          <w:b/>
          <w:color w:val="auto"/>
          <w:sz w:val="24"/>
        </w:rPr>
        <w:t>参加本次政府采购活动前 3 年内在经营活动中没有重大违法记录的书面声明</w:t>
      </w:r>
    </w:p>
    <w:p w14:paraId="639C0053">
      <w:pPr>
        <w:spacing w:line="360" w:lineRule="auto"/>
        <w:jc w:val="left"/>
        <w:rPr>
          <w:rFonts w:ascii="宋体" w:hAnsi="宋体" w:cs="宋体"/>
          <w:color w:val="auto"/>
        </w:rPr>
      </w:pPr>
    </w:p>
    <w:p w14:paraId="37F16373">
      <w:pPr>
        <w:spacing w:line="360" w:lineRule="auto"/>
        <w:ind w:firstLine="420" w:firstLineChars="200"/>
        <w:jc w:val="left"/>
        <w:rPr>
          <w:rFonts w:ascii="宋体" w:hAnsi="宋体" w:cs="宋体"/>
          <w:bCs/>
          <w:color w:val="auto"/>
        </w:rPr>
      </w:pPr>
      <w:r>
        <w:rPr>
          <w:rFonts w:hint="eastAsia" w:ascii="宋体" w:hAnsi="宋体" w:cs="宋体"/>
          <w:bCs/>
          <w:color w:val="auto"/>
        </w:rPr>
        <w:t>我单位郑重声明：参加本次政府采购活动前 3 年内，我单位在经营活动中没有因违法经营受到刑事处罚或者责令停产停业、吊销许可证或者执照、较大数额罚款等行政处罚。</w:t>
      </w:r>
    </w:p>
    <w:p w14:paraId="07960EB0">
      <w:pPr>
        <w:spacing w:line="360" w:lineRule="auto"/>
        <w:ind w:firstLine="210" w:firstLineChars="100"/>
        <w:jc w:val="left"/>
        <w:rPr>
          <w:rFonts w:ascii="宋体" w:hAnsi="宋体" w:cs="宋体"/>
          <w:bCs/>
          <w:color w:val="auto"/>
        </w:rPr>
      </w:pPr>
    </w:p>
    <w:p w14:paraId="0DEEA284">
      <w:pPr>
        <w:spacing w:line="360" w:lineRule="auto"/>
        <w:ind w:firstLine="1890" w:firstLineChars="900"/>
        <w:jc w:val="left"/>
        <w:rPr>
          <w:rFonts w:ascii="宋体" w:hAnsi="宋体" w:cs="宋体"/>
          <w:bCs/>
          <w:color w:val="auto"/>
        </w:rPr>
      </w:pPr>
      <w:r>
        <w:rPr>
          <w:rFonts w:hint="eastAsia" w:ascii="宋体" w:hAnsi="宋体" w:cs="宋体"/>
          <w:bCs/>
          <w:color w:val="auto"/>
        </w:rPr>
        <w:t>供应商名称（</w:t>
      </w:r>
      <w:r>
        <w:rPr>
          <w:rFonts w:hint="eastAsia" w:ascii="宋体" w:hAnsi="宋体" w:cs="宋体"/>
          <w:color w:val="auto"/>
          <w:szCs w:val="21"/>
        </w:rPr>
        <w:t>公章</w:t>
      </w:r>
      <w:r>
        <w:rPr>
          <w:rFonts w:hint="eastAsia" w:ascii="宋体" w:hAnsi="宋体" w:cs="宋体"/>
          <w:bCs/>
          <w:color w:val="auto"/>
        </w:rPr>
        <w:t>）：</w:t>
      </w:r>
    </w:p>
    <w:p w14:paraId="28C13D85">
      <w:pPr>
        <w:spacing w:line="360" w:lineRule="auto"/>
        <w:ind w:firstLine="1890" w:firstLineChars="900"/>
        <w:jc w:val="left"/>
        <w:rPr>
          <w:rFonts w:ascii="宋体" w:hAnsi="宋体" w:cs="宋体"/>
          <w:bCs/>
          <w:color w:val="auto"/>
          <w:u w:val="single"/>
        </w:rPr>
      </w:pPr>
      <w:r>
        <w:rPr>
          <w:rFonts w:hint="eastAsia" w:ascii="宋体" w:hAnsi="宋体" w:cs="宋体"/>
          <w:bCs/>
          <w:color w:val="auto"/>
        </w:rPr>
        <w:t>法定代表人（签字或盖章）：</w:t>
      </w:r>
    </w:p>
    <w:p w14:paraId="27A8327F">
      <w:pPr>
        <w:spacing w:line="360" w:lineRule="auto"/>
        <w:ind w:firstLine="1890" w:firstLineChars="900"/>
        <w:jc w:val="left"/>
        <w:rPr>
          <w:rFonts w:ascii="宋体" w:hAnsi="宋体" w:cs="宋体"/>
          <w:bCs/>
          <w:color w:val="auto"/>
        </w:rPr>
      </w:pPr>
      <w:r>
        <w:rPr>
          <w:rFonts w:hint="eastAsia" w:ascii="宋体" w:hAnsi="宋体" w:cs="宋体"/>
          <w:bCs/>
          <w:color w:val="auto"/>
        </w:rPr>
        <w:t>日期：年月日</w:t>
      </w:r>
    </w:p>
    <w:p w14:paraId="5656A749">
      <w:pPr>
        <w:spacing w:line="360" w:lineRule="auto"/>
        <w:jc w:val="left"/>
        <w:rPr>
          <w:rFonts w:ascii="宋体" w:hAnsi="宋体" w:cs="宋体"/>
          <w:b/>
          <w:bCs/>
          <w:color w:val="auto"/>
        </w:rPr>
        <w:sectPr>
          <w:pgSz w:w="11906" w:h="16838"/>
          <w:pgMar w:top="1270" w:right="1083" w:bottom="1270" w:left="1083" w:header="1191" w:footer="992" w:gutter="0"/>
          <w:pgBorders>
            <w:top w:val="none" w:sz="0" w:space="0"/>
            <w:left w:val="none" w:sz="0" w:space="0"/>
            <w:bottom w:val="none" w:sz="0" w:space="0"/>
            <w:right w:val="none" w:sz="0" w:space="0"/>
          </w:pgBorders>
          <w:cols w:space="0" w:num="1"/>
          <w:docGrid w:type="lines" w:linePitch="325" w:charSpace="0"/>
        </w:sectPr>
      </w:pPr>
    </w:p>
    <w:p w14:paraId="0B2AEBFB">
      <w:pPr>
        <w:spacing w:line="360" w:lineRule="auto"/>
        <w:jc w:val="center"/>
        <w:rPr>
          <w:rFonts w:ascii="宋体" w:hAnsi="宋体" w:cs="宋体"/>
          <w:b/>
          <w:color w:val="auto"/>
          <w:sz w:val="24"/>
        </w:rPr>
      </w:pPr>
      <w:r>
        <w:rPr>
          <w:rFonts w:hint="eastAsia" w:ascii="宋体" w:hAnsi="宋体" w:cs="宋体"/>
          <w:b/>
          <w:color w:val="auto"/>
          <w:sz w:val="24"/>
        </w:rPr>
        <w:t>供应商信用承诺书</w:t>
      </w:r>
    </w:p>
    <w:p w14:paraId="271C273F">
      <w:pPr>
        <w:spacing w:line="360" w:lineRule="auto"/>
        <w:jc w:val="left"/>
        <w:rPr>
          <w:rFonts w:ascii="宋体" w:hAnsi="宋体" w:cs="宋体"/>
          <w:color w:val="auto"/>
          <w:szCs w:val="32"/>
        </w:rPr>
      </w:pPr>
    </w:p>
    <w:p w14:paraId="21D65382">
      <w:pPr>
        <w:spacing w:line="360" w:lineRule="auto"/>
        <w:ind w:firstLine="420" w:firstLineChars="200"/>
        <w:jc w:val="left"/>
        <w:rPr>
          <w:rFonts w:ascii="宋体" w:hAnsi="宋体" w:cs="宋体"/>
          <w:color w:val="auto"/>
          <w:szCs w:val="21"/>
        </w:rPr>
      </w:pPr>
      <w:r>
        <w:rPr>
          <w:rFonts w:hint="eastAsia" w:ascii="宋体" w:hAnsi="宋体" w:cs="宋体"/>
          <w:color w:val="auto"/>
          <w:szCs w:val="21"/>
        </w:rPr>
        <w:t>承诺主体名称：</w:t>
      </w:r>
    </w:p>
    <w:p w14:paraId="2E5F35ED">
      <w:pPr>
        <w:spacing w:line="360" w:lineRule="auto"/>
        <w:ind w:firstLine="420" w:firstLineChars="200"/>
        <w:jc w:val="left"/>
        <w:rPr>
          <w:rFonts w:ascii="宋体" w:hAnsi="宋体" w:cs="宋体"/>
          <w:color w:val="auto"/>
          <w:szCs w:val="21"/>
        </w:rPr>
      </w:pPr>
      <w:r>
        <w:rPr>
          <w:rFonts w:hint="eastAsia" w:ascii="宋体" w:hAnsi="宋体" w:cs="宋体"/>
          <w:color w:val="auto"/>
          <w:szCs w:val="21"/>
        </w:rPr>
        <w:t>统一社会信用代码：</w:t>
      </w:r>
    </w:p>
    <w:p w14:paraId="66E6EA9D">
      <w:pPr>
        <w:spacing w:line="360" w:lineRule="auto"/>
        <w:ind w:firstLine="420" w:firstLineChars="200"/>
        <w:jc w:val="left"/>
        <w:rPr>
          <w:rFonts w:ascii="宋体" w:hAnsi="宋体" w:cs="宋体"/>
          <w:color w:val="auto"/>
          <w:szCs w:val="21"/>
        </w:rPr>
      </w:pPr>
      <w:r>
        <w:rPr>
          <w:rFonts w:hint="eastAsia" w:ascii="宋体" w:hAnsi="宋体" w:cs="宋体"/>
          <w:color w:val="auto"/>
          <w:szCs w:val="21"/>
        </w:rPr>
        <w:t> </w:t>
      </w:r>
    </w:p>
    <w:p w14:paraId="78262D44">
      <w:pPr>
        <w:spacing w:line="360" w:lineRule="auto"/>
        <w:ind w:firstLine="420" w:firstLineChars="200"/>
        <w:jc w:val="left"/>
        <w:rPr>
          <w:rFonts w:ascii="宋体" w:hAnsi="宋体" w:cs="宋体"/>
          <w:color w:val="auto"/>
          <w:szCs w:val="21"/>
        </w:rPr>
      </w:pPr>
      <w:r>
        <w:rPr>
          <w:rFonts w:hint="eastAsia" w:ascii="宋体" w:hAnsi="宋体" w:cs="宋体"/>
          <w:color w:val="auto"/>
          <w:szCs w:val="21"/>
        </w:rPr>
        <w:t>为维护公平竞争、规范有序的市场秩序，营造诚实守信的信用环境，共同推进社会信用体系建设完善，树立企业诚信守法形象，本企业对________________________项目政府采购活动郑重承诺如下：</w:t>
      </w:r>
    </w:p>
    <w:p w14:paraId="4AF52A16">
      <w:pPr>
        <w:spacing w:line="360" w:lineRule="auto"/>
        <w:ind w:firstLine="420" w:firstLineChars="200"/>
        <w:jc w:val="left"/>
        <w:rPr>
          <w:rFonts w:ascii="宋体" w:hAnsi="宋体" w:cs="宋体"/>
          <w:color w:val="auto"/>
          <w:szCs w:val="21"/>
        </w:rPr>
      </w:pPr>
      <w:r>
        <w:rPr>
          <w:rFonts w:hint="eastAsia" w:ascii="宋体" w:hAnsi="宋体" w:cs="宋体"/>
          <w:color w:val="auto"/>
          <w:szCs w:val="21"/>
        </w:rPr>
        <w:t>一、对提供给注册登记部门、行业管理部门、司法部门、行业组织以及在政府采购活动中提交的所有资料的合法性、真实性、准确性和有效性负责；</w:t>
      </w:r>
    </w:p>
    <w:p w14:paraId="486194B8">
      <w:pPr>
        <w:spacing w:line="360" w:lineRule="auto"/>
        <w:ind w:firstLine="420" w:firstLineChars="200"/>
        <w:jc w:val="left"/>
        <w:rPr>
          <w:rFonts w:ascii="宋体" w:hAnsi="宋体" w:cs="宋体"/>
          <w:color w:val="auto"/>
          <w:szCs w:val="21"/>
        </w:rPr>
      </w:pPr>
      <w:r>
        <w:rPr>
          <w:rFonts w:hint="eastAsia" w:ascii="宋体" w:hAnsi="宋体" w:cs="宋体"/>
          <w:color w:val="auto"/>
          <w:szCs w:val="21"/>
        </w:rPr>
        <w:t>二、严格按照国家</w:t>
      </w:r>
      <w:r>
        <w:rPr>
          <w:rFonts w:hint="eastAsia" w:ascii="宋体" w:hAnsi="宋体" w:cs="宋体"/>
          <w:color w:val="auto"/>
          <w:szCs w:val="21"/>
          <w:lang w:eastAsia="zh-CN"/>
        </w:rPr>
        <w:t>法律法规</w:t>
      </w:r>
      <w:r>
        <w:rPr>
          <w:rFonts w:hint="eastAsia" w:ascii="宋体" w:hAnsi="宋体" w:cs="宋体"/>
          <w:color w:val="auto"/>
          <w:szCs w:val="21"/>
        </w:rPr>
        <w:t>和规章开展采购活动，全面履行应尽的责任和义务，全面做到履约守信，具备《中华人民共和国政府采购法》第二十二条第一款规定的条件</w:t>
      </w:r>
      <w:r>
        <w:rPr>
          <w:rFonts w:hint="eastAsia" w:ascii="宋体" w:hAnsi="宋体" w:cs="宋体"/>
          <w:color w:val="auto"/>
          <w:szCs w:val="21"/>
          <w:lang w:eastAsia="zh-CN"/>
        </w:rPr>
        <w:t>；</w:t>
      </w:r>
    </w:p>
    <w:p w14:paraId="796EAA55">
      <w:pPr>
        <w:spacing w:line="360" w:lineRule="auto"/>
        <w:ind w:firstLine="420" w:firstLineChars="200"/>
        <w:jc w:val="left"/>
        <w:rPr>
          <w:rFonts w:ascii="宋体" w:hAnsi="宋体" w:cs="宋体"/>
          <w:color w:val="auto"/>
          <w:szCs w:val="21"/>
        </w:rPr>
      </w:pPr>
      <w:r>
        <w:rPr>
          <w:rFonts w:hint="eastAsia" w:ascii="宋体" w:hAnsi="宋体" w:cs="宋体"/>
          <w:color w:val="auto"/>
          <w:szCs w:val="21"/>
        </w:rPr>
        <w:t>三、严格依法开展生产经营活动，主动接受行业监管，自愿接受依法开展的日常检查；违法失信经营后将自愿接受约束和惩戒，并依法承担相应责任；</w:t>
      </w:r>
    </w:p>
    <w:p w14:paraId="3FE8F02B">
      <w:pPr>
        <w:spacing w:line="360" w:lineRule="auto"/>
        <w:ind w:firstLine="420" w:firstLineChars="200"/>
        <w:jc w:val="left"/>
        <w:rPr>
          <w:rFonts w:ascii="宋体" w:hAnsi="宋体" w:cs="宋体"/>
          <w:color w:val="auto"/>
          <w:szCs w:val="21"/>
        </w:rPr>
      </w:pPr>
      <w:r>
        <w:rPr>
          <w:rFonts w:hint="eastAsia" w:ascii="宋体" w:hAnsi="宋体" w:cs="宋体"/>
          <w:color w:val="auto"/>
          <w:szCs w:val="21"/>
        </w:rPr>
        <w:t>四、自觉接受行政管理部门、行业组织、社会公众、新闻舆论的监督；</w:t>
      </w:r>
    </w:p>
    <w:p w14:paraId="0A6AB86F">
      <w:pPr>
        <w:spacing w:line="360" w:lineRule="auto"/>
        <w:ind w:firstLine="420" w:firstLineChars="200"/>
        <w:jc w:val="left"/>
        <w:rPr>
          <w:rFonts w:ascii="宋体" w:hAnsi="宋体" w:cs="宋体"/>
          <w:color w:val="auto"/>
          <w:szCs w:val="21"/>
        </w:rPr>
      </w:pPr>
      <w:r>
        <w:rPr>
          <w:rFonts w:hint="eastAsia" w:ascii="宋体" w:hAnsi="宋体" w:cs="宋体"/>
          <w:color w:val="auto"/>
          <w:szCs w:val="21"/>
        </w:rPr>
        <w:t>五、自觉做到自我约束、自我管理，不制假售假、商标侵权、虚假宣传、违约毁约、恶意逃债、偷税漏税、垄断和不正当竞争，维护经营者、消费者的合法权益；</w:t>
      </w:r>
    </w:p>
    <w:p w14:paraId="4B836CEA">
      <w:pPr>
        <w:spacing w:line="360" w:lineRule="auto"/>
        <w:ind w:firstLine="420" w:firstLineChars="200"/>
        <w:jc w:val="left"/>
        <w:rPr>
          <w:rFonts w:ascii="宋体" w:hAnsi="宋体" w:cs="宋体"/>
          <w:color w:val="auto"/>
          <w:szCs w:val="21"/>
        </w:rPr>
      </w:pPr>
      <w:r>
        <w:rPr>
          <w:rFonts w:hint="eastAsia" w:ascii="宋体" w:hAnsi="宋体" w:cs="宋体"/>
          <w:color w:val="auto"/>
          <w:szCs w:val="21"/>
        </w:rPr>
        <w:t>六、提出政府采购质疑和投诉坚持依法依规、诚实信用原则，在全国范围12个月内没有三次以上查无实据的政府采购投诉；</w:t>
      </w:r>
    </w:p>
    <w:p w14:paraId="5F89545F">
      <w:pPr>
        <w:spacing w:line="360" w:lineRule="auto"/>
        <w:ind w:firstLine="420" w:firstLineChars="200"/>
        <w:jc w:val="left"/>
        <w:rPr>
          <w:rFonts w:ascii="宋体" w:hAnsi="宋体" w:cs="宋体"/>
          <w:color w:val="auto"/>
          <w:szCs w:val="21"/>
        </w:rPr>
      </w:pPr>
      <w:r>
        <w:rPr>
          <w:rFonts w:hint="eastAsia" w:ascii="宋体" w:hAnsi="宋体" w:cs="宋体"/>
          <w:color w:val="auto"/>
          <w:szCs w:val="21"/>
        </w:rPr>
        <w:t>七、严格遵守信用信息公示相关规定，向社会公示信用信息；</w:t>
      </w:r>
    </w:p>
    <w:p w14:paraId="274C65A0">
      <w:pPr>
        <w:spacing w:line="360" w:lineRule="auto"/>
        <w:ind w:firstLine="420" w:firstLineChars="200"/>
        <w:jc w:val="left"/>
        <w:rPr>
          <w:rFonts w:ascii="宋体" w:hAnsi="宋体" w:cs="宋体"/>
          <w:color w:val="auto"/>
          <w:szCs w:val="21"/>
        </w:rPr>
      </w:pPr>
      <w:r>
        <w:rPr>
          <w:rFonts w:hint="eastAsia" w:ascii="宋体" w:hAnsi="宋体" w:cs="宋体"/>
          <w:color w:val="auto"/>
          <w:szCs w:val="21"/>
        </w:rPr>
        <w:t>八、在“信用中国”和“中国政府采购网”网站中无严重失信记录；</w:t>
      </w:r>
    </w:p>
    <w:p w14:paraId="415EE444">
      <w:pPr>
        <w:spacing w:line="360" w:lineRule="auto"/>
        <w:ind w:firstLine="420" w:firstLineChars="200"/>
        <w:jc w:val="left"/>
        <w:rPr>
          <w:rFonts w:ascii="宋体" w:hAnsi="宋体" w:cs="宋体"/>
          <w:color w:val="auto"/>
          <w:szCs w:val="21"/>
        </w:rPr>
      </w:pPr>
      <w:r>
        <w:rPr>
          <w:rFonts w:hint="eastAsia" w:ascii="宋体" w:hAnsi="宋体" w:cs="宋体"/>
          <w:color w:val="auto"/>
          <w:szCs w:val="21"/>
        </w:rPr>
        <w:t>九、如违反承诺，自愿接受管理部门依法给予的行政处罚，同意将违反承诺的行为作为不良记录记入信用档案，依法依规进行信息公示，并承担所产生的一切法律责任和经济损失。</w:t>
      </w:r>
    </w:p>
    <w:p w14:paraId="49D19A95">
      <w:pPr>
        <w:spacing w:line="360" w:lineRule="auto"/>
        <w:ind w:firstLine="420" w:firstLineChars="200"/>
        <w:jc w:val="left"/>
        <w:rPr>
          <w:rFonts w:ascii="宋体" w:hAnsi="宋体" w:cs="宋体"/>
          <w:color w:val="auto"/>
          <w:szCs w:val="21"/>
        </w:rPr>
      </w:pPr>
      <w:r>
        <w:rPr>
          <w:rFonts w:hint="eastAsia" w:ascii="宋体" w:hAnsi="宋体" w:cs="宋体"/>
          <w:color w:val="auto"/>
          <w:szCs w:val="21"/>
        </w:rPr>
        <w:t>十、本承诺书自签订之日起生效。</w:t>
      </w:r>
    </w:p>
    <w:p w14:paraId="36624570">
      <w:pPr>
        <w:spacing w:line="360" w:lineRule="auto"/>
        <w:ind w:firstLine="420" w:firstLineChars="200"/>
        <w:jc w:val="left"/>
        <w:rPr>
          <w:rFonts w:ascii="宋体" w:hAnsi="宋体" w:cs="宋体"/>
          <w:color w:val="auto"/>
          <w:szCs w:val="21"/>
        </w:rPr>
      </w:pPr>
      <w:r>
        <w:rPr>
          <w:rFonts w:hint="eastAsia" w:ascii="宋体" w:hAnsi="宋体" w:cs="宋体"/>
          <w:color w:val="auto"/>
          <w:szCs w:val="21"/>
        </w:rPr>
        <w:t> （注：法定代表人或负责人、主体名称发生变更的应当重新作出承诺。）</w:t>
      </w:r>
    </w:p>
    <w:p w14:paraId="39E216C3">
      <w:pPr>
        <w:spacing w:line="360" w:lineRule="auto"/>
        <w:ind w:firstLine="420" w:firstLineChars="200"/>
        <w:jc w:val="left"/>
        <w:rPr>
          <w:rFonts w:ascii="宋体" w:hAnsi="宋体" w:cs="宋体"/>
          <w:color w:val="auto"/>
          <w:szCs w:val="21"/>
        </w:rPr>
      </w:pPr>
      <w:r>
        <w:rPr>
          <w:rFonts w:hint="eastAsia" w:ascii="宋体" w:hAnsi="宋体" w:cs="宋体"/>
          <w:color w:val="auto"/>
          <w:szCs w:val="21"/>
        </w:rPr>
        <w:t> </w:t>
      </w:r>
    </w:p>
    <w:p w14:paraId="041FD6D5">
      <w:pPr>
        <w:spacing w:line="360" w:lineRule="auto"/>
        <w:ind w:firstLine="420" w:firstLineChars="200"/>
        <w:jc w:val="center"/>
        <w:rPr>
          <w:rFonts w:ascii="宋体" w:hAnsi="宋体" w:cs="宋体"/>
          <w:color w:val="auto"/>
          <w:szCs w:val="21"/>
        </w:rPr>
      </w:pPr>
      <w:r>
        <w:rPr>
          <w:rFonts w:hint="eastAsia" w:ascii="宋体" w:hAnsi="宋体" w:cs="宋体"/>
          <w:color w:val="auto"/>
          <w:szCs w:val="21"/>
        </w:rPr>
        <w:t>承诺单位（公章）：</w:t>
      </w:r>
    </w:p>
    <w:p w14:paraId="22A29BA9">
      <w:pPr>
        <w:spacing w:line="360" w:lineRule="auto"/>
        <w:ind w:firstLine="420" w:firstLineChars="200"/>
        <w:jc w:val="right"/>
        <w:rPr>
          <w:rFonts w:ascii="宋体" w:hAnsi="宋体" w:cs="宋体"/>
          <w:b/>
          <w:bCs/>
          <w:color w:val="auto"/>
        </w:rPr>
        <w:sectPr>
          <w:pgSz w:w="11906" w:h="16838"/>
          <w:pgMar w:top="1270" w:right="1083" w:bottom="1270" w:left="1083" w:header="1191" w:footer="992" w:gutter="0"/>
          <w:pgBorders>
            <w:top w:val="none" w:sz="0" w:space="0"/>
            <w:left w:val="none" w:sz="0" w:space="0"/>
            <w:bottom w:val="none" w:sz="0" w:space="0"/>
            <w:right w:val="none" w:sz="0" w:space="0"/>
          </w:pgBorders>
          <w:cols w:space="0" w:num="1"/>
          <w:docGrid w:type="lines" w:linePitch="325" w:charSpace="0"/>
        </w:sectPr>
      </w:pPr>
      <w:r>
        <w:rPr>
          <w:rFonts w:hint="eastAsia" w:ascii="宋体" w:hAnsi="宋体" w:cs="宋体"/>
          <w:color w:val="auto"/>
          <w:szCs w:val="21"/>
        </w:rPr>
        <w:t>          年  月  日</w:t>
      </w:r>
    </w:p>
    <w:p w14:paraId="009ECFBA">
      <w:pPr>
        <w:spacing w:line="360" w:lineRule="auto"/>
        <w:jc w:val="center"/>
        <w:rPr>
          <w:rFonts w:ascii="宋体" w:hAnsi="宋体" w:cs="宋体"/>
          <w:b/>
          <w:color w:val="auto"/>
          <w:szCs w:val="21"/>
        </w:rPr>
      </w:pPr>
      <w:r>
        <w:rPr>
          <w:rFonts w:hint="eastAsia" w:ascii="宋体" w:hAnsi="宋体" w:cs="宋体"/>
          <w:b/>
          <w:color w:val="auto"/>
          <w:sz w:val="24"/>
        </w:rPr>
        <w:t>三、磋商响应函</w:t>
      </w:r>
    </w:p>
    <w:p w14:paraId="2F82A692">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致：江苏苏维工程管理有限公司</w:t>
      </w:r>
    </w:p>
    <w:p w14:paraId="1F5D8677">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根据贵方的号磋商文件，正式授权下述签字人（姓名和职务）代表我方___（供应商的名称），全权处理本次项目磋商采购的有关事宜。</w:t>
      </w:r>
    </w:p>
    <w:p w14:paraId="50370492">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据此函，__________（签字人）兹宣布同意如下：</w:t>
      </w:r>
    </w:p>
    <w:p w14:paraId="514158AA">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1.按磋商文件规定的各项要求，向买方提供所需服务/工程。</w:t>
      </w:r>
    </w:p>
    <w:p w14:paraId="6E5F6564">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2.我们已详细审核全部磋商文件及其有效补充文件，我们知道必须放弃提出含糊不清或误解问题的权利。</w:t>
      </w:r>
    </w:p>
    <w:p w14:paraId="5BD0EA0F">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3.我们同意从规定的响应文件接收截止时间起遵循本响应文件，并在规定的磋商有效期期满之前均具有约束力。</w:t>
      </w:r>
    </w:p>
    <w:p w14:paraId="79832F3D">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4.同意向贵方提供贵方可能另外要求的与磋商采购有关的任何证据或资料，并保证我方已提供和将要提供的文件是真实的、准确的。</w:t>
      </w:r>
    </w:p>
    <w:p w14:paraId="09499F83">
      <w:pPr>
        <w:pStyle w:val="91"/>
        <w:spacing w:line="360" w:lineRule="auto"/>
        <w:ind w:firstLine="420"/>
        <w:rPr>
          <w:rFonts w:ascii="宋体" w:hAnsi="宋体" w:cs="宋体"/>
          <w:color w:val="auto"/>
          <w:sz w:val="21"/>
          <w:szCs w:val="21"/>
        </w:rPr>
      </w:pPr>
      <w:r>
        <w:rPr>
          <w:rFonts w:hint="eastAsia" w:ascii="宋体" w:hAnsi="宋体" w:cs="宋体"/>
          <w:color w:val="auto"/>
          <w:sz w:val="21"/>
          <w:szCs w:val="21"/>
          <w:lang w:val="en-US" w:eastAsia="zh-CN"/>
        </w:rPr>
        <w:t>5</w:t>
      </w:r>
      <w:r>
        <w:rPr>
          <w:rFonts w:hint="eastAsia" w:ascii="宋体" w:hAnsi="宋体" w:cs="宋体"/>
          <w:color w:val="auto"/>
          <w:sz w:val="21"/>
          <w:szCs w:val="21"/>
        </w:rPr>
        <w:t>.一旦我方成交，我方将根据磋商文件的规定，严格履行合同的责任和义务，并保证在磋商文件规定的时</w:t>
      </w:r>
      <w:r>
        <w:rPr>
          <w:rFonts w:hint="eastAsia" w:ascii="宋体" w:hAnsi="宋体" w:cs="宋体"/>
          <w:color w:val="auto"/>
          <w:sz w:val="21"/>
          <w:szCs w:val="21"/>
          <w:lang w:eastAsia="zh-CN"/>
        </w:rPr>
        <w:t>间内</w:t>
      </w:r>
      <w:r>
        <w:rPr>
          <w:rFonts w:hint="eastAsia" w:ascii="宋体" w:hAnsi="宋体" w:cs="宋体"/>
          <w:color w:val="auto"/>
          <w:sz w:val="21"/>
          <w:szCs w:val="21"/>
        </w:rPr>
        <w:t>完成项目，交付买方验收、使用。</w:t>
      </w:r>
    </w:p>
    <w:p w14:paraId="3F1C8871">
      <w:pPr>
        <w:pStyle w:val="91"/>
        <w:spacing w:line="360" w:lineRule="auto"/>
        <w:ind w:firstLine="420"/>
        <w:rPr>
          <w:rFonts w:ascii="宋体" w:hAnsi="宋体" w:cs="宋体"/>
          <w:color w:val="auto"/>
          <w:sz w:val="21"/>
          <w:szCs w:val="21"/>
        </w:rPr>
      </w:pPr>
      <w:r>
        <w:rPr>
          <w:rFonts w:hint="eastAsia" w:ascii="宋体" w:hAnsi="宋体" w:cs="宋体"/>
          <w:color w:val="auto"/>
          <w:sz w:val="21"/>
          <w:szCs w:val="21"/>
          <w:lang w:val="en-US" w:eastAsia="zh-CN"/>
        </w:rPr>
        <w:t>6</w:t>
      </w:r>
      <w:r>
        <w:rPr>
          <w:rFonts w:hint="eastAsia" w:ascii="宋体" w:hAnsi="宋体" w:cs="宋体"/>
          <w:color w:val="auto"/>
          <w:sz w:val="21"/>
          <w:szCs w:val="21"/>
        </w:rPr>
        <w:t>.遵守磋商文件中要求的收费项目和标准。</w:t>
      </w:r>
    </w:p>
    <w:p w14:paraId="1B62DE77">
      <w:pPr>
        <w:pStyle w:val="91"/>
        <w:spacing w:line="360" w:lineRule="auto"/>
        <w:ind w:firstLine="420"/>
        <w:rPr>
          <w:rFonts w:ascii="宋体" w:hAnsi="宋体" w:cs="宋体"/>
          <w:color w:val="auto"/>
          <w:sz w:val="21"/>
          <w:szCs w:val="21"/>
        </w:rPr>
      </w:pPr>
      <w:r>
        <w:rPr>
          <w:rFonts w:hint="eastAsia" w:ascii="宋体" w:hAnsi="宋体" w:cs="宋体"/>
          <w:color w:val="auto"/>
          <w:sz w:val="21"/>
          <w:szCs w:val="21"/>
          <w:lang w:val="en-US" w:eastAsia="zh-CN"/>
        </w:rPr>
        <w:t>7</w:t>
      </w:r>
      <w:r>
        <w:rPr>
          <w:rFonts w:hint="eastAsia" w:ascii="宋体" w:hAnsi="宋体" w:cs="宋体"/>
          <w:color w:val="auto"/>
          <w:sz w:val="21"/>
          <w:szCs w:val="21"/>
        </w:rPr>
        <w:t>.与本磋商采购有关的正式通讯地址为：</w:t>
      </w:r>
    </w:p>
    <w:p w14:paraId="1A45B6E7">
      <w:pPr>
        <w:pStyle w:val="91"/>
        <w:spacing w:line="360" w:lineRule="auto"/>
        <w:ind w:firstLine="420"/>
        <w:rPr>
          <w:rFonts w:ascii="宋体" w:hAnsi="宋体" w:cs="宋体"/>
          <w:color w:val="auto"/>
          <w:sz w:val="21"/>
          <w:szCs w:val="21"/>
        </w:rPr>
      </w:pPr>
    </w:p>
    <w:p w14:paraId="6FB414C4">
      <w:pPr>
        <w:pStyle w:val="91"/>
        <w:spacing w:line="360" w:lineRule="auto"/>
        <w:ind w:firstLine="420"/>
        <w:rPr>
          <w:rFonts w:ascii="宋体" w:hAnsi="宋体" w:cs="宋体"/>
          <w:color w:val="auto"/>
          <w:sz w:val="21"/>
          <w:szCs w:val="21"/>
        </w:rPr>
      </w:pPr>
    </w:p>
    <w:p w14:paraId="2EF92A2D">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地 址：                         邮 编：</w:t>
      </w:r>
    </w:p>
    <w:p w14:paraId="3F839ABC">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电 话：                         传 真：</w:t>
      </w:r>
    </w:p>
    <w:p w14:paraId="666D1482">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供应商开户行：                  账 户：</w:t>
      </w:r>
    </w:p>
    <w:p w14:paraId="6DE14E64">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法定代表人或授权代表姓名</w:t>
      </w:r>
      <w:r>
        <w:rPr>
          <w:rFonts w:hint="eastAsia" w:ascii="宋体" w:hAnsi="宋体" w:cs="宋体"/>
          <w:bCs/>
          <w:color w:val="auto"/>
          <w:sz w:val="21"/>
          <w:szCs w:val="21"/>
        </w:rPr>
        <w:t>（签字或盖章）</w:t>
      </w:r>
      <w:r>
        <w:rPr>
          <w:rFonts w:hint="eastAsia" w:ascii="宋体" w:hAnsi="宋体" w:cs="宋体"/>
          <w:color w:val="auto"/>
          <w:sz w:val="21"/>
          <w:szCs w:val="21"/>
        </w:rPr>
        <w:t>：     联系电话：</w:t>
      </w:r>
    </w:p>
    <w:p w14:paraId="3C18D8B0">
      <w:pPr>
        <w:pStyle w:val="91"/>
        <w:spacing w:line="360" w:lineRule="auto"/>
        <w:ind w:firstLine="420"/>
        <w:rPr>
          <w:rFonts w:ascii="宋体" w:hAnsi="宋体" w:cs="宋体"/>
          <w:color w:val="auto"/>
          <w:sz w:val="21"/>
          <w:szCs w:val="21"/>
        </w:rPr>
      </w:pPr>
      <w:r>
        <w:rPr>
          <w:rFonts w:hint="eastAsia" w:ascii="宋体" w:hAnsi="宋体" w:cs="宋体"/>
          <w:color w:val="auto"/>
          <w:sz w:val="21"/>
          <w:szCs w:val="21"/>
        </w:rPr>
        <w:t>磋商供应商全称（盖章）：</w:t>
      </w:r>
    </w:p>
    <w:p w14:paraId="2563A176">
      <w:pPr>
        <w:pStyle w:val="49"/>
        <w:spacing w:line="360" w:lineRule="auto"/>
        <w:ind w:firstLine="420"/>
        <w:rPr>
          <w:rFonts w:ascii="宋体" w:hAnsi="宋体" w:cs="宋体"/>
          <w:color w:val="auto"/>
          <w:szCs w:val="21"/>
        </w:rPr>
      </w:pPr>
      <w:r>
        <w:rPr>
          <w:rFonts w:hint="eastAsia" w:ascii="宋体" w:hAnsi="宋体" w:cs="宋体"/>
          <w:color w:val="auto"/>
          <w:szCs w:val="21"/>
        </w:rPr>
        <w:t>日 期：________年____月____日</w:t>
      </w:r>
    </w:p>
    <w:p w14:paraId="000E4143">
      <w:pPr>
        <w:spacing w:line="360" w:lineRule="auto"/>
        <w:jc w:val="center"/>
        <w:rPr>
          <w:rFonts w:ascii="宋体" w:hAnsi="宋体" w:cs="宋体"/>
          <w:b/>
          <w:color w:val="auto"/>
          <w:szCs w:val="21"/>
        </w:rPr>
      </w:pPr>
      <w:r>
        <w:rPr>
          <w:rFonts w:hint="eastAsia" w:ascii="宋体" w:hAnsi="宋体" w:cs="宋体"/>
          <w:b/>
          <w:color w:val="auto"/>
          <w:szCs w:val="21"/>
        </w:rPr>
        <w:br w:type="page"/>
      </w:r>
      <w:r>
        <w:rPr>
          <w:rFonts w:hint="eastAsia" w:ascii="宋体" w:hAnsi="宋体" w:cs="宋体"/>
          <w:b/>
          <w:color w:val="auto"/>
          <w:sz w:val="24"/>
        </w:rPr>
        <w:t>四、资格声明</w:t>
      </w:r>
    </w:p>
    <w:p w14:paraId="754A3C62">
      <w:pPr>
        <w:spacing w:line="360" w:lineRule="auto"/>
        <w:rPr>
          <w:rFonts w:ascii="宋体" w:hAnsi="宋体" w:cs="宋体"/>
          <w:color w:val="auto"/>
          <w:kern w:val="1"/>
          <w:szCs w:val="21"/>
        </w:rPr>
      </w:pPr>
      <w:r>
        <w:rPr>
          <w:rFonts w:hint="eastAsia" w:ascii="宋体" w:hAnsi="宋体" w:cs="宋体"/>
          <w:color w:val="auto"/>
          <w:kern w:val="1"/>
          <w:szCs w:val="21"/>
        </w:rPr>
        <w:t>1.名称及其它情况：</w:t>
      </w:r>
    </w:p>
    <w:p w14:paraId="542C86A2">
      <w:pPr>
        <w:spacing w:line="360" w:lineRule="auto"/>
        <w:rPr>
          <w:rFonts w:ascii="宋体" w:hAnsi="宋体" w:cs="宋体"/>
          <w:color w:val="auto"/>
          <w:kern w:val="1"/>
          <w:szCs w:val="21"/>
        </w:rPr>
      </w:pPr>
      <w:r>
        <w:rPr>
          <w:rFonts w:hint="eastAsia" w:ascii="宋体" w:hAnsi="宋体" w:cs="宋体"/>
          <w:color w:val="auto"/>
          <w:kern w:val="1"/>
          <w:szCs w:val="21"/>
        </w:rPr>
        <w:t>（1）供应商名称：</w:t>
      </w:r>
    </w:p>
    <w:p w14:paraId="7C0BC209">
      <w:pPr>
        <w:tabs>
          <w:tab w:val="left" w:pos="4740"/>
        </w:tabs>
        <w:spacing w:line="360" w:lineRule="auto"/>
        <w:rPr>
          <w:rFonts w:ascii="宋体" w:hAnsi="宋体" w:cs="宋体"/>
          <w:color w:val="auto"/>
          <w:kern w:val="1"/>
          <w:szCs w:val="21"/>
        </w:rPr>
      </w:pPr>
      <w:r>
        <w:rPr>
          <w:rFonts w:hint="eastAsia" w:ascii="宋体" w:hAnsi="宋体" w:cs="宋体"/>
          <w:color w:val="auto"/>
          <w:kern w:val="1"/>
          <w:szCs w:val="21"/>
        </w:rPr>
        <w:t>（2）地址：</w:t>
      </w:r>
      <w:r>
        <w:rPr>
          <w:rFonts w:hint="eastAsia" w:ascii="宋体" w:hAnsi="宋体" w:cs="宋体"/>
          <w:color w:val="auto"/>
          <w:kern w:val="1"/>
          <w:szCs w:val="21"/>
        </w:rPr>
        <w:tab/>
      </w:r>
      <w:r>
        <w:rPr>
          <w:rFonts w:hint="eastAsia" w:ascii="宋体" w:hAnsi="宋体" w:cs="宋体"/>
          <w:color w:val="auto"/>
          <w:kern w:val="1"/>
          <w:szCs w:val="21"/>
        </w:rPr>
        <w:t>邮编：</w:t>
      </w:r>
    </w:p>
    <w:p w14:paraId="50ABE7E3">
      <w:pPr>
        <w:tabs>
          <w:tab w:val="left" w:pos="600"/>
          <w:tab w:val="left" w:pos="4320"/>
        </w:tabs>
        <w:spacing w:line="360" w:lineRule="auto"/>
        <w:rPr>
          <w:rFonts w:ascii="宋体" w:hAnsi="宋体" w:cs="宋体"/>
          <w:color w:val="auto"/>
          <w:kern w:val="1"/>
          <w:szCs w:val="21"/>
        </w:rPr>
      </w:pPr>
      <w:r>
        <w:rPr>
          <w:rFonts w:hint="eastAsia" w:ascii="宋体" w:hAnsi="宋体" w:cs="宋体"/>
          <w:color w:val="auto"/>
          <w:kern w:val="1"/>
          <w:szCs w:val="21"/>
        </w:rPr>
        <w:t>电话：   传真：</w:t>
      </w:r>
    </w:p>
    <w:p w14:paraId="776C0B76">
      <w:pPr>
        <w:spacing w:line="360" w:lineRule="auto"/>
        <w:rPr>
          <w:rFonts w:ascii="宋体" w:hAnsi="宋体" w:cs="宋体"/>
          <w:color w:val="auto"/>
          <w:kern w:val="1"/>
          <w:szCs w:val="21"/>
          <w:u w:val="single"/>
        </w:rPr>
      </w:pPr>
      <w:r>
        <w:rPr>
          <w:rFonts w:hint="eastAsia" w:ascii="宋体" w:hAnsi="宋体" w:cs="宋体"/>
          <w:color w:val="auto"/>
          <w:kern w:val="1"/>
          <w:szCs w:val="21"/>
        </w:rPr>
        <w:t>（3）成立和/或注册日期：</w:t>
      </w:r>
    </w:p>
    <w:p w14:paraId="1B5F8874">
      <w:pPr>
        <w:spacing w:line="360" w:lineRule="auto"/>
        <w:rPr>
          <w:rFonts w:ascii="宋体" w:hAnsi="宋体" w:cs="宋体"/>
          <w:color w:val="auto"/>
          <w:kern w:val="1"/>
          <w:szCs w:val="21"/>
        </w:rPr>
      </w:pPr>
      <w:r>
        <w:rPr>
          <w:rFonts w:hint="eastAsia" w:ascii="宋体" w:hAnsi="宋体" w:cs="宋体"/>
          <w:color w:val="auto"/>
          <w:kern w:val="1"/>
          <w:szCs w:val="21"/>
        </w:rPr>
        <w:t>（4）法定代表人：</w:t>
      </w:r>
    </w:p>
    <w:p w14:paraId="3C3C3EE6">
      <w:pPr>
        <w:spacing w:line="360" w:lineRule="auto"/>
        <w:rPr>
          <w:rFonts w:ascii="宋体" w:hAnsi="宋体" w:cs="宋体"/>
          <w:color w:val="auto"/>
          <w:kern w:val="1"/>
          <w:szCs w:val="21"/>
          <w:u w:val="single"/>
        </w:rPr>
      </w:pPr>
      <w:r>
        <w:rPr>
          <w:rFonts w:hint="eastAsia" w:ascii="宋体" w:hAnsi="宋体" w:cs="宋体"/>
          <w:color w:val="auto"/>
          <w:kern w:val="1"/>
          <w:szCs w:val="21"/>
        </w:rPr>
        <w:t>（5）实收资本：</w:t>
      </w:r>
    </w:p>
    <w:p w14:paraId="2668E112">
      <w:pPr>
        <w:spacing w:line="360" w:lineRule="auto"/>
        <w:rPr>
          <w:rFonts w:ascii="宋体" w:hAnsi="宋体" w:cs="宋体"/>
          <w:color w:val="auto"/>
          <w:kern w:val="1"/>
          <w:szCs w:val="21"/>
        </w:rPr>
      </w:pPr>
      <w:r>
        <w:rPr>
          <w:rFonts w:hint="eastAsia" w:ascii="宋体" w:hAnsi="宋体" w:cs="宋体"/>
          <w:color w:val="auto"/>
          <w:kern w:val="1"/>
          <w:szCs w:val="21"/>
        </w:rPr>
        <w:t>（6）近期资产负债表：（到</w:t>
      </w:r>
      <w:r>
        <w:rPr>
          <w:rFonts w:hint="eastAsia" w:ascii="宋体" w:hAnsi="宋体" w:cs="宋体"/>
          <w:color w:val="auto"/>
          <w:kern w:val="1"/>
          <w:szCs w:val="21"/>
          <w:u w:val="single"/>
        </w:rPr>
        <w:t>20  年12月31日</w:t>
      </w:r>
      <w:r>
        <w:rPr>
          <w:rFonts w:hint="eastAsia" w:ascii="宋体" w:hAnsi="宋体" w:cs="宋体"/>
          <w:color w:val="auto"/>
          <w:kern w:val="1"/>
          <w:szCs w:val="21"/>
        </w:rPr>
        <w:t>）</w:t>
      </w:r>
    </w:p>
    <w:p w14:paraId="3B304F20">
      <w:pPr>
        <w:spacing w:line="360" w:lineRule="auto"/>
        <w:rPr>
          <w:rFonts w:ascii="宋体" w:hAnsi="宋体" w:cs="宋体"/>
          <w:color w:val="auto"/>
          <w:kern w:val="1"/>
          <w:szCs w:val="21"/>
        </w:rPr>
      </w:pPr>
      <w:r>
        <w:rPr>
          <w:rFonts w:hint="eastAsia" w:ascii="宋体" w:hAnsi="宋体" w:cs="宋体"/>
          <w:color w:val="auto"/>
          <w:kern w:val="1"/>
          <w:szCs w:val="21"/>
        </w:rPr>
        <w:t>&lt;1&gt; 固定资产：</w:t>
      </w:r>
    </w:p>
    <w:p w14:paraId="005C2E52">
      <w:pPr>
        <w:spacing w:line="360" w:lineRule="auto"/>
        <w:rPr>
          <w:rFonts w:ascii="宋体" w:hAnsi="宋体" w:cs="宋体"/>
          <w:color w:val="auto"/>
          <w:kern w:val="1"/>
          <w:szCs w:val="21"/>
        </w:rPr>
      </w:pPr>
      <w:r>
        <w:rPr>
          <w:rFonts w:hint="eastAsia" w:ascii="宋体" w:hAnsi="宋体" w:cs="宋体"/>
          <w:color w:val="auto"/>
          <w:kern w:val="1"/>
          <w:szCs w:val="21"/>
        </w:rPr>
        <w:t>&lt;2&gt; 流动资金：</w:t>
      </w:r>
    </w:p>
    <w:p w14:paraId="1AE6F341">
      <w:pPr>
        <w:spacing w:line="360" w:lineRule="auto"/>
        <w:rPr>
          <w:rFonts w:ascii="宋体" w:hAnsi="宋体" w:cs="宋体"/>
          <w:color w:val="auto"/>
          <w:kern w:val="1"/>
          <w:szCs w:val="21"/>
        </w:rPr>
      </w:pPr>
      <w:r>
        <w:rPr>
          <w:rFonts w:hint="eastAsia" w:ascii="宋体" w:hAnsi="宋体" w:cs="宋体"/>
          <w:color w:val="auto"/>
          <w:kern w:val="1"/>
          <w:szCs w:val="21"/>
        </w:rPr>
        <w:t>&lt;3&gt; 长期负债：</w:t>
      </w:r>
    </w:p>
    <w:p w14:paraId="290BB541">
      <w:pPr>
        <w:spacing w:line="360" w:lineRule="auto"/>
        <w:rPr>
          <w:rFonts w:ascii="宋体" w:hAnsi="宋体" w:cs="宋体"/>
          <w:color w:val="auto"/>
          <w:kern w:val="1"/>
          <w:szCs w:val="21"/>
        </w:rPr>
      </w:pPr>
      <w:r>
        <w:rPr>
          <w:rFonts w:hint="eastAsia" w:ascii="宋体" w:hAnsi="宋体" w:cs="宋体"/>
          <w:color w:val="auto"/>
          <w:kern w:val="1"/>
          <w:szCs w:val="21"/>
        </w:rPr>
        <w:t>&lt;4&gt; 短期负债：</w:t>
      </w:r>
    </w:p>
    <w:p w14:paraId="5F5C9C1B">
      <w:pPr>
        <w:spacing w:line="360" w:lineRule="auto"/>
        <w:rPr>
          <w:rFonts w:ascii="宋体" w:hAnsi="宋体" w:cs="宋体"/>
          <w:color w:val="auto"/>
          <w:kern w:val="1"/>
          <w:szCs w:val="21"/>
        </w:rPr>
      </w:pPr>
      <w:r>
        <w:rPr>
          <w:rFonts w:hint="eastAsia" w:ascii="宋体" w:hAnsi="宋体" w:cs="宋体"/>
          <w:color w:val="auto"/>
          <w:kern w:val="1"/>
          <w:szCs w:val="21"/>
          <w:lang w:eastAsia="zh-CN"/>
        </w:rPr>
        <w:t>2.</w:t>
      </w:r>
      <w:r>
        <w:rPr>
          <w:rFonts w:hint="eastAsia" w:ascii="宋体" w:hAnsi="宋体" w:cs="宋体"/>
          <w:color w:val="auto"/>
          <w:kern w:val="1"/>
          <w:szCs w:val="21"/>
        </w:rPr>
        <w:t>近三年同类货物和服务的主要销售业绩（无有效联系人、联系方式和合同复印件的视为未填报本项目）：</w:t>
      </w:r>
    </w:p>
    <w:tbl>
      <w:tblPr>
        <w:tblStyle w:val="30"/>
        <w:tblW w:w="8559" w:type="dxa"/>
        <w:jc w:val="center"/>
        <w:tblLayout w:type="autofit"/>
        <w:tblCellMar>
          <w:top w:w="0" w:type="dxa"/>
          <w:left w:w="108" w:type="dxa"/>
          <w:bottom w:w="0" w:type="dxa"/>
          <w:right w:w="108" w:type="dxa"/>
        </w:tblCellMar>
      </w:tblPr>
      <w:tblGrid>
        <w:gridCol w:w="4290"/>
        <w:gridCol w:w="4269"/>
      </w:tblGrid>
      <w:tr w14:paraId="410FE85B">
        <w:tblPrEx>
          <w:tblCellMar>
            <w:top w:w="0" w:type="dxa"/>
            <w:left w:w="108" w:type="dxa"/>
            <w:bottom w:w="0" w:type="dxa"/>
            <w:right w:w="108" w:type="dxa"/>
          </w:tblCellMar>
        </w:tblPrEx>
        <w:trPr>
          <w:trHeight w:val="310" w:hRule="atLeast"/>
          <w:jc w:val="center"/>
        </w:trPr>
        <w:tc>
          <w:tcPr>
            <w:tcW w:w="4290" w:type="dxa"/>
            <w:noWrap/>
          </w:tcPr>
          <w:p w14:paraId="45291433">
            <w:pPr>
              <w:spacing w:line="360" w:lineRule="auto"/>
              <w:jc w:val="center"/>
              <w:rPr>
                <w:rFonts w:ascii="宋体" w:hAnsi="宋体" w:cs="宋体"/>
                <w:color w:val="auto"/>
                <w:kern w:val="1"/>
                <w:szCs w:val="21"/>
                <w:u w:val="single"/>
              </w:rPr>
            </w:pPr>
            <w:r>
              <w:rPr>
                <w:rFonts w:hint="eastAsia" w:ascii="宋体" w:hAnsi="宋体" w:cs="宋体"/>
                <w:color w:val="auto"/>
                <w:kern w:val="1"/>
                <w:szCs w:val="21"/>
                <w:u w:val="single"/>
              </w:rPr>
              <w:t>甲方名称、联系人、联系方式</w:t>
            </w:r>
          </w:p>
        </w:tc>
        <w:tc>
          <w:tcPr>
            <w:tcW w:w="4269" w:type="dxa"/>
            <w:noWrap/>
          </w:tcPr>
          <w:p w14:paraId="0FF7CE56">
            <w:pPr>
              <w:spacing w:line="360" w:lineRule="auto"/>
              <w:jc w:val="center"/>
              <w:rPr>
                <w:rFonts w:ascii="宋体" w:hAnsi="宋体" w:cs="宋体"/>
                <w:color w:val="auto"/>
                <w:kern w:val="1"/>
                <w:szCs w:val="21"/>
                <w:u w:val="single"/>
              </w:rPr>
            </w:pPr>
            <w:r>
              <w:rPr>
                <w:rFonts w:hint="eastAsia" w:ascii="宋体" w:hAnsi="宋体" w:cs="宋体"/>
                <w:color w:val="auto"/>
                <w:kern w:val="1"/>
                <w:szCs w:val="21"/>
                <w:u w:val="single"/>
              </w:rPr>
              <w:t>项   目   名   称</w:t>
            </w:r>
          </w:p>
        </w:tc>
      </w:tr>
      <w:tr w14:paraId="1C9500C0">
        <w:tblPrEx>
          <w:tblCellMar>
            <w:top w:w="0" w:type="dxa"/>
            <w:left w:w="108" w:type="dxa"/>
            <w:bottom w:w="0" w:type="dxa"/>
            <w:right w:w="108" w:type="dxa"/>
          </w:tblCellMar>
        </w:tblPrEx>
        <w:trPr>
          <w:trHeight w:val="310" w:hRule="atLeast"/>
          <w:jc w:val="center"/>
        </w:trPr>
        <w:tc>
          <w:tcPr>
            <w:tcW w:w="4290" w:type="dxa"/>
            <w:noWrap/>
          </w:tcPr>
          <w:p w14:paraId="61A9EF19">
            <w:pPr>
              <w:spacing w:line="360" w:lineRule="auto"/>
              <w:rPr>
                <w:rFonts w:ascii="宋体" w:hAnsi="宋体" w:cs="宋体"/>
                <w:color w:val="auto"/>
                <w:kern w:val="1"/>
                <w:szCs w:val="21"/>
              </w:rPr>
            </w:pPr>
          </w:p>
        </w:tc>
        <w:tc>
          <w:tcPr>
            <w:tcW w:w="4269" w:type="dxa"/>
            <w:noWrap/>
          </w:tcPr>
          <w:p w14:paraId="5E385300">
            <w:pPr>
              <w:spacing w:line="360" w:lineRule="auto"/>
              <w:rPr>
                <w:rFonts w:ascii="宋体" w:hAnsi="宋体" w:cs="宋体"/>
                <w:color w:val="auto"/>
                <w:kern w:val="1"/>
                <w:szCs w:val="21"/>
              </w:rPr>
            </w:pPr>
          </w:p>
        </w:tc>
      </w:tr>
      <w:tr w14:paraId="1F02C963">
        <w:tblPrEx>
          <w:tblCellMar>
            <w:top w:w="0" w:type="dxa"/>
            <w:left w:w="108" w:type="dxa"/>
            <w:bottom w:w="0" w:type="dxa"/>
            <w:right w:w="108" w:type="dxa"/>
          </w:tblCellMar>
        </w:tblPrEx>
        <w:trPr>
          <w:trHeight w:val="310" w:hRule="atLeast"/>
          <w:jc w:val="center"/>
        </w:trPr>
        <w:tc>
          <w:tcPr>
            <w:tcW w:w="4290" w:type="dxa"/>
            <w:noWrap/>
          </w:tcPr>
          <w:p w14:paraId="77C3F330">
            <w:pPr>
              <w:spacing w:line="360" w:lineRule="auto"/>
              <w:rPr>
                <w:rFonts w:ascii="宋体" w:hAnsi="宋体" w:cs="宋体"/>
                <w:color w:val="auto"/>
                <w:kern w:val="1"/>
                <w:szCs w:val="21"/>
              </w:rPr>
            </w:pPr>
          </w:p>
        </w:tc>
        <w:tc>
          <w:tcPr>
            <w:tcW w:w="4269" w:type="dxa"/>
            <w:noWrap/>
          </w:tcPr>
          <w:p w14:paraId="7EBDAEDC">
            <w:pPr>
              <w:spacing w:line="360" w:lineRule="auto"/>
              <w:rPr>
                <w:rFonts w:ascii="宋体" w:hAnsi="宋体" w:cs="宋体"/>
                <w:color w:val="auto"/>
                <w:kern w:val="1"/>
                <w:szCs w:val="21"/>
              </w:rPr>
            </w:pPr>
          </w:p>
        </w:tc>
      </w:tr>
    </w:tbl>
    <w:p w14:paraId="06FA4657">
      <w:pPr>
        <w:spacing w:line="360" w:lineRule="auto"/>
        <w:rPr>
          <w:rFonts w:ascii="宋体" w:hAnsi="宋体" w:cs="宋体"/>
          <w:color w:val="auto"/>
          <w:szCs w:val="21"/>
        </w:rPr>
      </w:pPr>
      <w:r>
        <w:rPr>
          <w:rFonts w:hint="eastAsia" w:ascii="宋体" w:hAnsi="宋体" w:cs="宋体"/>
          <w:color w:val="auto"/>
          <w:szCs w:val="21"/>
          <w:lang w:eastAsia="zh-CN"/>
        </w:rPr>
        <w:t>3.</w:t>
      </w:r>
      <w:r>
        <w:rPr>
          <w:rFonts w:hint="eastAsia" w:ascii="宋体" w:hAnsi="宋体" w:cs="宋体"/>
          <w:color w:val="auto"/>
          <w:szCs w:val="21"/>
        </w:rPr>
        <w:t xml:space="preserve">近三年的营业额： </w:t>
      </w:r>
    </w:p>
    <w:tbl>
      <w:tblPr>
        <w:tblStyle w:val="30"/>
        <w:tblW w:w="0" w:type="auto"/>
        <w:jc w:val="center"/>
        <w:tblLayout w:type="fixed"/>
        <w:tblCellMar>
          <w:top w:w="0" w:type="dxa"/>
          <w:left w:w="108" w:type="dxa"/>
          <w:bottom w:w="0" w:type="dxa"/>
          <w:right w:w="108" w:type="dxa"/>
        </w:tblCellMar>
      </w:tblPr>
      <w:tblGrid>
        <w:gridCol w:w="2319"/>
        <w:gridCol w:w="2320"/>
        <w:gridCol w:w="2319"/>
        <w:gridCol w:w="2320"/>
      </w:tblGrid>
      <w:tr w14:paraId="3E57D4DB">
        <w:tblPrEx>
          <w:tblCellMar>
            <w:top w:w="0" w:type="dxa"/>
            <w:left w:w="108" w:type="dxa"/>
            <w:bottom w:w="0" w:type="dxa"/>
            <w:right w:w="108" w:type="dxa"/>
          </w:tblCellMar>
        </w:tblPrEx>
        <w:trPr>
          <w:trHeight w:val="371" w:hRule="atLeast"/>
          <w:jc w:val="center"/>
        </w:trPr>
        <w:tc>
          <w:tcPr>
            <w:tcW w:w="2319" w:type="dxa"/>
            <w:noWrap/>
          </w:tcPr>
          <w:p w14:paraId="756E37A6">
            <w:pPr>
              <w:spacing w:line="360" w:lineRule="auto"/>
              <w:jc w:val="center"/>
              <w:rPr>
                <w:rFonts w:ascii="宋体" w:hAnsi="宋体" w:cs="宋体"/>
                <w:color w:val="auto"/>
                <w:szCs w:val="21"/>
              </w:rPr>
            </w:pPr>
            <w:r>
              <w:rPr>
                <w:rFonts w:hint="eastAsia" w:ascii="宋体" w:hAnsi="宋体" w:cs="宋体"/>
                <w:color w:val="auto"/>
                <w:szCs w:val="21"/>
              </w:rPr>
              <w:t>年    份</w:t>
            </w:r>
          </w:p>
        </w:tc>
        <w:tc>
          <w:tcPr>
            <w:tcW w:w="2320" w:type="dxa"/>
            <w:noWrap/>
          </w:tcPr>
          <w:p w14:paraId="591513F2">
            <w:pPr>
              <w:spacing w:line="360" w:lineRule="auto"/>
              <w:jc w:val="center"/>
              <w:rPr>
                <w:rFonts w:ascii="宋体" w:hAnsi="宋体" w:cs="宋体"/>
                <w:color w:val="auto"/>
                <w:szCs w:val="21"/>
              </w:rPr>
            </w:pPr>
            <w:r>
              <w:rPr>
                <w:rFonts w:hint="eastAsia" w:ascii="宋体" w:hAnsi="宋体" w:cs="宋体"/>
                <w:color w:val="auto"/>
                <w:szCs w:val="21"/>
              </w:rPr>
              <w:t>国    内（万元）</w:t>
            </w:r>
          </w:p>
        </w:tc>
        <w:tc>
          <w:tcPr>
            <w:tcW w:w="2319" w:type="dxa"/>
            <w:noWrap/>
          </w:tcPr>
          <w:p w14:paraId="0FD473B5">
            <w:pPr>
              <w:spacing w:line="360" w:lineRule="auto"/>
              <w:jc w:val="center"/>
              <w:rPr>
                <w:rFonts w:ascii="宋体" w:hAnsi="宋体" w:cs="宋体"/>
                <w:color w:val="auto"/>
                <w:szCs w:val="21"/>
              </w:rPr>
            </w:pPr>
            <w:r>
              <w:rPr>
                <w:rFonts w:hint="eastAsia" w:ascii="宋体" w:hAnsi="宋体" w:cs="宋体"/>
                <w:color w:val="auto"/>
                <w:szCs w:val="21"/>
              </w:rPr>
              <w:t>出    口（万元）</w:t>
            </w:r>
          </w:p>
        </w:tc>
        <w:tc>
          <w:tcPr>
            <w:tcW w:w="2320" w:type="dxa"/>
            <w:noWrap/>
          </w:tcPr>
          <w:p w14:paraId="2EB22615">
            <w:pPr>
              <w:spacing w:line="360" w:lineRule="auto"/>
              <w:jc w:val="center"/>
              <w:rPr>
                <w:rFonts w:ascii="宋体" w:hAnsi="宋体" w:cs="宋体"/>
                <w:color w:val="auto"/>
                <w:szCs w:val="21"/>
              </w:rPr>
            </w:pPr>
            <w:r>
              <w:rPr>
                <w:rFonts w:hint="eastAsia" w:ascii="宋体" w:hAnsi="宋体" w:cs="宋体"/>
                <w:color w:val="auto"/>
                <w:szCs w:val="21"/>
              </w:rPr>
              <w:t>总    额（万元）</w:t>
            </w:r>
          </w:p>
        </w:tc>
      </w:tr>
      <w:tr w14:paraId="726325FE">
        <w:tblPrEx>
          <w:tblCellMar>
            <w:top w:w="0" w:type="dxa"/>
            <w:left w:w="108" w:type="dxa"/>
            <w:bottom w:w="0" w:type="dxa"/>
            <w:right w:w="108" w:type="dxa"/>
          </w:tblCellMar>
        </w:tblPrEx>
        <w:trPr>
          <w:trHeight w:val="371" w:hRule="atLeast"/>
          <w:jc w:val="center"/>
        </w:trPr>
        <w:tc>
          <w:tcPr>
            <w:tcW w:w="2319" w:type="dxa"/>
            <w:noWrap/>
          </w:tcPr>
          <w:p w14:paraId="53CFAA61">
            <w:pPr>
              <w:spacing w:line="360" w:lineRule="auto"/>
              <w:jc w:val="center"/>
              <w:rPr>
                <w:rFonts w:ascii="宋体" w:hAnsi="宋体" w:cs="宋体"/>
                <w:color w:val="auto"/>
                <w:szCs w:val="21"/>
              </w:rPr>
            </w:pPr>
            <w:r>
              <w:rPr>
                <w:rFonts w:hint="eastAsia" w:ascii="宋体" w:hAnsi="宋体" w:cs="宋体"/>
                <w:color w:val="auto"/>
                <w:szCs w:val="21"/>
              </w:rPr>
              <w:t xml:space="preserve">    年</w:t>
            </w:r>
          </w:p>
        </w:tc>
        <w:tc>
          <w:tcPr>
            <w:tcW w:w="2320" w:type="dxa"/>
            <w:noWrap/>
          </w:tcPr>
          <w:p w14:paraId="4E5D2BB0">
            <w:pPr>
              <w:spacing w:line="360" w:lineRule="auto"/>
              <w:rPr>
                <w:rFonts w:ascii="宋体" w:hAnsi="宋体" w:cs="宋体"/>
                <w:color w:val="auto"/>
                <w:szCs w:val="21"/>
              </w:rPr>
            </w:pPr>
          </w:p>
        </w:tc>
        <w:tc>
          <w:tcPr>
            <w:tcW w:w="2319" w:type="dxa"/>
            <w:noWrap/>
          </w:tcPr>
          <w:p w14:paraId="5E806780">
            <w:pPr>
              <w:spacing w:line="360" w:lineRule="auto"/>
              <w:rPr>
                <w:rFonts w:ascii="宋体" w:hAnsi="宋体" w:cs="宋体"/>
                <w:color w:val="auto"/>
                <w:szCs w:val="21"/>
              </w:rPr>
            </w:pPr>
          </w:p>
        </w:tc>
        <w:tc>
          <w:tcPr>
            <w:tcW w:w="2320" w:type="dxa"/>
            <w:noWrap/>
          </w:tcPr>
          <w:p w14:paraId="0E94455A">
            <w:pPr>
              <w:spacing w:line="360" w:lineRule="auto"/>
              <w:rPr>
                <w:rFonts w:ascii="宋体" w:hAnsi="宋体" w:cs="宋体"/>
                <w:color w:val="auto"/>
                <w:szCs w:val="21"/>
              </w:rPr>
            </w:pPr>
          </w:p>
        </w:tc>
      </w:tr>
      <w:tr w14:paraId="538AB15D">
        <w:tblPrEx>
          <w:tblCellMar>
            <w:top w:w="0" w:type="dxa"/>
            <w:left w:w="108" w:type="dxa"/>
            <w:bottom w:w="0" w:type="dxa"/>
            <w:right w:w="108" w:type="dxa"/>
          </w:tblCellMar>
        </w:tblPrEx>
        <w:trPr>
          <w:trHeight w:val="371" w:hRule="atLeast"/>
          <w:jc w:val="center"/>
        </w:trPr>
        <w:tc>
          <w:tcPr>
            <w:tcW w:w="2319" w:type="dxa"/>
            <w:noWrap/>
          </w:tcPr>
          <w:p w14:paraId="0B2D96F2">
            <w:pPr>
              <w:spacing w:line="360" w:lineRule="auto"/>
              <w:jc w:val="center"/>
              <w:rPr>
                <w:rFonts w:ascii="宋体" w:hAnsi="宋体" w:cs="宋体"/>
                <w:color w:val="auto"/>
                <w:szCs w:val="21"/>
              </w:rPr>
            </w:pPr>
            <w:r>
              <w:rPr>
                <w:rFonts w:hint="eastAsia" w:ascii="宋体" w:hAnsi="宋体" w:cs="宋体"/>
                <w:color w:val="auto"/>
                <w:szCs w:val="21"/>
              </w:rPr>
              <w:t xml:space="preserve">    年</w:t>
            </w:r>
          </w:p>
        </w:tc>
        <w:tc>
          <w:tcPr>
            <w:tcW w:w="2320" w:type="dxa"/>
            <w:noWrap/>
          </w:tcPr>
          <w:p w14:paraId="0B8B753B">
            <w:pPr>
              <w:spacing w:line="360" w:lineRule="auto"/>
              <w:rPr>
                <w:rFonts w:ascii="宋体" w:hAnsi="宋体" w:cs="宋体"/>
                <w:color w:val="auto"/>
                <w:szCs w:val="21"/>
              </w:rPr>
            </w:pPr>
          </w:p>
        </w:tc>
        <w:tc>
          <w:tcPr>
            <w:tcW w:w="2319" w:type="dxa"/>
            <w:noWrap/>
          </w:tcPr>
          <w:p w14:paraId="380C973B">
            <w:pPr>
              <w:spacing w:line="360" w:lineRule="auto"/>
              <w:rPr>
                <w:rFonts w:ascii="宋体" w:hAnsi="宋体" w:cs="宋体"/>
                <w:color w:val="auto"/>
                <w:szCs w:val="21"/>
              </w:rPr>
            </w:pPr>
          </w:p>
        </w:tc>
        <w:tc>
          <w:tcPr>
            <w:tcW w:w="2320" w:type="dxa"/>
            <w:noWrap/>
          </w:tcPr>
          <w:p w14:paraId="3958E054">
            <w:pPr>
              <w:spacing w:line="360" w:lineRule="auto"/>
              <w:rPr>
                <w:rFonts w:ascii="宋体" w:hAnsi="宋体" w:cs="宋体"/>
                <w:color w:val="auto"/>
                <w:szCs w:val="21"/>
              </w:rPr>
            </w:pPr>
          </w:p>
        </w:tc>
      </w:tr>
      <w:tr w14:paraId="4E3CBB98">
        <w:tblPrEx>
          <w:tblCellMar>
            <w:top w:w="0" w:type="dxa"/>
            <w:left w:w="108" w:type="dxa"/>
            <w:bottom w:w="0" w:type="dxa"/>
            <w:right w:w="108" w:type="dxa"/>
          </w:tblCellMar>
        </w:tblPrEx>
        <w:trPr>
          <w:trHeight w:val="371" w:hRule="atLeast"/>
          <w:jc w:val="center"/>
        </w:trPr>
        <w:tc>
          <w:tcPr>
            <w:tcW w:w="2319" w:type="dxa"/>
            <w:noWrap/>
          </w:tcPr>
          <w:p w14:paraId="282D5264">
            <w:pPr>
              <w:spacing w:line="360" w:lineRule="auto"/>
              <w:jc w:val="center"/>
              <w:rPr>
                <w:rFonts w:ascii="宋体" w:hAnsi="宋体" w:cs="宋体"/>
                <w:color w:val="auto"/>
                <w:szCs w:val="21"/>
              </w:rPr>
            </w:pPr>
            <w:r>
              <w:rPr>
                <w:rFonts w:hint="eastAsia" w:ascii="宋体" w:hAnsi="宋体" w:cs="宋体"/>
                <w:color w:val="auto"/>
                <w:szCs w:val="21"/>
              </w:rPr>
              <w:t xml:space="preserve">    年</w:t>
            </w:r>
          </w:p>
        </w:tc>
        <w:tc>
          <w:tcPr>
            <w:tcW w:w="2320" w:type="dxa"/>
            <w:noWrap/>
          </w:tcPr>
          <w:p w14:paraId="2A61B080">
            <w:pPr>
              <w:spacing w:line="360" w:lineRule="auto"/>
              <w:rPr>
                <w:rFonts w:ascii="宋体" w:hAnsi="宋体" w:cs="宋体"/>
                <w:color w:val="auto"/>
                <w:szCs w:val="21"/>
              </w:rPr>
            </w:pPr>
          </w:p>
        </w:tc>
        <w:tc>
          <w:tcPr>
            <w:tcW w:w="2319" w:type="dxa"/>
            <w:noWrap/>
          </w:tcPr>
          <w:p w14:paraId="40C6E522">
            <w:pPr>
              <w:spacing w:line="360" w:lineRule="auto"/>
              <w:rPr>
                <w:rFonts w:ascii="宋体" w:hAnsi="宋体" w:cs="宋体"/>
                <w:color w:val="auto"/>
                <w:szCs w:val="21"/>
              </w:rPr>
            </w:pPr>
          </w:p>
        </w:tc>
        <w:tc>
          <w:tcPr>
            <w:tcW w:w="2320" w:type="dxa"/>
            <w:noWrap/>
          </w:tcPr>
          <w:p w14:paraId="52F8E689">
            <w:pPr>
              <w:spacing w:line="360" w:lineRule="auto"/>
              <w:rPr>
                <w:rFonts w:ascii="宋体" w:hAnsi="宋体" w:cs="宋体"/>
                <w:color w:val="auto"/>
                <w:szCs w:val="21"/>
              </w:rPr>
            </w:pPr>
          </w:p>
        </w:tc>
      </w:tr>
    </w:tbl>
    <w:p w14:paraId="25C1D1C3">
      <w:pPr>
        <w:spacing w:line="360" w:lineRule="auto"/>
        <w:rPr>
          <w:rFonts w:ascii="宋体" w:hAnsi="宋体" w:cs="宋体"/>
          <w:color w:val="auto"/>
          <w:szCs w:val="21"/>
        </w:rPr>
      </w:pPr>
      <w:r>
        <w:rPr>
          <w:rFonts w:hint="eastAsia" w:ascii="宋体" w:hAnsi="宋体" w:cs="宋体"/>
          <w:color w:val="auto"/>
          <w:szCs w:val="21"/>
          <w:lang w:eastAsia="zh-CN"/>
        </w:rPr>
        <w:t>4.</w:t>
      </w:r>
      <w:r>
        <w:rPr>
          <w:rFonts w:hint="eastAsia" w:ascii="宋体" w:hAnsi="宋体" w:cs="宋体"/>
          <w:color w:val="auto"/>
          <w:szCs w:val="21"/>
        </w:rPr>
        <w:t>本次采购要求的其他资格文件以及供应商认为需要声明的其他情况：</w:t>
      </w:r>
    </w:p>
    <w:p w14:paraId="56DFD6B7">
      <w:pPr>
        <w:spacing w:line="360" w:lineRule="auto"/>
        <w:rPr>
          <w:rFonts w:ascii="宋体" w:hAnsi="宋体" w:cs="宋体"/>
          <w:color w:val="auto"/>
          <w:szCs w:val="21"/>
        </w:rPr>
      </w:pPr>
      <w:r>
        <w:rPr>
          <w:rFonts w:hint="eastAsia" w:ascii="宋体" w:hAnsi="宋体" w:cs="宋体"/>
          <w:color w:val="auto"/>
          <w:szCs w:val="21"/>
        </w:rPr>
        <w:t>兹证明上述声明是真实的、正确的，并提供了全部能提供的资料和数据，我们同意遵照贵方要求出示有关证明文件，如有虚假，自愿丧失中标资格，一年内退出扬州采购市场。</w:t>
      </w:r>
    </w:p>
    <w:p w14:paraId="3386C3E0">
      <w:pPr>
        <w:spacing w:line="360" w:lineRule="auto"/>
        <w:rPr>
          <w:rFonts w:ascii="宋体" w:hAnsi="宋体" w:cs="宋体"/>
          <w:color w:val="auto"/>
          <w:szCs w:val="21"/>
        </w:rPr>
      </w:pPr>
      <w:r>
        <w:rPr>
          <w:rFonts w:hint="eastAsia" w:ascii="宋体" w:hAnsi="宋体" w:cs="宋体"/>
          <w:color w:val="auto"/>
          <w:szCs w:val="21"/>
        </w:rPr>
        <w:t xml:space="preserve">法定代表人或者授权代表（签字或盖章）：                    </w:t>
      </w:r>
    </w:p>
    <w:p w14:paraId="2ABA0125">
      <w:pPr>
        <w:spacing w:line="360" w:lineRule="auto"/>
        <w:rPr>
          <w:rFonts w:ascii="宋体" w:hAnsi="宋体" w:cs="宋体"/>
          <w:color w:val="auto"/>
          <w:szCs w:val="21"/>
          <w:u w:val="single"/>
        </w:rPr>
      </w:pPr>
      <w:r>
        <w:rPr>
          <w:rFonts w:hint="eastAsia" w:ascii="宋体" w:hAnsi="宋体" w:cs="宋体"/>
          <w:color w:val="auto"/>
          <w:szCs w:val="21"/>
        </w:rPr>
        <w:t>磋商供应商全称（盖章）：</w:t>
      </w:r>
    </w:p>
    <w:p w14:paraId="5085E84F">
      <w:pPr>
        <w:spacing w:line="360" w:lineRule="auto"/>
        <w:rPr>
          <w:rFonts w:ascii="宋体" w:hAnsi="宋体" w:cs="宋体"/>
          <w:color w:val="auto"/>
          <w:szCs w:val="21"/>
        </w:rPr>
      </w:pPr>
      <w:r>
        <w:rPr>
          <w:rFonts w:hint="eastAsia" w:ascii="宋体" w:hAnsi="宋体" w:cs="宋体"/>
          <w:color w:val="auto"/>
          <w:szCs w:val="21"/>
        </w:rPr>
        <w:t>日期：    年   月    日</w:t>
      </w:r>
    </w:p>
    <w:p w14:paraId="5AC59750">
      <w:pPr>
        <w:spacing w:line="360" w:lineRule="auto"/>
        <w:rPr>
          <w:rFonts w:ascii="宋体" w:hAnsi="宋体" w:cs="宋体"/>
          <w:color w:val="auto"/>
          <w:kern w:val="1"/>
          <w:szCs w:val="21"/>
        </w:rPr>
      </w:pPr>
      <w:r>
        <w:rPr>
          <w:rFonts w:hint="eastAsia" w:ascii="宋体" w:hAnsi="宋体" w:cs="宋体"/>
          <w:b/>
          <w:bCs/>
          <w:color w:val="auto"/>
          <w:szCs w:val="21"/>
        </w:rPr>
        <w:t>（注：资格声明为格式文件，实质性内容请勿修改，否则将导致响应文件无效）</w:t>
      </w:r>
    </w:p>
    <w:p w14:paraId="3D562C18">
      <w:pPr>
        <w:spacing w:line="360" w:lineRule="auto"/>
        <w:jc w:val="center"/>
        <w:rPr>
          <w:rFonts w:ascii="宋体" w:hAnsi="宋体" w:cs="宋体"/>
          <w:b/>
          <w:color w:val="auto"/>
          <w:sz w:val="28"/>
          <w:szCs w:val="28"/>
        </w:rPr>
      </w:pPr>
      <w:r>
        <w:rPr>
          <w:rFonts w:hint="eastAsia" w:ascii="宋体" w:hAnsi="宋体" w:cs="宋体"/>
          <w:b/>
          <w:color w:val="auto"/>
          <w:sz w:val="24"/>
        </w:rPr>
        <w:t>五、磋商响应报价表</w:t>
      </w:r>
    </w:p>
    <w:p w14:paraId="345B7CA4">
      <w:pPr>
        <w:pStyle w:val="16"/>
        <w:spacing w:line="360" w:lineRule="auto"/>
        <w:rPr>
          <w:rFonts w:ascii="宋体" w:hAnsi="宋体" w:cs="宋体"/>
          <w:color w:val="auto"/>
          <w:sz w:val="21"/>
          <w:szCs w:val="21"/>
        </w:rPr>
      </w:pPr>
      <w:r>
        <w:rPr>
          <w:rFonts w:hint="eastAsia" w:ascii="宋体" w:hAnsi="宋体" w:cs="宋体"/>
          <w:color w:val="auto"/>
          <w:sz w:val="21"/>
          <w:szCs w:val="21"/>
        </w:rPr>
        <w:t>项目名称：</w:t>
      </w:r>
    </w:p>
    <w:p w14:paraId="38F0D7EC">
      <w:pPr>
        <w:spacing w:line="360" w:lineRule="auto"/>
        <w:rPr>
          <w:rFonts w:ascii="宋体" w:hAnsi="宋体" w:cs="宋体"/>
          <w:color w:val="auto"/>
          <w:szCs w:val="21"/>
        </w:rPr>
      </w:pPr>
      <w:r>
        <w:rPr>
          <w:rFonts w:hint="eastAsia" w:ascii="宋体" w:hAnsi="宋体" w:cs="宋体"/>
          <w:color w:val="auto"/>
          <w:szCs w:val="21"/>
        </w:rPr>
        <w:t>项目编号：</w:t>
      </w:r>
    </w:p>
    <w:p w14:paraId="2635C82E">
      <w:pPr>
        <w:pStyle w:val="49"/>
        <w:spacing w:line="360" w:lineRule="auto"/>
        <w:ind w:firstLine="0" w:firstLineChars="0"/>
        <w:rPr>
          <w:rFonts w:ascii="宋体" w:hAnsi="宋体" w:cs="宋体"/>
          <w:b/>
          <w:bCs/>
          <w:color w:val="auto"/>
        </w:rPr>
      </w:pPr>
      <w:r>
        <w:rPr>
          <w:rFonts w:hint="eastAsia" w:ascii="宋体" w:hAnsi="宋体" w:cs="宋体"/>
          <w:b/>
          <w:bCs/>
          <w:color w:val="auto"/>
        </w:rPr>
        <w:t>本次为首次报价</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5"/>
        <w:gridCol w:w="4681"/>
      </w:tblGrid>
      <w:tr w14:paraId="28CB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98" w:hRule="atLeast"/>
          <w:jc w:val="center"/>
        </w:trPr>
        <w:tc>
          <w:tcPr>
            <w:tcW w:w="2649" w:type="pct"/>
            <w:tcBorders>
              <w:top w:val="single" w:color="auto" w:sz="4" w:space="0"/>
              <w:left w:val="single" w:color="auto" w:sz="4" w:space="0"/>
              <w:bottom w:val="single" w:color="auto" w:sz="4" w:space="0"/>
              <w:right w:val="single" w:color="auto" w:sz="4" w:space="0"/>
            </w:tcBorders>
            <w:noWrap/>
            <w:vAlign w:val="center"/>
          </w:tcPr>
          <w:p w14:paraId="6888D0C1">
            <w:pPr>
              <w:pStyle w:val="10"/>
              <w:adjustRightInd w:val="0"/>
              <w:snapToGrid w:val="0"/>
              <w:spacing w:line="360" w:lineRule="auto"/>
              <w:jc w:val="center"/>
              <w:rPr>
                <w:rFonts w:ascii="宋体" w:hAnsi="宋体" w:eastAsia="宋体" w:cs="宋体"/>
                <w:color w:val="auto"/>
                <w:sz w:val="21"/>
                <w:szCs w:val="21"/>
              </w:rPr>
            </w:pPr>
            <w:r>
              <w:rPr>
                <w:rFonts w:hint="eastAsia" w:ascii="宋体" w:hAnsi="宋体" w:eastAsia="宋体" w:cs="宋体"/>
                <w:color w:val="auto"/>
                <w:sz w:val="21"/>
                <w:szCs w:val="21"/>
              </w:rPr>
              <w:t>项目名称</w:t>
            </w:r>
          </w:p>
        </w:tc>
        <w:tc>
          <w:tcPr>
            <w:tcW w:w="2350" w:type="pct"/>
            <w:tcBorders>
              <w:top w:val="single" w:color="auto" w:sz="4" w:space="0"/>
              <w:left w:val="single" w:color="auto" w:sz="4" w:space="0"/>
              <w:bottom w:val="single" w:color="auto" w:sz="4" w:space="0"/>
              <w:right w:val="single" w:color="auto" w:sz="4" w:space="0"/>
            </w:tcBorders>
            <w:noWrap/>
            <w:vAlign w:val="center"/>
          </w:tcPr>
          <w:p w14:paraId="19B999D0">
            <w:pPr>
              <w:adjustRightInd w:val="0"/>
              <w:snapToGrid w:val="0"/>
              <w:spacing w:line="360" w:lineRule="auto"/>
              <w:jc w:val="center"/>
              <w:rPr>
                <w:rFonts w:ascii="宋体" w:hAnsi="宋体" w:cs="宋体"/>
                <w:color w:val="auto"/>
                <w:szCs w:val="21"/>
              </w:rPr>
            </w:pPr>
            <w:r>
              <w:rPr>
                <w:rFonts w:hint="eastAsia" w:ascii="宋体" w:hAnsi="宋体" w:cs="宋体"/>
                <w:color w:val="auto"/>
                <w:szCs w:val="21"/>
              </w:rPr>
              <w:t>第一轮报价（元）</w:t>
            </w:r>
          </w:p>
        </w:tc>
      </w:tr>
      <w:tr w14:paraId="5EAB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jc w:val="center"/>
        </w:trPr>
        <w:tc>
          <w:tcPr>
            <w:tcW w:w="2649" w:type="pct"/>
            <w:tcBorders>
              <w:top w:val="single" w:color="auto" w:sz="4" w:space="0"/>
              <w:left w:val="single" w:color="auto" w:sz="4" w:space="0"/>
              <w:bottom w:val="single" w:color="auto" w:sz="4" w:space="0"/>
              <w:right w:val="single" w:color="auto" w:sz="4" w:space="0"/>
            </w:tcBorders>
            <w:noWrap/>
            <w:vAlign w:val="center"/>
          </w:tcPr>
          <w:p w14:paraId="3DC125CF">
            <w:pPr>
              <w:spacing w:line="360" w:lineRule="auto"/>
              <w:jc w:val="center"/>
              <w:rPr>
                <w:rFonts w:hint="eastAsia" w:ascii="宋体" w:hAnsi="宋体" w:eastAsia="宋体" w:cs="宋体"/>
                <w:color w:val="auto"/>
                <w:szCs w:val="21"/>
                <w:lang w:eastAsia="zh-CN"/>
              </w:rPr>
            </w:pPr>
            <w:r>
              <w:rPr>
                <w:rFonts w:hint="eastAsia" w:ascii="宋体" w:hAnsi="宋体" w:cs="宋体"/>
                <w:color w:val="auto"/>
                <w:szCs w:val="21"/>
                <w:lang w:eastAsia="zh-CN"/>
              </w:rPr>
              <w:t>扬州大学附属医院住院入口（服务大厅）扩建项目、既有建筑改造项目社会稳定风险评估报告及节能评估（承诺表）采购项目</w:t>
            </w:r>
          </w:p>
        </w:tc>
        <w:tc>
          <w:tcPr>
            <w:tcW w:w="2350" w:type="pct"/>
            <w:tcBorders>
              <w:top w:val="single" w:color="auto" w:sz="4" w:space="0"/>
              <w:left w:val="single" w:color="auto" w:sz="4" w:space="0"/>
              <w:bottom w:val="single" w:color="auto" w:sz="4" w:space="0"/>
              <w:right w:val="single" w:color="auto" w:sz="4" w:space="0"/>
            </w:tcBorders>
            <w:noWrap/>
            <w:vAlign w:val="center"/>
          </w:tcPr>
          <w:p w14:paraId="2A0B615B">
            <w:pPr>
              <w:rPr>
                <w:rFonts w:ascii="宋体" w:hAnsi="宋体"/>
                <w:color w:val="auto"/>
                <w:szCs w:val="21"/>
              </w:rPr>
            </w:pPr>
            <w:r>
              <w:rPr>
                <w:rFonts w:hint="eastAsia" w:ascii="宋体" w:hAnsi="宋体"/>
                <w:color w:val="auto"/>
                <w:szCs w:val="21"/>
              </w:rPr>
              <w:t>大写： （人民币）</w:t>
            </w:r>
          </w:p>
          <w:p w14:paraId="1C4E79DE">
            <w:pPr>
              <w:rPr>
                <w:rFonts w:ascii="宋体" w:hAnsi="宋体"/>
                <w:color w:val="auto"/>
                <w:szCs w:val="21"/>
              </w:rPr>
            </w:pPr>
          </w:p>
          <w:p w14:paraId="1FA4A557">
            <w:pPr>
              <w:rPr>
                <w:rFonts w:ascii="宋体" w:hAnsi="宋体" w:eastAsia="宋体" w:cs="宋体"/>
                <w:color w:val="auto"/>
                <w:sz w:val="21"/>
                <w:szCs w:val="21"/>
              </w:rPr>
            </w:pPr>
            <w:r>
              <w:rPr>
                <w:rFonts w:hint="eastAsia" w:ascii="宋体" w:hAnsi="宋体"/>
                <w:color w:val="auto"/>
                <w:szCs w:val="21"/>
              </w:rPr>
              <w:t xml:space="preserve">小写：                          </w:t>
            </w:r>
          </w:p>
        </w:tc>
      </w:tr>
      <w:tr w14:paraId="2996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1" w:hRule="atLeast"/>
          <w:jc w:val="center"/>
        </w:trPr>
        <w:tc>
          <w:tcPr>
            <w:tcW w:w="2649" w:type="pct"/>
            <w:tcBorders>
              <w:top w:val="single" w:color="auto" w:sz="4" w:space="0"/>
              <w:left w:val="single" w:color="auto" w:sz="4" w:space="0"/>
              <w:bottom w:val="single" w:color="auto" w:sz="4" w:space="0"/>
              <w:right w:val="single" w:color="auto" w:sz="4" w:space="0"/>
            </w:tcBorders>
            <w:noWrap/>
            <w:vAlign w:val="center"/>
          </w:tcPr>
          <w:p w14:paraId="261C9004">
            <w:pPr>
              <w:pStyle w:val="10"/>
              <w:adjustRightInd w:val="0"/>
              <w:snapToGrid w:val="0"/>
              <w:spacing w:line="360" w:lineRule="auto"/>
              <w:jc w:val="center"/>
              <w:rPr>
                <w:rFonts w:ascii="宋体" w:hAnsi="宋体" w:eastAsia="宋体" w:cs="宋体"/>
                <w:color w:val="auto"/>
                <w:sz w:val="21"/>
                <w:szCs w:val="21"/>
              </w:rPr>
            </w:pPr>
            <w:r>
              <w:rPr>
                <w:rFonts w:hint="eastAsia" w:ascii="宋体" w:hAnsi="宋体" w:eastAsia="宋体" w:cs="宋体"/>
                <w:color w:val="auto"/>
                <w:sz w:val="21"/>
                <w:szCs w:val="21"/>
              </w:rPr>
              <w:t>备注</w:t>
            </w:r>
          </w:p>
        </w:tc>
        <w:tc>
          <w:tcPr>
            <w:tcW w:w="2350" w:type="pct"/>
            <w:tcBorders>
              <w:top w:val="single" w:color="auto" w:sz="4" w:space="0"/>
              <w:left w:val="single" w:color="auto" w:sz="4" w:space="0"/>
              <w:bottom w:val="single" w:color="auto" w:sz="4" w:space="0"/>
              <w:right w:val="single" w:color="auto" w:sz="4" w:space="0"/>
            </w:tcBorders>
            <w:noWrap/>
            <w:vAlign w:val="center"/>
          </w:tcPr>
          <w:p w14:paraId="393B79C3">
            <w:pPr>
              <w:pStyle w:val="10"/>
              <w:adjustRightInd w:val="0"/>
              <w:snapToGrid w:val="0"/>
              <w:spacing w:line="360" w:lineRule="auto"/>
              <w:ind w:firstLine="1365" w:firstLineChars="650"/>
              <w:rPr>
                <w:rFonts w:ascii="宋体" w:hAnsi="宋体" w:eastAsia="宋体" w:cs="宋体"/>
                <w:color w:val="auto"/>
                <w:sz w:val="21"/>
                <w:szCs w:val="21"/>
              </w:rPr>
            </w:pPr>
          </w:p>
        </w:tc>
      </w:tr>
    </w:tbl>
    <w:p w14:paraId="56F94B32">
      <w:pPr>
        <w:spacing w:line="360" w:lineRule="auto"/>
        <w:rPr>
          <w:rFonts w:ascii="宋体" w:hAnsi="宋体" w:cs="宋体"/>
          <w:color w:val="auto"/>
          <w:szCs w:val="21"/>
        </w:rPr>
      </w:pPr>
    </w:p>
    <w:p w14:paraId="267FD18D">
      <w:pPr>
        <w:spacing w:line="360" w:lineRule="auto"/>
        <w:rPr>
          <w:rFonts w:ascii="宋体" w:hAnsi="宋体" w:cs="宋体"/>
          <w:color w:val="auto"/>
          <w:szCs w:val="21"/>
        </w:rPr>
      </w:pPr>
      <w:r>
        <w:rPr>
          <w:rFonts w:hint="eastAsia" w:ascii="宋体" w:hAnsi="宋体" w:cs="宋体"/>
          <w:color w:val="auto"/>
          <w:szCs w:val="21"/>
        </w:rPr>
        <w:t xml:space="preserve">法定代表人或者授权代表（签字或盖章）：                    </w:t>
      </w:r>
    </w:p>
    <w:p w14:paraId="24222940">
      <w:pPr>
        <w:spacing w:line="360" w:lineRule="auto"/>
        <w:rPr>
          <w:rFonts w:ascii="宋体" w:hAnsi="宋体" w:cs="宋体"/>
          <w:color w:val="auto"/>
          <w:szCs w:val="21"/>
          <w:u w:val="single"/>
        </w:rPr>
      </w:pPr>
      <w:r>
        <w:rPr>
          <w:rFonts w:hint="eastAsia" w:ascii="宋体" w:hAnsi="宋体" w:cs="宋体"/>
          <w:color w:val="auto"/>
          <w:szCs w:val="21"/>
        </w:rPr>
        <w:t>磋商供应商全称（盖章）：</w:t>
      </w:r>
    </w:p>
    <w:p w14:paraId="34DA14B1">
      <w:pPr>
        <w:spacing w:line="360" w:lineRule="auto"/>
        <w:rPr>
          <w:rFonts w:ascii="宋体" w:hAnsi="宋体" w:cs="宋体"/>
          <w:color w:val="auto"/>
          <w:szCs w:val="21"/>
        </w:rPr>
      </w:pPr>
      <w:r>
        <w:rPr>
          <w:rFonts w:hint="eastAsia" w:ascii="宋体" w:hAnsi="宋体" w:cs="宋体"/>
          <w:color w:val="auto"/>
          <w:szCs w:val="21"/>
        </w:rPr>
        <w:t>日期：    年   月    日</w:t>
      </w:r>
    </w:p>
    <w:p w14:paraId="75D6FDB2">
      <w:pPr>
        <w:spacing w:line="360" w:lineRule="auto"/>
        <w:jc w:val="left"/>
        <w:rPr>
          <w:rFonts w:ascii="宋体" w:hAnsi="宋体" w:cs="宋体"/>
          <w:iCs/>
          <w:color w:val="auto"/>
          <w:szCs w:val="21"/>
        </w:rPr>
      </w:pPr>
    </w:p>
    <w:p w14:paraId="2DDCC73B">
      <w:pPr>
        <w:spacing w:line="360" w:lineRule="auto"/>
        <w:jc w:val="left"/>
        <w:rPr>
          <w:rFonts w:ascii="宋体" w:hAnsi="宋体" w:cs="宋体"/>
          <w:iCs/>
          <w:color w:val="auto"/>
          <w:szCs w:val="21"/>
        </w:rPr>
      </w:pPr>
      <w:r>
        <w:rPr>
          <w:rFonts w:hint="eastAsia" w:ascii="宋体" w:hAnsi="宋体" w:cs="宋体"/>
          <w:iCs/>
          <w:color w:val="auto"/>
          <w:szCs w:val="21"/>
        </w:rPr>
        <w:t>备注：</w:t>
      </w:r>
    </w:p>
    <w:p w14:paraId="4972D317">
      <w:pPr>
        <w:spacing w:line="360" w:lineRule="auto"/>
        <w:jc w:val="left"/>
        <w:rPr>
          <w:rFonts w:ascii="宋体" w:hAnsi="宋体" w:cs="宋体"/>
          <w:i/>
          <w:color w:val="auto"/>
          <w:szCs w:val="21"/>
          <w:u w:val="single"/>
        </w:rPr>
      </w:pPr>
      <w:r>
        <w:rPr>
          <w:rFonts w:hint="eastAsia" w:ascii="宋体" w:hAnsi="宋体" w:cs="宋体"/>
          <w:i/>
          <w:color w:val="auto"/>
          <w:szCs w:val="21"/>
          <w:u w:val="single"/>
        </w:rPr>
        <w:t>1.</w:t>
      </w:r>
      <w:r>
        <w:rPr>
          <w:rFonts w:hint="eastAsia" w:ascii="宋体" w:hAnsi="宋体" w:cs="宋体"/>
          <w:bCs/>
          <w:i/>
          <w:color w:val="auto"/>
          <w:szCs w:val="21"/>
          <w:u w:val="single"/>
        </w:rPr>
        <w:t>磋商响应报价表必须加盖供应商公章（复印件无效）</w:t>
      </w:r>
      <w:r>
        <w:rPr>
          <w:rFonts w:hint="eastAsia" w:ascii="宋体" w:hAnsi="宋体" w:cs="宋体"/>
          <w:i/>
          <w:color w:val="auto"/>
          <w:szCs w:val="21"/>
          <w:u w:val="single"/>
        </w:rPr>
        <w:t>。</w:t>
      </w:r>
    </w:p>
    <w:p w14:paraId="4F69585B">
      <w:pPr>
        <w:spacing w:line="360" w:lineRule="auto"/>
        <w:rPr>
          <w:rFonts w:ascii="宋体" w:hAnsi="宋体" w:cs="宋体"/>
          <w:iCs/>
          <w:color w:val="auto"/>
          <w:szCs w:val="21"/>
        </w:rPr>
      </w:pPr>
      <w:r>
        <w:rPr>
          <w:rFonts w:hint="eastAsia" w:ascii="宋体" w:hAnsi="宋体" w:cs="宋体"/>
          <w:iCs/>
          <w:color w:val="auto"/>
          <w:szCs w:val="21"/>
        </w:rPr>
        <w:t>2.此表可以根据需要自行增减行数，且该表报价非本次磋商中的最后报价。</w:t>
      </w:r>
    </w:p>
    <w:p w14:paraId="0E269DA4">
      <w:pPr>
        <w:spacing w:line="360" w:lineRule="auto"/>
        <w:rPr>
          <w:rFonts w:ascii="宋体" w:hAnsi="宋体" w:cs="宋体"/>
          <w:color w:val="auto"/>
          <w:szCs w:val="21"/>
        </w:rPr>
      </w:pPr>
    </w:p>
    <w:p w14:paraId="274B5DC1">
      <w:pPr>
        <w:spacing w:line="360" w:lineRule="auto"/>
        <w:rPr>
          <w:rFonts w:ascii="宋体" w:hAnsi="宋体" w:cs="宋体"/>
          <w:color w:val="auto"/>
          <w:szCs w:val="21"/>
        </w:rPr>
      </w:pPr>
    </w:p>
    <w:p w14:paraId="76B27E56">
      <w:pPr>
        <w:numPr>
          <w:ilvl w:val="0"/>
          <w:numId w:val="5"/>
        </w:numPr>
        <w:spacing w:line="360" w:lineRule="auto"/>
        <w:jc w:val="center"/>
        <w:rPr>
          <w:rFonts w:ascii="宋体" w:hAnsi="宋体" w:cs="宋体"/>
          <w:b/>
          <w:color w:val="auto"/>
          <w:sz w:val="24"/>
        </w:rPr>
      </w:pPr>
      <w:r>
        <w:rPr>
          <w:rFonts w:hint="eastAsia" w:ascii="宋体" w:hAnsi="宋体" w:cs="宋体"/>
          <w:b/>
          <w:bCs/>
          <w:color w:val="auto"/>
          <w:szCs w:val="21"/>
        </w:rPr>
        <w:br w:type="page"/>
      </w:r>
      <w:r>
        <w:rPr>
          <w:rFonts w:hint="eastAsia" w:ascii="宋体" w:hAnsi="宋体" w:cs="宋体"/>
          <w:b/>
          <w:color w:val="auto"/>
          <w:sz w:val="24"/>
        </w:rPr>
        <w:t>分项报价表</w:t>
      </w:r>
    </w:p>
    <w:p w14:paraId="2920ACF9">
      <w:pPr>
        <w:pStyle w:val="16"/>
        <w:spacing w:line="360" w:lineRule="auto"/>
        <w:rPr>
          <w:rFonts w:ascii="宋体" w:hAnsi="宋体" w:cs="宋体"/>
          <w:color w:val="auto"/>
          <w:sz w:val="21"/>
          <w:szCs w:val="21"/>
        </w:rPr>
      </w:pPr>
      <w:r>
        <w:rPr>
          <w:rFonts w:hint="eastAsia" w:ascii="宋体" w:hAnsi="宋体" w:cs="宋体"/>
          <w:color w:val="auto"/>
          <w:sz w:val="21"/>
          <w:szCs w:val="21"/>
        </w:rPr>
        <w:t>项目名称：</w:t>
      </w:r>
    </w:p>
    <w:p w14:paraId="3DEB776D">
      <w:pPr>
        <w:spacing w:line="360" w:lineRule="auto"/>
        <w:rPr>
          <w:rFonts w:ascii="宋体" w:hAnsi="宋体" w:cs="宋体"/>
          <w:color w:val="auto"/>
          <w:szCs w:val="21"/>
        </w:rPr>
      </w:pPr>
      <w:r>
        <w:rPr>
          <w:rFonts w:hint="eastAsia" w:ascii="宋体" w:hAnsi="宋体" w:cs="宋体"/>
          <w:color w:val="auto"/>
          <w:szCs w:val="21"/>
        </w:rPr>
        <w:t>项目编号：</w:t>
      </w:r>
    </w:p>
    <w:p w14:paraId="5714B927">
      <w:pPr>
        <w:pStyle w:val="49"/>
        <w:spacing w:line="360" w:lineRule="auto"/>
        <w:ind w:firstLine="0" w:firstLineChars="0"/>
        <w:rPr>
          <w:rFonts w:ascii="宋体" w:hAnsi="宋体" w:cs="宋体"/>
          <w:b/>
          <w:bCs/>
          <w:color w:val="auto"/>
        </w:rPr>
      </w:pPr>
      <w:r>
        <w:rPr>
          <w:rFonts w:hint="eastAsia" w:ascii="宋体" w:hAnsi="宋体" w:cs="宋体"/>
          <w:b/>
          <w:bCs/>
          <w:color w:val="auto"/>
        </w:rPr>
        <w:t>本次为首次报价</w:t>
      </w:r>
    </w:p>
    <w:tbl>
      <w:tblPr>
        <w:tblStyle w:val="31"/>
        <w:tblW w:w="4969"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446"/>
        <w:gridCol w:w="1484"/>
        <w:gridCol w:w="1995"/>
        <w:gridCol w:w="1215"/>
        <w:gridCol w:w="1726"/>
        <w:gridCol w:w="700"/>
        <w:gridCol w:w="1187"/>
        <w:gridCol w:w="1142"/>
      </w:tblGrid>
      <w:tr w14:paraId="6335869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265" w:hRule="atLeast"/>
        </w:trPr>
        <w:tc>
          <w:tcPr>
            <w:tcW w:w="225" w:type="pc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BA835EF">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序号</w:t>
            </w:r>
          </w:p>
        </w:tc>
        <w:tc>
          <w:tcPr>
            <w:tcW w:w="1757" w:type="pct"/>
            <w:gridSpan w:val="2"/>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7EB28DEB">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分项服务名称</w:t>
            </w:r>
          </w:p>
        </w:tc>
        <w:tc>
          <w:tcPr>
            <w:tcW w:w="613"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175CF7B4">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分项单位</w:t>
            </w:r>
          </w:p>
        </w:tc>
        <w:tc>
          <w:tcPr>
            <w:tcW w:w="872"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07D0498C">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交付期</w:t>
            </w:r>
          </w:p>
        </w:tc>
        <w:tc>
          <w:tcPr>
            <w:tcW w:w="353"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47F4481F">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数量</w:t>
            </w:r>
          </w:p>
        </w:tc>
        <w:tc>
          <w:tcPr>
            <w:tcW w:w="599"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4E354046">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分项</w:t>
            </w:r>
          </w:p>
          <w:p w14:paraId="38D9C780">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单价</w:t>
            </w:r>
          </w:p>
          <w:p w14:paraId="68DE0B9E">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元</w:t>
            </w:r>
            <w:r>
              <w:rPr>
                <w:rFonts w:hint="eastAsia" w:ascii="宋体" w:hAnsi="宋体" w:eastAsia="宋体" w:cs="宋体"/>
                <w:color w:val="auto"/>
                <w:szCs w:val="21"/>
                <w:lang w:eastAsia="zh-CN"/>
              </w:rPr>
              <w:t>）</w:t>
            </w:r>
          </w:p>
        </w:tc>
        <w:tc>
          <w:tcPr>
            <w:tcW w:w="577" w:type="pct"/>
            <w:tcBorders>
              <w:top w:val="single" w:color="000000" w:sz="4" w:space="0"/>
              <w:left w:val="single" w:color="000000" w:sz="4" w:space="0"/>
              <w:bottom w:val="single" w:color="000000" w:sz="8" w:space="0"/>
              <w:right w:val="single" w:color="000000" w:sz="4" w:space="0"/>
            </w:tcBorders>
            <w:tcMar>
              <w:top w:w="0" w:type="dxa"/>
              <w:left w:w="108" w:type="dxa"/>
              <w:bottom w:w="0" w:type="dxa"/>
              <w:right w:w="108" w:type="dxa"/>
            </w:tcMar>
            <w:vAlign w:val="center"/>
          </w:tcPr>
          <w:p w14:paraId="542A2C4F">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分项</w:t>
            </w:r>
          </w:p>
          <w:p w14:paraId="186500FF">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总价</w:t>
            </w:r>
          </w:p>
          <w:p w14:paraId="6AA012CB">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元</w:t>
            </w:r>
            <w:r>
              <w:rPr>
                <w:rFonts w:hint="eastAsia" w:ascii="宋体" w:hAnsi="宋体" w:eastAsia="宋体" w:cs="宋体"/>
                <w:color w:val="auto"/>
                <w:szCs w:val="21"/>
                <w:lang w:eastAsia="zh-CN"/>
              </w:rPr>
              <w:t>）</w:t>
            </w:r>
          </w:p>
        </w:tc>
      </w:tr>
      <w:tr w14:paraId="547757A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427" w:hRule="atLeast"/>
        </w:trPr>
        <w:tc>
          <w:tcPr>
            <w:tcW w:w="225" w:type="pct"/>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2F66F7F5">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749" w:type="pct"/>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6403C641">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住院入口（服务大厅）扩建项目</w:t>
            </w:r>
          </w:p>
        </w:tc>
        <w:tc>
          <w:tcPr>
            <w:tcW w:w="1008" w:type="pct"/>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4ACC3172">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lang w:eastAsia="zh-CN"/>
              </w:rPr>
              <w:t>社会稳定风险评估报告及节能评估（承诺表）</w:t>
            </w:r>
          </w:p>
        </w:tc>
        <w:tc>
          <w:tcPr>
            <w:tcW w:w="613"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3E5EF328">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p>
        </w:tc>
        <w:tc>
          <w:tcPr>
            <w:tcW w:w="872"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6A18F57D">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合同签</w:t>
            </w:r>
          </w:p>
          <w:p w14:paraId="5E40DA64">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订后</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rPr>
              <w:t>日</w:t>
            </w:r>
          </w:p>
        </w:tc>
        <w:tc>
          <w:tcPr>
            <w:tcW w:w="353"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1D5B7876">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p>
        </w:tc>
        <w:tc>
          <w:tcPr>
            <w:tcW w:w="599"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5E866825">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p>
        </w:tc>
        <w:tc>
          <w:tcPr>
            <w:tcW w:w="577" w:type="pc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D1566C">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p>
        </w:tc>
      </w:tr>
      <w:tr w14:paraId="145A83A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406" w:hRule="atLeast"/>
        </w:trPr>
        <w:tc>
          <w:tcPr>
            <w:tcW w:w="225"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0264C9A6">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749"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7F55441B">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既有建筑改造项目</w:t>
            </w:r>
          </w:p>
        </w:tc>
        <w:tc>
          <w:tcPr>
            <w:tcW w:w="1008"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39295F61">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lang w:eastAsia="zh-CN"/>
              </w:rPr>
              <w:t>社会稳定风险评估报告及节能评估（承诺表）</w:t>
            </w:r>
          </w:p>
        </w:tc>
        <w:tc>
          <w:tcPr>
            <w:tcW w:w="613"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527D7CF8">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p>
        </w:tc>
        <w:tc>
          <w:tcPr>
            <w:tcW w:w="872"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32DC7EBB">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p>
        </w:tc>
        <w:tc>
          <w:tcPr>
            <w:tcW w:w="353"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2C32F88F">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p>
        </w:tc>
        <w:tc>
          <w:tcPr>
            <w:tcW w:w="599" w:type="pc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7479EAA0">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p>
        </w:tc>
        <w:tc>
          <w:tcPr>
            <w:tcW w:w="577" w:type="pc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A9A398A">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p>
        </w:tc>
      </w:tr>
      <w:tr w14:paraId="37E078E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37" w:hRule="atLeast"/>
        </w:trPr>
        <w:tc>
          <w:tcPr>
            <w:tcW w:w="5000" w:type="pct"/>
            <w:gridSpan w:val="8"/>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E143DE">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auto"/>
                <w:szCs w:val="21"/>
              </w:rPr>
            </w:pPr>
            <w:r>
              <w:rPr>
                <w:rFonts w:hint="eastAsia" w:ascii="宋体" w:hAnsi="宋体" w:eastAsia="宋体" w:cs="宋体"/>
                <w:color w:val="auto"/>
                <w:szCs w:val="21"/>
              </w:rPr>
              <w:t>总报价（人民币：元）</w:t>
            </w:r>
          </w:p>
          <w:p w14:paraId="1350F159">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auto"/>
                <w:szCs w:val="21"/>
              </w:rPr>
            </w:pPr>
            <w:r>
              <w:rPr>
                <w:rFonts w:hint="eastAsia" w:ascii="宋体" w:hAnsi="宋体" w:eastAsia="宋体" w:cs="宋体"/>
                <w:color w:val="auto"/>
                <w:szCs w:val="21"/>
              </w:rPr>
              <w:t> </w:t>
            </w:r>
          </w:p>
        </w:tc>
      </w:tr>
    </w:tbl>
    <w:p w14:paraId="330CE133">
      <w:pPr>
        <w:spacing w:line="360" w:lineRule="auto"/>
        <w:rPr>
          <w:rFonts w:ascii="宋体" w:hAnsi="宋体" w:cs="宋体"/>
          <w:bCs/>
          <w:color w:val="auto"/>
          <w:szCs w:val="21"/>
        </w:rPr>
      </w:pPr>
      <w:r>
        <w:rPr>
          <w:rFonts w:hint="eastAsia" w:ascii="宋体" w:hAnsi="宋体" w:cs="宋体"/>
          <w:bCs/>
          <w:color w:val="auto"/>
          <w:szCs w:val="21"/>
        </w:rPr>
        <w:t>法定代表人或授权代表（签字或盖章）：</w:t>
      </w:r>
    </w:p>
    <w:p w14:paraId="326C88CD">
      <w:pPr>
        <w:spacing w:line="360" w:lineRule="auto"/>
        <w:rPr>
          <w:rFonts w:ascii="宋体" w:hAnsi="宋体" w:cs="宋体"/>
          <w:bCs/>
          <w:color w:val="auto"/>
          <w:szCs w:val="21"/>
        </w:rPr>
      </w:pPr>
      <w:r>
        <w:rPr>
          <w:rFonts w:hint="eastAsia" w:ascii="宋体" w:hAnsi="宋体" w:cs="宋体"/>
          <w:bCs/>
          <w:color w:val="auto"/>
          <w:szCs w:val="21"/>
        </w:rPr>
        <w:t>磋商供应商全称（盖章）：</w:t>
      </w:r>
    </w:p>
    <w:p w14:paraId="6FFD4BBE">
      <w:pPr>
        <w:spacing w:line="360" w:lineRule="auto"/>
        <w:rPr>
          <w:rFonts w:ascii="宋体" w:hAnsi="宋体" w:cs="宋体"/>
          <w:bCs/>
          <w:color w:val="auto"/>
          <w:szCs w:val="21"/>
        </w:rPr>
      </w:pPr>
      <w:r>
        <w:rPr>
          <w:rFonts w:hint="eastAsia" w:ascii="宋体" w:hAnsi="宋体" w:cs="宋体"/>
          <w:bCs/>
          <w:color w:val="auto"/>
          <w:szCs w:val="21"/>
        </w:rPr>
        <w:t>日   期：  年   月  日</w:t>
      </w:r>
    </w:p>
    <w:p w14:paraId="32CD4262">
      <w:pPr>
        <w:pBdr>
          <w:top w:val="none" w:color="000000" w:sz="0" w:space="0"/>
          <w:left w:val="none" w:color="000000" w:sz="0" w:space="0"/>
          <w:bottom w:val="none" w:color="000000" w:sz="0" w:space="0"/>
          <w:right w:val="none" w:color="000000" w:sz="0" w:space="0"/>
        </w:pBdr>
        <w:spacing w:line="360" w:lineRule="auto"/>
        <w:rPr>
          <w:rFonts w:ascii="宋体" w:hAnsi="宋体" w:cs="宋体"/>
          <w:color w:val="auto"/>
          <w:szCs w:val="21"/>
        </w:rPr>
      </w:pPr>
      <w:r>
        <w:rPr>
          <w:rFonts w:hint="eastAsia" w:ascii="宋体" w:hAnsi="宋体" w:cs="宋体"/>
          <w:color w:val="auto"/>
          <w:szCs w:val="21"/>
        </w:rPr>
        <w:t xml:space="preserve">备注： </w:t>
      </w:r>
    </w:p>
    <w:p w14:paraId="02C024F2">
      <w:pPr>
        <w:pBdr>
          <w:top w:val="none" w:color="000000" w:sz="0" w:space="0"/>
          <w:left w:val="none" w:color="000000" w:sz="0" w:space="0"/>
          <w:bottom w:val="none" w:color="000000" w:sz="0" w:space="0"/>
          <w:right w:val="none" w:color="000000" w:sz="0" w:space="0"/>
        </w:pBdr>
        <w:spacing w:line="360" w:lineRule="auto"/>
        <w:rPr>
          <w:rFonts w:ascii="宋体" w:hAnsi="宋体" w:cs="宋体"/>
          <w:color w:val="auto"/>
          <w:szCs w:val="21"/>
        </w:rPr>
      </w:pPr>
      <w:r>
        <w:rPr>
          <w:rFonts w:hint="eastAsia" w:ascii="宋体" w:hAnsi="宋体" w:cs="宋体"/>
          <w:color w:val="auto"/>
          <w:szCs w:val="21"/>
        </w:rPr>
        <w:t>1.根据本项目所涉及的</w:t>
      </w:r>
      <w:r>
        <w:rPr>
          <w:rFonts w:hint="eastAsia" w:ascii="宋体" w:hAnsi="宋体" w:cs="宋体"/>
          <w:color w:val="auto"/>
          <w:szCs w:val="21"/>
          <w:lang w:val="en-US" w:eastAsia="zh-CN"/>
        </w:rPr>
        <w:t>二</w:t>
      </w:r>
      <w:r>
        <w:rPr>
          <w:rFonts w:hint="eastAsia" w:ascii="宋体" w:hAnsi="宋体" w:cs="宋体"/>
          <w:color w:val="auto"/>
          <w:szCs w:val="21"/>
        </w:rPr>
        <w:t>个子项目，各分项报价之和等于总报价，总报价不得超过本项目最高限价。</w:t>
      </w:r>
    </w:p>
    <w:p w14:paraId="13EAD37C">
      <w:pPr>
        <w:pBdr>
          <w:top w:val="none" w:color="000000" w:sz="0" w:space="0"/>
          <w:left w:val="none" w:color="000000" w:sz="0" w:space="0"/>
          <w:bottom w:val="none" w:color="000000" w:sz="0" w:space="0"/>
          <w:right w:val="none" w:color="000000" w:sz="0" w:space="0"/>
        </w:pBdr>
        <w:spacing w:line="360" w:lineRule="auto"/>
        <w:rPr>
          <w:rFonts w:ascii="宋体" w:hAnsi="宋体" w:cs="宋体"/>
          <w:color w:val="auto"/>
          <w:szCs w:val="21"/>
        </w:rPr>
      </w:pPr>
      <w:r>
        <w:rPr>
          <w:rFonts w:hint="eastAsia" w:ascii="宋体" w:hAnsi="宋体" w:cs="宋体"/>
          <w:color w:val="auto"/>
          <w:szCs w:val="21"/>
        </w:rPr>
        <w:t>2.供应商可以根据项目实际需要对表格结构进行调整。</w:t>
      </w:r>
    </w:p>
    <w:p w14:paraId="4DB697EB">
      <w:pPr>
        <w:spacing w:line="360" w:lineRule="auto"/>
        <w:jc w:val="center"/>
        <w:rPr>
          <w:rFonts w:ascii="宋体" w:hAnsi="宋体" w:cs="宋体"/>
          <w:b/>
          <w:color w:val="auto"/>
          <w:kern w:val="1"/>
          <w:szCs w:val="21"/>
        </w:rPr>
      </w:pPr>
      <w:r>
        <w:rPr>
          <w:rFonts w:hint="eastAsia" w:ascii="宋体" w:hAnsi="宋体" w:cs="宋体"/>
          <w:b/>
          <w:color w:val="auto"/>
          <w:szCs w:val="21"/>
        </w:rPr>
        <w:br w:type="page"/>
      </w:r>
      <w:r>
        <w:rPr>
          <w:rFonts w:hint="eastAsia" w:ascii="宋体" w:hAnsi="宋体" w:cs="宋体"/>
          <w:b/>
          <w:color w:val="auto"/>
          <w:sz w:val="24"/>
        </w:rPr>
        <w:t>七、响应偏离表</w:t>
      </w:r>
    </w:p>
    <w:p w14:paraId="5CFE1B74">
      <w:pPr>
        <w:pStyle w:val="16"/>
        <w:spacing w:line="360" w:lineRule="auto"/>
        <w:rPr>
          <w:rFonts w:ascii="宋体" w:hAnsi="宋体" w:cs="宋体"/>
          <w:color w:val="auto"/>
          <w:sz w:val="21"/>
          <w:szCs w:val="21"/>
        </w:rPr>
      </w:pPr>
      <w:r>
        <w:rPr>
          <w:rFonts w:hint="eastAsia" w:ascii="宋体" w:hAnsi="宋体" w:cs="宋体"/>
          <w:color w:val="auto"/>
          <w:sz w:val="21"/>
          <w:szCs w:val="21"/>
        </w:rPr>
        <w:t>项目名称：</w:t>
      </w:r>
    </w:p>
    <w:p w14:paraId="26E06A94">
      <w:pPr>
        <w:spacing w:line="360" w:lineRule="auto"/>
        <w:rPr>
          <w:rFonts w:ascii="宋体" w:hAnsi="宋体" w:cs="宋体"/>
          <w:color w:val="auto"/>
          <w:szCs w:val="21"/>
        </w:rPr>
      </w:pPr>
      <w:r>
        <w:rPr>
          <w:rFonts w:hint="eastAsia" w:ascii="宋体" w:hAnsi="宋体" w:cs="宋体"/>
          <w:color w:val="auto"/>
          <w:szCs w:val="21"/>
        </w:rPr>
        <w:t>项目编号：</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325"/>
        <w:gridCol w:w="1642"/>
        <w:gridCol w:w="1642"/>
        <w:gridCol w:w="1643"/>
        <w:gridCol w:w="1643"/>
      </w:tblGrid>
      <w:tr w14:paraId="0624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59" w:type="dxa"/>
            <w:noWrap/>
            <w:vAlign w:val="center"/>
          </w:tcPr>
          <w:p w14:paraId="77B7DBF2">
            <w:pPr>
              <w:spacing w:line="360" w:lineRule="auto"/>
              <w:jc w:val="center"/>
              <w:rPr>
                <w:rFonts w:ascii="宋体" w:hAnsi="宋体" w:cs="宋体"/>
                <w:color w:val="auto"/>
                <w:szCs w:val="21"/>
              </w:rPr>
            </w:pPr>
            <w:r>
              <w:rPr>
                <w:rFonts w:hint="eastAsia" w:ascii="宋体" w:hAnsi="宋体" w:cs="宋体"/>
                <w:color w:val="auto"/>
                <w:szCs w:val="21"/>
              </w:rPr>
              <w:t>序号</w:t>
            </w:r>
          </w:p>
        </w:tc>
        <w:tc>
          <w:tcPr>
            <w:tcW w:w="2325" w:type="dxa"/>
            <w:noWrap/>
            <w:vAlign w:val="center"/>
          </w:tcPr>
          <w:p w14:paraId="37D42810">
            <w:pPr>
              <w:spacing w:line="360" w:lineRule="auto"/>
              <w:jc w:val="center"/>
              <w:rPr>
                <w:rFonts w:ascii="宋体" w:hAnsi="宋体" w:cs="宋体"/>
                <w:color w:val="auto"/>
                <w:szCs w:val="21"/>
              </w:rPr>
            </w:pPr>
            <w:r>
              <w:rPr>
                <w:rFonts w:hint="eastAsia" w:ascii="宋体" w:hAnsi="宋体" w:cs="宋体"/>
                <w:color w:val="auto"/>
                <w:szCs w:val="21"/>
              </w:rPr>
              <w:t>名称</w:t>
            </w:r>
          </w:p>
        </w:tc>
        <w:tc>
          <w:tcPr>
            <w:tcW w:w="1642" w:type="dxa"/>
            <w:noWrap/>
            <w:vAlign w:val="center"/>
          </w:tcPr>
          <w:p w14:paraId="12F7D1B8">
            <w:pPr>
              <w:spacing w:line="360" w:lineRule="auto"/>
              <w:jc w:val="center"/>
              <w:rPr>
                <w:rFonts w:ascii="宋体" w:hAnsi="宋体" w:cs="宋体"/>
                <w:color w:val="auto"/>
                <w:szCs w:val="21"/>
              </w:rPr>
            </w:pPr>
            <w:r>
              <w:rPr>
                <w:rFonts w:hint="eastAsia" w:ascii="宋体" w:hAnsi="宋体" w:cs="宋体"/>
                <w:color w:val="auto"/>
                <w:szCs w:val="21"/>
              </w:rPr>
              <w:t>磋商要求</w:t>
            </w:r>
          </w:p>
        </w:tc>
        <w:tc>
          <w:tcPr>
            <w:tcW w:w="1642" w:type="dxa"/>
            <w:noWrap/>
            <w:vAlign w:val="center"/>
          </w:tcPr>
          <w:p w14:paraId="15C996F8">
            <w:pPr>
              <w:spacing w:line="360" w:lineRule="auto"/>
              <w:jc w:val="center"/>
              <w:rPr>
                <w:rFonts w:ascii="宋体" w:hAnsi="宋体" w:cs="宋体"/>
                <w:color w:val="auto"/>
                <w:szCs w:val="21"/>
              </w:rPr>
            </w:pPr>
            <w:r>
              <w:rPr>
                <w:rFonts w:hint="eastAsia" w:ascii="宋体" w:hAnsi="宋体" w:cs="宋体"/>
                <w:color w:val="auto"/>
                <w:szCs w:val="21"/>
              </w:rPr>
              <w:t>响应承诺</w:t>
            </w:r>
          </w:p>
        </w:tc>
        <w:tc>
          <w:tcPr>
            <w:tcW w:w="1643" w:type="dxa"/>
            <w:noWrap/>
            <w:vAlign w:val="center"/>
          </w:tcPr>
          <w:p w14:paraId="1A1042A1">
            <w:pPr>
              <w:spacing w:line="360" w:lineRule="auto"/>
              <w:jc w:val="center"/>
              <w:rPr>
                <w:rFonts w:ascii="宋体" w:hAnsi="宋体" w:cs="宋体"/>
                <w:color w:val="auto"/>
                <w:szCs w:val="21"/>
              </w:rPr>
            </w:pPr>
            <w:r>
              <w:rPr>
                <w:rFonts w:hint="eastAsia" w:ascii="宋体" w:hAnsi="宋体" w:cs="宋体"/>
                <w:color w:val="auto"/>
                <w:szCs w:val="21"/>
              </w:rPr>
              <w:t>偏离</w:t>
            </w:r>
          </w:p>
        </w:tc>
        <w:tc>
          <w:tcPr>
            <w:tcW w:w="1643" w:type="dxa"/>
            <w:noWrap/>
            <w:vAlign w:val="center"/>
          </w:tcPr>
          <w:p w14:paraId="23396220">
            <w:pPr>
              <w:spacing w:line="360" w:lineRule="auto"/>
              <w:jc w:val="center"/>
              <w:rPr>
                <w:rFonts w:ascii="宋体" w:hAnsi="宋体" w:cs="宋体"/>
                <w:color w:val="auto"/>
                <w:szCs w:val="21"/>
              </w:rPr>
            </w:pPr>
            <w:r>
              <w:rPr>
                <w:rFonts w:hint="eastAsia" w:ascii="宋体" w:hAnsi="宋体" w:cs="宋体"/>
                <w:color w:val="auto"/>
                <w:szCs w:val="21"/>
              </w:rPr>
              <w:t>说明</w:t>
            </w:r>
          </w:p>
        </w:tc>
      </w:tr>
      <w:tr w14:paraId="03D4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59" w:type="dxa"/>
            <w:noWrap/>
          </w:tcPr>
          <w:p w14:paraId="57B31776">
            <w:pPr>
              <w:spacing w:line="360" w:lineRule="auto"/>
              <w:rPr>
                <w:rFonts w:ascii="宋体" w:hAnsi="宋体" w:cs="宋体"/>
                <w:color w:val="auto"/>
                <w:szCs w:val="21"/>
              </w:rPr>
            </w:pPr>
          </w:p>
        </w:tc>
        <w:tc>
          <w:tcPr>
            <w:tcW w:w="2325" w:type="dxa"/>
            <w:noWrap/>
            <w:vAlign w:val="center"/>
          </w:tcPr>
          <w:p w14:paraId="2BC5F986">
            <w:pPr>
              <w:spacing w:line="360" w:lineRule="auto"/>
              <w:jc w:val="center"/>
              <w:rPr>
                <w:rFonts w:ascii="宋体" w:hAnsi="宋体" w:cs="宋体"/>
                <w:color w:val="auto"/>
                <w:szCs w:val="21"/>
              </w:rPr>
            </w:pPr>
            <w:r>
              <w:rPr>
                <w:rFonts w:hint="eastAsia" w:ascii="宋体" w:hAnsi="宋体" w:cs="宋体"/>
                <w:color w:val="auto"/>
                <w:szCs w:val="21"/>
              </w:rPr>
              <w:t>合同履行期限</w:t>
            </w:r>
          </w:p>
        </w:tc>
        <w:tc>
          <w:tcPr>
            <w:tcW w:w="1642" w:type="dxa"/>
            <w:noWrap/>
          </w:tcPr>
          <w:p w14:paraId="6BA12006">
            <w:pPr>
              <w:spacing w:line="360" w:lineRule="auto"/>
              <w:rPr>
                <w:rFonts w:ascii="宋体" w:hAnsi="宋体" w:cs="宋体"/>
                <w:color w:val="auto"/>
                <w:szCs w:val="21"/>
              </w:rPr>
            </w:pPr>
          </w:p>
        </w:tc>
        <w:tc>
          <w:tcPr>
            <w:tcW w:w="1642" w:type="dxa"/>
            <w:noWrap/>
          </w:tcPr>
          <w:p w14:paraId="74765A5D">
            <w:pPr>
              <w:spacing w:line="360" w:lineRule="auto"/>
              <w:rPr>
                <w:rFonts w:ascii="宋体" w:hAnsi="宋体" w:cs="宋体"/>
                <w:color w:val="auto"/>
                <w:szCs w:val="21"/>
              </w:rPr>
            </w:pPr>
          </w:p>
        </w:tc>
        <w:tc>
          <w:tcPr>
            <w:tcW w:w="1643" w:type="dxa"/>
            <w:noWrap/>
          </w:tcPr>
          <w:p w14:paraId="1FC55055">
            <w:pPr>
              <w:spacing w:line="360" w:lineRule="auto"/>
              <w:rPr>
                <w:rFonts w:ascii="宋体" w:hAnsi="宋体" w:cs="宋体"/>
                <w:color w:val="auto"/>
                <w:szCs w:val="21"/>
              </w:rPr>
            </w:pPr>
          </w:p>
        </w:tc>
        <w:tc>
          <w:tcPr>
            <w:tcW w:w="1643" w:type="dxa"/>
            <w:noWrap/>
          </w:tcPr>
          <w:p w14:paraId="3AEFE854">
            <w:pPr>
              <w:spacing w:line="360" w:lineRule="auto"/>
              <w:rPr>
                <w:rFonts w:ascii="宋体" w:hAnsi="宋体" w:cs="宋体"/>
                <w:color w:val="auto"/>
                <w:szCs w:val="21"/>
              </w:rPr>
            </w:pPr>
          </w:p>
        </w:tc>
      </w:tr>
      <w:tr w14:paraId="0AF9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59" w:type="dxa"/>
            <w:noWrap/>
          </w:tcPr>
          <w:p w14:paraId="36EEF9CF">
            <w:pPr>
              <w:spacing w:line="360" w:lineRule="auto"/>
              <w:rPr>
                <w:rFonts w:ascii="宋体" w:hAnsi="宋体" w:cs="宋体"/>
                <w:color w:val="auto"/>
                <w:szCs w:val="21"/>
              </w:rPr>
            </w:pPr>
          </w:p>
        </w:tc>
        <w:tc>
          <w:tcPr>
            <w:tcW w:w="2325" w:type="dxa"/>
            <w:noWrap/>
            <w:vAlign w:val="center"/>
          </w:tcPr>
          <w:p w14:paraId="2011274B">
            <w:pPr>
              <w:spacing w:line="360" w:lineRule="auto"/>
              <w:jc w:val="center"/>
              <w:rPr>
                <w:rFonts w:ascii="宋体" w:hAnsi="宋体" w:cs="宋体"/>
                <w:color w:val="auto"/>
                <w:szCs w:val="21"/>
              </w:rPr>
            </w:pPr>
            <w:r>
              <w:rPr>
                <w:rFonts w:hint="eastAsia" w:ascii="宋体" w:hAnsi="宋体" w:cs="宋体"/>
                <w:color w:val="auto"/>
                <w:szCs w:val="21"/>
              </w:rPr>
              <w:t>服务地点</w:t>
            </w:r>
          </w:p>
        </w:tc>
        <w:tc>
          <w:tcPr>
            <w:tcW w:w="1642" w:type="dxa"/>
            <w:noWrap/>
          </w:tcPr>
          <w:p w14:paraId="220B70B9">
            <w:pPr>
              <w:spacing w:line="360" w:lineRule="auto"/>
              <w:rPr>
                <w:rFonts w:ascii="宋体" w:hAnsi="宋体" w:cs="宋体"/>
                <w:color w:val="auto"/>
                <w:szCs w:val="21"/>
              </w:rPr>
            </w:pPr>
          </w:p>
        </w:tc>
        <w:tc>
          <w:tcPr>
            <w:tcW w:w="1642" w:type="dxa"/>
            <w:noWrap/>
          </w:tcPr>
          <w:p w14:paraId="2520F3F7">
            <w:pPr>
              <w:spacing w:line="360" w:lineRule="auto"/>
              <w:rPr>
                <w:rFonts w:ascii="宋体" w:hAnsi="宋体" w:cs="宋体"/>
                <w:color w:val="auto"/>
                <w:szCs w:val="21"/>
              </w:rPr>
            </w:pPr>
          </w:p>
        </w:tc>
        <w:tc>
          <w:tcPr>
            <w:tcW w:w="1643" w:type="dxa"/>
            <w:noWrap/>
          </w:tcPr>
          <w:p w14:paraId="38A8BF02">
            <w:pPr>
              <w:spacing w:line="360" w:lineRule="auto"/>
              <w:rPr>
                <w:rFonts w:ascii="宋体" w:hAnsi="宋体" w:cs="宋体"/>
                <w:color w:val="auto"/>
                <w:szCs w:val="21"/>
              </w:rPr>
            </w:pPr>
          </w:p>
        </w:tc>
        <w:tc>
          <w:tcPr>
            <w:tcW w:w="1643" w:type="dxa"/>
            <w:noWrap/>
          </w:tcPr>
          <w:p w14:paraId="6B60062E">
            <w:pPr>
              <w:spacing w:line="360" w:lineRule="auto"/>
              <w:rPr>
                <w:rFonts w:ascii="宋体" w:hAnsi="宋体" w:cs="宋体"/>
                <w:color w:val="auto"/>
                <w:szCs w:val="21"/>
              </w:rPr>
            </w:pPr>
          </w:p>
        </w:tc>
      </w:tr>
      <w:tr w14:paraId="22C2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59" w:type="dxa"/>
            <w:noWrap/>
          </w:tcPr>
          <w:p w14:paraId="313C6692">
            <w:pPr>
              <w:spacing w:line="360" w:lineRule="auto"/>
              <w:rPr>
                <w:rFonts w:ascii="宋体" w:hAnsi="宋体" w:cs="宋体"/>
                <w:color w:val="auto"/>
                <w:szCs w:val="21"/>
              </w:rPr>
            </w:pPr>
          </w:p>
        </w:tc>
        <w:tc>
          <w:tcPr>
            <w:tcW w:w="2325" w:type="dxa"/>
            <w:noWrap/>
            <w:vAlign w:val="center"/>
          </w:tcPr>
          <w:p w14:paraId="249AC060">
            <w:pPr>
              <w:spacing w:line="360" w:lineRule="auto"/>
              <w:jc w:val="center"/>
              <w:rPr>
                <w:rFonts w:ascii="宋体" w:hAnsi="宋体" w:cs="宋体"/>
                <w:color w:val="auto"/>
                <w:szCs w:val="21"/>
              </w:rPr>
            </w:pPr>
            <w:r>
              <w:rPr>
                <w:rFonts w:hint="eastAsia" w:ascii="宋体" w:hAnsi="宋体" w:cs="宋体"/>
                <w:color w:val="auto"/>
                <w:szCs w:val="21"/>
              </w:rPr>
              <w:t>服务要求</w:t>
            </w:r>
          </w:p>
        </w:tc>
        <w:tc>
          <w:tcPr>
            <w:tcW w:w="1642" w:type="dxa"/>
            <w:noWrap/>
          </w:tcPr>
          <w:p w14:paraId="771884A0">
            <w:pPr>
              <w:spacing w:line="360" w:lineRule="auto"/>
              <w:rPr>
                <w:rFonts w:ascii="宋体" w:hAnsi="宋体" w:cs="宋体"/>
                <w:color w:val="auto"/>
                <w:szCs w:val="21"/>
              </w:rPr>
            </w:pPr>
          </w:p>
        </w:tc>
        <w:tc>
          <w:tcPr>
            <w:tcW w:w="1642" w:type="dxa"/>
            <w:noWrap/>
          </w:tcPr>
          <w:p w14:paraId="3C73474B">
            <w:pPr>
              <w:spacing w:line="360" w:lineRule="auto"/>
              <w:rPr>
                <w:rFonts w:ascii="宋体" w:hAnsi="宋体" w:cs="宋体"/>
                <w:color w:val="auto"/>
                <w:szCs w:val="21"/>
              </w:rPr>
            </w:pPr>
          </w:p>
        </w:tc>
        <w:tc>
          <w:tcPr>
            <w:tcW w:w="1643" w:type="dxa"/>
            <w:noWrap/>
          </w:tcPr>
          <w:p w14:paraId="3E3AC039">
            <w:pPr>
              <w:spacing w:line="360" w:lineRule="auto"/>
              <w:rPr>
                <w:rFonts w:ascii="宋体" w:hAnsi="宋体" w:cs="宋体"/>
                <w:color w:val="auto"/>
                <w:szCs w:val="21"/>
              </w:rPr>
            </w:pPr>
          </w:p>
        </w:tc>
        <w:tc>
          <w:tcPr>
            <w:tcW w:w="1643" w:type="dxa"/>
            <w:noWrap/>
          </w:tcPr>
          <w:p w14:paraId="00902753">
            <w:pPr>
              <w:spacing w:line="360" w:lineRule="auto"/>
              <w:rPr>
                <w:rFonts w:ascii="宋体" w:hAnsi="宋体" w:cs="宋体"/>
                <w:color w:val="auto"/>
                <w:szCs w:val="21"/>
              </w:rPr>
            </w:pPr>
          </w:p>
        </w:tc>
      </w:tr>
      <w:tr w14:paraId="7F03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59" w:type="dxa"/>
            <w:noWrap/>
          </w:tcPr>
          <w:p w14:paraId="34FD91DB">
            <w:pPr>
              <w:spacing w:line="360" w:lineRule="auto"/>
              <w:rPr>
                <w:rFonts w:ascii="宋体" w:hAnsi="宋体" w:cs="宋体"/>
                <w:color w:val="auto"/>
                <w:szCs w:val="21"/>
              </w:rPr>
            </w:pPr>
          </w:p>
        </w:tc>
        <w:tc>
          <w:tcPr>
            <w:tcW w:w="2325" w:type="dxa"/>
            <w:noWrap/>
            <w:vAlign w:val="center"/>
          </w:tcPr>
          <w:p w14:paraId="60C44709">
            <w:pPr>
              <w:spacing w:line="360" w:lineRule="auto"/>
              <w:jc w:val="center"/>
              <w:rPr>
                <w:rFonts w:ascii="宋体" w:hAnsi="宋体" w:cs="宋体"/>
                <w:color w:val="auto"/>
                <w:szCs w:val="21"/>
              </w:rPr>
            </w:pPr>
            <w:r>
              <w:rPr>
                <w:rFonts w:hint="eastAsia" w:ascii="宋体" w:hAnsi="宋体" w:cs="宋体"/>
                <w:color w:val="auto"/>
                <w:szCs w:val="21"/>
              </w:rPr>
              <w:t>服务标准</w:t>
            </w:r>
          </w:p>
        </w:tc>
        <w:tc>
          <w:tcPr>
            <w:tcW w:w="1642" w:type="dxa"/>
            <w:noWrap/>
          </w:tcPr>
          <w:p w14:paraId="1CD244E4">
            <w:pPr>
              <w:spacing w:line="360" w:lineRule="auto"/>
              <w:rPr>
                <w:rFonts w:ascii="宋体" w:hAnsi="宋体" w:cs="宋体"/>
                <w:color w:val="auto"/>
                <w:szCs w:val="21"/>
              </w:rPr>
            </w:pPr>
          </w:p>
        </w:tc>
        <w:tc>
          <w:tcPr>
            <w:tcW w:w="1642" w:type="dxa"/>
            <w:noWrap/>
          </w:tcPr>
          <w:p w14:paraId="4DEA5B28">
            <w:pPr>
              <w:spacing w:line="360" w:lineRule="auto"/>
              <w:rPr>
                <w:rFonts w:ascii="宋体" w:hAnsi="宋体" w:cs="宋体"/>
                <w:color w:val="auto"/>
                <w:szCs w:val="21"/>
              </w:rPr>
            </w:pPr>
          </w:p>
        </w:tc>
        <w:tc>
          <w:tcPr>
            <w:tcW w:w="1643" w:type="dxa"/>
            <w:noWrap/>
          </w:tcPr>
          <w:p w14:paraId="722109E4">
            <w:pPr>
              <w:spacing w:line="360" w:lineRule="auto"/>
              <w:rPr>
                <w:rFonts w:ascii="宋体" w:hAnsi="宋体" w:cs="宋体"/>
                <w:color w:val="auto"/>
                <w:szCs w:val="21"/>
              </w:rPr>
            </w:pPr>
          </w:p>
        </w:tc>
        <w:tc>
          <w:tcPr>
            <w:tcW w:w="1643" w:type="dxa"/>
            <w:noWrap/>
          </w:tcPr>
          <w:p w14:paraId="4788D74C">
            <w:pPr>
              <w:spacing w:line="360" w:lineRule="auto"/>
              <w:rPr>
                <w:rFonts w:ascii="宋体" w:hAnsi="宋体" w:cs="宋体"/>
                <w:color w:val="auto"/>
                <w:szCs w:val="21"/>
              </w:rPr>
            </w:pPr>
          </w:p>
        </w:tc>
      </w:tr>
      <w:tr w14:paraId="37DA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59" w:type="dxa"/>
            <w:noWrap/>
          </w:tcPr>
          <w:p w14:paraId="7A89421F">
            <w:pPr>
              <w:spacing w:line="360" w:lineRule="auto"/>
              <w:rPr>
                <w:rFonts w:ascii="宋体" w:hAnsi="宋体" w:cs="宋体"/>
                <w:color w:val="auto"/>
                <w:szCs w:val="21"/>
              </w:rPr>
            </w:pPr>
          </w:p>
        </w:tc>
        <w:tc>
          <w:tcPr>
            <w:tcW w:w="2325" w:type="dxa"/>
            <w:noWrap/>
            <w:vAlign w:val="center"/>
          </w:tcPr>
          <w:p w14:paraId="648706CD">
            <w:pPr>
              <w:spacing w:line="360" w:lineRule="auto"/>
              <w:jc w:val="center"/>
              <w:rPr>
                <w:rFonts w:ascii="宋体" w:hAnsi="宋体" w:cs="宋体"/>
                <w:color w:val="auto"/>
                <w:szCs w:val="21"/>
              </w:rPr>
            </w:pPr>
            <w:r>
              <w:rPr>
                <w:rFonts w:hint="eastAsia" w:ascii="宋体" w:hAnsi="宋体" w:cs="宋体"/>
                <w:color w:val="auto"/>
                <w:szCs w:val="21"/>
              </w:rPr>
              <w:t>付款方式</w:t>
            </w:r>
          </w:p>
        </w:tc>
        <w:tc>
          <w:tcPr>
            <w:tcW w:w="1642" w:type="dxa"/>
            <w:noWrap/>
          </w:tcPr>
          <w:p w14:paraId="3EF0EC03">
            <w:pPr>
              <w:spacing w:line="360" w:lineRule="auto"/>
              <w:rPr>
                <w:rFonts w:ascii="宋体" w:hAnsi="宋体" w:cs="宋体"/>
                <w:color w:val="auto"/>
                <w:szCs w:val="21"/>
              </w:rPr>
            </w:pPr>
          </w:p>
        </w:tc>
        <w:tc>
          <w:tcPr>
            <w:tcW w:w="1642" w:type="dxa"/>
            <w:noWrap/>
          </w:tcPr>
          <w:p w14:paraId="13DC9EDA">
            <w:pPr>
              <w:spacing w:line="360" w:lineRule="auto"/>
              <w:rPr>
                <w:rFonts w:ascii="宋体" w:hAnsi="宋体" w:cs="宋体"/>
                <w:color w:val="auto"/>
                <w:szCs w:val="21"/>
              </w:rPr>
            </w:pPr>
          </w:p>
        </w:tc>
        <w:tc>
          <w:tcPr>
            <w:tcW w:w="1643" w:type="dxa"/>
            <w:noWrap/>
          </w:tcPr>
          <w:p w14:paraId="2BB71BE1">
            <w:pPr>
              <w:spacing w:line="360" w:lineRule="auto"/>
              <w:rPr>
                <w:rFonts w:ascii="宋体" w:hAnsi="宋体" w:cs="宋体"/>
                <w:color w:val="auto"/>
                <w:szCs w:val="21"/>
              </w:rPr>
            </w:pPr>
          </w:p>
        </w:tc>
        <w:tc>
          <w:tcPr>
            <w:tcW w:w="1643" w:type="dxa"/>
            <w:noWrap/>
          </w:tcPr>
          <w:p w14:paraId="4A95532B">
            <w:pPr>
              <w:spacing w:line="360" w:lineRule="auto"/>
              <w:rPr>
                <w:rFonts w:ascii="宋体" w:hAnsi="宋体" w:cs="宋体"/>
                <w:color w:val="auto"/>
                <w:szCs w:val="21"/>
              </w:rPr>
            </w:pPr>
          </w:p>
        </w:tc>
      </w:tr>
      <w:tr w14:paraId="27C1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59" w:type="dxa"/>
            <w:noWrap/>
          </w:tcPr>
          <w:p w14:paraId="75111FE9">
            <w:pPr>
              <w:spacing w:line="360" w:lineRule="auto"/>
              <w:rPr>
                <w:rFonts w:ascii="宋体" w:hAnsi="宋体" w:cs="宋体"/>
                <w:color w:val="auto"/>
                <w:szCs w:val="21"/>
              </w:rPr>
            </w:pPr>
          </w:p>
        </w:tc>
        <w:tc>
          <w:tcPr>
            <w:tcW w:w="2325" w:type="dxa"/>
            <w:noWrap/>
            <w:vAlign w:val="center"/>
          </w:tcPr>
          <w:p w14:paraId="062199AF">
            <w:pPr>
              <w:spacing w:line="360" w:lineRule="auto"/>
              <w:jc w:val="center"/>
              <w:rPr>
                <w:rFonts w:ascii="宋体" w:hAnsi="宋体" w:cs="宋体"/>
                <w:color w:val="auto"/>
                <w:szCs w:val="21"/>
              </w:rPr>
            </w:pPr>
            <w:r>
              <w:rPr>
                <w:rFonts w:hint="eastAsia" w:ascii="宋体" w:hAnsi="宋体" w:cs="宋体"/>
                <w:color w:val="auto"/>
                <w:szCs w:val="21"/>
              </w:rPr>
              <w:t xml:space="preserve">……    </w:t>
            </w:r>
          </w:p>
        </w:tc>
        <w:tc>
          <w:tcPr>
            <w:tcW w:w="1642" w:type="dxa"/>
            <w:noWrap/>
          </w:tcPr>
          <w:p w14:paraId="754E67E2">
            <w:pPr>
              <w:spacing w:line="360" w:lineRule="auto"/>
              <w:rPr>
                <w:rFonts w:ascii="宋体" w:hAnsi="宋体" w:cs="宋体"/>
                <w:color w:val="auto"/>
                <w:szCs w:val="21"/>
              </w:rPr>
            </w:pPr>
          </w:p>
        </w:tc>
        <w:tc>
          <w:tcPr>
            <w:tcW w:w="1642" w:type="dxa"/>
            <w:noWrap/>
          </w:tcPr>
          <w:p w14:paraId="62A5BBB0">
            <w:pPr>
              <w:spacing w:line="360" w:lineRule="auto"/>
              <w:rPr>
                <w:rFonts w:ascii="宋体" w:hAnsi="宋体" w:cs="宋体"/>
                <w:color w:val="auto"/>
                <w:szCs w:val="21"/>
              </w:rPr>
            </w:pPr>
          </w:p>
        </w:tc>
        <w:tc>
          <w:tcPr>
            <w:tcW w:w="1643" w:type="dxa"/>
            <w:noWrap/>
          </w:tcPr>
          <w:p w14:paraId="20E08FB9">
            <w:pPr>
              <w:spacing w:line="360" w:lineRule="auto"/>
              <w:rPr>
                <w:rFonts w:ascii="宋体" w:hAnsi="宋体" w:cs="宋体"/>
                <w:color w:val="auto"/>
                <w:szCs w:val="21"/>
              </w:rPr>
            </w:pPr>
          </w:p>
        </w:tc>
        <w:tc>
          <w:tcPr>
            <w:tcW w:w="1643" w:type="dxa"/>
            <w:noWrap/>
          </w:tcPr>
          <w:p w14:paraId="36977C95">
            <w:pPr>
              <w:spacing w:line="360" w:lineRule="auto"/>
              <w:rPr>
                <w:rFonts w:ascii="宋体" w:hAnsi="宋体" w:cs="宋体"/>
                <w:color w:val="auto"/>
                <w:szCs w:val="21"/>
              </w:rPr>
            </w:pPr>
          </w:p>
        </w:tc>
      </w:tr>
    </w:tbl>
    <w:p w14:paraId="4FCC8456">
      <w:pPr>
        <w:spacing w:line="360" w:lineRule="auto"/>
        <w:rPr>
          <w:rFonts w:ascii="宋体" w:hAnsi="宋体" w:cs="宋体"/>
          <w:bCs/>
          <w:color w:val="auto"/>
          <w:szCs w:val="21"/>
        </w:rPr>
      </w:pPr>
      <w:r>
        <w:rPr>
          <w:rFonts w:hint="eastAsia" w:ascii="宋体" w:hAnsi="宋体" w:cs="宋体"/>
          <w:bCs/>
          <w:color w:val="auto"/>
          <w:szCs w:val="21"/>
        </w:rPr>
        <w:t>法定代表人或授权代表（签字或盖章）：</w:t>
      </w:r>
    </w:p>
    <w:p w14:paraId="474C60B7">
      <w:pPr>
        <w:spacing w:line="360" w:lineRule="auto"/>
        <w:rPr>
          <w:rFonts w:ascii="宋体" w:hAnsi="宋体" w:cs="宋体"/>
          <w:bCs/>
          <w:color w:val="auto"/>
          <w:szCs w:val="21"/>
        </w:rPr>
      </w:pPr>
      <w:r>
        <w:rPr>
          <w:rFonts w:hint="eastAsia" w:ascii="宋体" w:hAnsi="宋体" w:cs="宋体"/>
          <w:bCs/>
          <w:color w:val="auto"/>
          <w:szCs w:val="21"/>
        </w:rPr>
        <w:t>磋商供应商全称（盖章）：</w:t>
      </w:r>
    </w:p>
    <w:p w14:paraId="6F77BB45">
      <w:pPr>
        <w:spacing w:line="360" w:lineRule="auto"/>
        <w:rPr>
          <w:rFonts w:ascii="宋体" w:hAnsi="宋体" w:cs="宋体"/>
          <w:bCs/>
          <w:color w:val="auto"/>
          <w:szCs w:val="21"/>
        </w:rPr>
      </w:pPr>
      <w:r>
        <w:rPr>
          <w:rFonts w:hint="eastAsia" w:ascii="宋体" w:hAnsi="宋体" w:cs="宋体"/>
          <w:bCs/>
          <w:color w:val="auto"/>
          <w:szCs w:val="21"/>
        </w:rPr>
        <w:t>日   期：  年   月  日</w:t>
      </w:r>
    </w:p>
    <w:p w14:paraId="4B8B8197">
      <w:pPr>
        <w:spacing w:line="360" w:lineRule="auto"/>
        <w:rPr>
          <w:rFonts w:ascii="宋体" w:hAnsi="宋体" w:cs="宋体"/>
          <w:b/>
          <w:color w:val="auto"/>
          <w:szCs w:val="21"/>
        </w:rPr>
      </w:pPr>
    </w:p>
    <w:p w14:paraId="0F88CD1C">
      <w:pPr>
        <w:spacing w:line="360" w:lineRule="auto"/>
        <w:rPr>
          <w:rFonts w:ascii="宋体" w:hAnsi="宋体" w:cs="宋体"/>
          <w:color w:val="auto"/>
          <w:szCs w:val="21"/>
        </w:rPr>
      </w:pPr>
      <w:r>
        <w:rPr>
          <w:rFonts w:hint="eastAsia" w:ascii="宋体" w:hAnsi="宋体" w:cs="宋体"/>
          <w:color w:val="auto"/>
          <w:szCs w:val="21"/>
        </w:rPr>
        <w:t>备注：</w:t>
      </w:r>
    </w:p>
    <w:p w14:paraId="6391956B">
      <w:pPr>
        <w:spacing w:line="360" w:lineRule="auto"/>
        <w:rPr>
          <w:rFonts w:ascii="宋体" w:hAnsi="宋体" w:cs="宋体"/>
          <w:color w:val="auto"/>
          <w:szCs w:val="21"/>
        </w:rPr>
      </w:pPr>
      <w:r>
        <w:rPr>
          <w:rFonts w:hint="eastAsia" w:ascii="宋体" w:hAnsi="宋体" w:cs="宋体"/>
          <w:color w:val="auto"/>
          <w:szCs w:val="21"/>
        </w:rPr>
        <w:t>1.供应商应按照磋商文件中要求的技术要求指标逐项、详细、真实的填写。行数不够可以添加，有具体参数的应填写详细参数，否则该响应文件可能被拒绝。</w:t>
      </w:r>
    </w:p>
    <w:p w14:paraId="56D47255">
      <w:pPr>
        <w:spacing w:line="360" w:lineRule="auto"/>
        <w:jc w:val="center"/>
        <w:rPr>
          <w:rFonts w:ascii="宋体" w:hAnsi="宋体" w:cs="宋体"/>
          <w:b/>
          <w:color w:val="auto"/>
          <w:sz w:val="24"/>
        </w:rPr>
      </w:pPr>
    </w:p>
    <w:p w14:paraId="498EA942">
      <w:pPr>
        <w:rPr>
          <w:rFonts w:ascii="宋体" w:hAnsi="宋体" w:cs="宋体"/>
          <w:b/>
          <w:color w:val="auto"/>
          <w:sz w:val="24"/>
        </w:rPr>
      </w:pPr>
      <w:r>
        <w:rPr>
          <w:rFonts w:hint="eastAsia" w:ascii="宋体" w:hAnsi="宋体" w:cs="宋体"/>
          <w:b/>
          <w:color w:val="auto"/>
          <w:sz w:val="24"/>
        </w:rPr>
        <w:br w:type="page"/>
      </w:r>
    </w:p>
    <w:p w14:paraId="473AC8B5">
      <w:pPr>
        <w:spacing w:line="360" w:lineRule="auto"/>
        <w:jc w:val="center"/>
        <w:rPr>
          <w:rFonts w:ascii="宋体" w:hAnsi="宋体" w:cs="宋体"/>
          <w:b/>
          <w:color w:val="auto"/>
          <w:sz w:val="24"/>
        </w:rPr>
      </w:pPr>
      <w:r>
        <w:rPr>
          <w:rFonts w:hint="eastAsia" w:ascii="宋体" w:hAnsi="宋体" w:cs="宋体"/>
          <w:b/>
          <w:color w:val="auto"/>
          <w:sz w:val="24"/>
        </w:rPr>
        <w:t>八、人员一览表</w:t>
      </w:r>
    </w:p>
    <w:p w14:paraId="5D9225BF">
      <w:pPr>
        <w:pStyle w:val="16"/>
        <w:spacing w:line="360" w:lineRule="auto"/>
        <w:rPr>
          <w:rFonts w:ascii="宋体" w:hAnsi="宋体" w:cs="宋体"/>
          <w:color w:val="auto"/>
          <w:sz w:val="21"/>
          <w:szCs w:val="21"/>
        </w:rPr>
      </w:pPr>
      <w:r>
        <w:rPr>
          <w:rFonts w:hint="eastAsia" w:ascii="宋体" w:hAnsi="宋体" w:cs="宋体"/>
          <w:color w:val="auto"/>
          <w:sz w:val="21"/>
          <w:szCs w:val="21"/>
        </w:rPr>
        <w:t>项目名称：</w:t>
      </w:r>
    </w:p>
    <w:p w14:paraId="06BD61BD">
      <w:pPr>
        <w:spacing w:line="360" w:lineRule="auto"/>
        <w:rPr>
          <w:rFonts w:ascii="宋体" w:hAnsi="宋体" w:cs="宋体"/>
          <w:color w:val="auto"/>
          <w:szCs w:val="21"/>
        </w:rPr>
      </w:pPr>
      <w:r>
        <w:rPr>
          <w:rFonts w:hint="eastAsia" w:ascii="宋体" w:hAnsi="宋体" w:cs="宋体"/>
          <w:color w:val="auto"/>
          <w:szCs w:val="21"/>
        </w:rPr>
        <w:t>项目编号：</w:t>
      </w:r>
    </w:p>
    <w:tbl>
      <w:tblPr>
        <w:tblStyle w:val="30"/>
        <w:tblW w:w="5089"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0"/>
        <w:gridCol w:w="1069"/>
        <w:gridCol w:w="968"/>
        <w:gridCol w:w="1879"/>
        <w:gridCol w:w="968"/>
        <w:gridCol w:w="968"/>
        <w:gridCol w:w="968"/>
        <w:gridCol w:w="816"/>
        <w:gridCol w:w="1529"/>
      </w:tblGrid>
      <w:tr w14:paraId="32D12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5" w:hRule="atLeast"/>
        </w:trPr>
        <w:tc>
          <w:tcPr>
            <w:tcW w:w="970" w:type="dxa"/>
            <w:noWrap/>
            <w:vAlign w:val="center"/>
          </w:tcPr>
          <w:p w14:paraId="5229C675">
            <w:pPr>
              <w:jc w:val="center"/>
              <w:rPr>
                <w:color w:val="auto"/>
                <w:szCs w:val="21"/>
              </w:rPr>
            </w:pPr>
            <w:r>
              <w:rPr>
                <w:rFonts w:hint="eastAsia"/>
                <w:color w:val="auto"/>
                <w:szCs w:val="21"/>
              </w:rPr>
              <w:t>序号</w:t>
            </w:r>
          </w:p>
        </w:tc>
        <w:tc>
          <w:tcPr>
            <w:tcW w:w="1069" w:type="dxa"/>
            <w:noWrap/>
            <w:vAlign w:val="center"/>
          </w:tcPr>
          <w:p w14:paraId="3EB5529B">
            <w:pPr>
              <w:jc w:val="center"/>
              <w:rPr>
                <w:color w:val="auto"/>
                <w:szCs w:val="21"/>
              </w:rPr>
            </w:pPr>
            <w:r>
              <w:rPr>
                <w:rFonts w:hint="eastAsia"/>
                <w:color w:val="auto"/>
                <w:szCs w:val="21"/>
              </w:rPr>
              <w:t>姓名</w:t>
            </w:r>
          </w:p>
        </w:tc>
        <w:tc>
          <w:tcPr>
            <w:tcW w:w="968" w:type="dxa"/>
            <w:noWrap/>
            <w:vAlign w:val="center"/>
          </w:tcPr>
          <w:p w14:paraId="525CD3C0">
            <w:pPr>
              <w:jc w:val="center"/>
              <w:rPr>
                <w:color w:val="auto"/>
                <w:szCs w:val="21"/>
              </w:rPr>
            </w:pPr>
            <w:r>
              <w:rPr>
                <w:rFonts w:hint="eastAsia"/>
                <w:color w:val="auto"/>
                <w:szCs w:val="21"/>
              </w:rPr>
              <w:t>岗位</w:t>
            </w:r>
          </w:p>
        </w:tc>
        <w:tc>
          <w:tcPr>
            <w:tcW w:w="1879" w:type="dxa"/>
            <w:noWrap/>
            <w:vAlign w:val="center"/>
          </w:tcPr>
          <w:p w14:paraId="2FEF2B9E">
            <w:pPr>
              <w:jc w:val="center"/>
              <w:rPr>
                <w:color w:val="auto"/>
                <w:szCs w:val="21"/>
              </w:rPr>
            </w:pPr>
            <w:r>
              <w:rPr>
                <w:rFonts w:hint="eastAsia"/>
                <w:color w:val="auto"/>
                <w:szCs w:val="21"/>
              </w:rPr>
              <w:t>身份证号码</w:t>
            </w:r>
          </w:p>
        </w:tc>
        <w:tc>
          <w:tcPr>
            <w:tcW w:w="968" w:type="dxa"/>
            <w:noWrap/>
            <w:vAlign w:val="center"/>
          </w:tcPr>
          <w:p w14:paraId="40ACB76C">
            <w:pPr>
              <w:jc w:val="center"/>
              <w:rPr>
                <w:color w:val="auto"/>
                <w:szCs w:val="21"/>
              </w:rPr>
            </w:pPr>
            <w:r>
              <w:rPr>
                <w:rFonts w:hint="eastAsia"/>
                <w:color w:val="auto"/>
                <w:szCs w:val="21"/>
              </w:rPr>
              <w:t>年龄</w:t>
            </w:r>
          </w:p>
        </w:tc>
        <w:tc>
          <w:tcPr>
            <w:tcW w:w="968" w:type="dxa"/>
            <w:noWrap/>
            <w:vAlign w:val="center"/>
          </w:tcPr>
          <w:p w14:paraId="7D46214C">
            <w:pPr>
              <w:jc w:val="center"/>
              <w:rPr>
                <w:color w:val="auto"/>
                <w:szCs w:val="21"/>
              </w:rPr>
            </w:pPr>
            <w:r>
              <w:rPr>
                <w:rFonts w:hint="eastAsia"/>
                <w:color w:val="auto"/>
                <w:szCs w:val="21"/>
              </w:rPr>
              <w:t>性别</w:t>
            </w:r>
          </w:p>
        </w:tc>
        <w:tc>
          <w:tcPr>
            <w:tcW w:w="968" w:type="dxa"/>
            <w:noWrap/>
            <w:vAlign w:val="center"/>
          </w:tcPr>
          <w:p w14:paraId="4F1C97DB">
            <w:pPr>
              <w:jc w:val="center"/>
              <w:rPr>
                <w:color w:val="auto"/>
                <w:szCs w:val="21"/>
              </w:rPr>
            </w:pPr>
            <w:r>
              <w:rPr>
                <w:rFonts w:hint="eastAsia"/>
                <w:color w:val="auto"/>
                <w:szCs w:val="21"/>
              </w:rPr>
              <w:t>专业</w:t>
            </w:r>
          </w:p>
        </w:tc>
        <w:tc>
          <w:tcPr>
            <w:tcW w:w="816" w:type="dxa"/>
            <w:noWrap/>
            <w:vAlign w:val="center"/>
          </w:tcPr>
          <w:p w14:paraId="0FA8C4B1">
            <w:pPr>
              <w:jc w:val="center"/>
              <w:rPr>
                <w:color w:val="auto"/>
                <w:szCs w:val="21"/>
              </w:rPr>
            </w:pPr>
            <w:r>
              <w:rPr>
                <w:rFonts w:hint="eastAsia"/>
                <w:color w:val="auto"/>
                <w:szCs w:val="21"/>
              </w:rPr>
              <w:t>职称</w:t>
            </w:r>
          </w:p>
        </w:tc>
        <w:tc>
          <w:tcPr>
            <w:tcW w:w="1529" w:type="dxa"/>
            <w:noWrap/>
            <w:vAlign w:val="center"/>
          </w:tcPr>
          <w:p w14:paraId="01BA4EC4">
            <w:pPr>
              <w:jc w:val="center"/>
              <w:rPr>
                <w:color w:val="auto"/>
                <w:szCs w:val="21"/>
              </w:rPr>
            </w:pPr>
            <w:r>
              <w:rPr>
                <w:rFonts w:hint="eastAsia"/>
                <w:color w:val="auto"/>
                <w:szCs w:val="21"/>
              </w:rPr>
              <w:t>证书及编号</w:t>
            </w:r>
          </w:p>
        </w:tc>
      </w:tr>
      <w:tr w14:paraId="0EA0F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5" w:hRule="atLeast"/>
        </w:trPr>
        <w:tc>
          <w:tcPr>
            <w:tcW w:w="970" w:type="dxa"/>
            <w:noWrap/>
            <w:vAlign w:val="center"/>
          </w:tcPr>
          <w:p w14:paraId="4D6608CF">
            <w:pPr>
              <w:jc w:val="center"/>
              <w:rPr>
                <w:color w:val="auto"/>
                <w:szCs w:val="21"/>
              </w:rPr>
            </w:pPr>
            <w:r>
              <w:rPr>
                <w:rFonts w:hint="eastAsia"/>
                <w:color w:val="auto"/>
                <w:szCs w:val="21"/>
              </w:rPr>
              <w:t>1</w:t>
            </w:r>
          </w:p>
        </w:tc>
        <w:tc>
          <w:tcPr>
            <w:tcW w:w="1069" w:type="dxa"/>
            <w:noWrap/>
            <w:vAlign w:val="center"/>
          </w:tcPr>
          <w:p w14:paraId="272FF2FA">
            <w:pPr>
              <w:jc w:val="center"/>
              <w:rPr>
                <w:color w:val="auto"/>
                <w:szCs w:val="21"/>
              </w:rPr>
            </w:pPr>
          </w:p>
        </w:tc>
        <w:tc>
          <w:tcPr>
            <w:tcW w:w="968" w:type="dxa"/>
            <w:noWrap/>
            <w:vAlign w:val="center"/>
          </w:tcPr>
          <w:p w14:paraId="647B5768">
            <w:pPr>
              <w:jc w:val="center"/>
              <w:rPr>
                <w:color w:val="auto"/>
                <w:szCs w:val="21"/>
              </w:rPr>
            </w:pPr>
          </w:p>
        </w:tc>
        <w:tc>
          <w:tcPr>
            <w:tcW w:w="1879" w:type="dxa"/>
            <w:noWrap/>
            <w:vAlign w:val="center"/>
          </w:tcPr>
          <w:p w14:paraId="3031330D">
            <w:pPr>
              <w:jc w:val="center"/>
              <w:rPr>
                <w:color w:val="auto"/>
                <w:szCs w:val="21"/>
              </w:rPr>
            </w:pPr>
          </w:p>
        </w:tc>
        <w:tc>
          <w:tcPr>
            <w:tcW w:w="968" w:type="dxa"/>
            <w:noWrap/>
            <w:vAlign w:val="center"/>
          </w:tcPr>
          <w:p w14:paraId="0E5BF522">
            <w:pPr>
              <w:jc w:val="center"/>
              <w:rPr>
                <w:color w:val="auto"/>
                <w:szCs w:val="21"/>
              </w:rPr>
            </w:pPr>
          </w:p>
        </w:tc>
        <w:tc>
          <w:tcPr>
            <w:tcW w:w="968" w:type="dxa"/>
            <w:noWrap/>
            <w:vAlign w:val="center"/>
          </w:tcPr>
          <w:p w14:paraId="48CC9D02">
            <w:pPr>
              <w:jc w:val="center"/>
              <w:rPr>
                <w:color w:val="auto"/>
                <w:szCs w:val="21"/>
              </w:rPr>
            </w:pPr>
          </w:p>
        </w:tc>
        <w:tc>
          <w:tcPr>
            <w:tcW w:w="968" w:type="dxa"/>
            <w:noWrap/>
            <w:vAlign w:val="center"/>
          </w:tcPr>
          <w:p w14:paraId="1B49845A">
            <w:pPr>
              <w:jc w:val="center"/>
              <w:rPr>
                <w:color w:val="auto"/>
                <w:szCs w:val="21"/>
              </w:rPr>
            </w:pPr>
          </w:p>
        </w:tc>
        <w:tc>
          <w:tcPr>
            <w:tcW w:w="816" w:type="dxa"/>
            <w:noWrap/>
            <w:vAlign w:val="center"/>
          </w:tcPr>
          <w:p w14:paraId="39B045F0">
            <w:pPr>
              <w:jc w:val="center"/>
              <w:rPr>
                <w:color w:val="auto"/>
                <w:szCs w:val="21"/>
              </w:rPr>
            </w:pPr>
          </w:p>
        </w:tc>
        <w:tc>
          <w:tcPr>
            <w:tcW w:w="1529" w:type="dxa"/>
            <w:noWrap/>
          </w:tcPr>
          <w:p w14:paraId="600D229C">
            <w:pPr>
              <w:jc w:val="center"/>
              <w:rPr>
                <w:color w:val="auto"/>
                <w:szCs w:val="21"/>
              </w:rPr>
            </w:pPr>
          </w:p>
        </w:tc>
      </w:tr>
      <w:tr w14:paraId="2F09C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6" w:hRule="atLeast"/>
        </w:trPr>
        <w:tc>
          <w:tcPr>
            <w:tcW w:w="970" w:type="dxa"/>
            <w:noWrap/>
            <w:vAlign w:val="center"/>
          </w:tcPr>
          <w:p w14:paraId="2F866385">
            <w:pPr>
              <w:jc w:val="center"/>
              <w:rPr>
                <w:color w:val="auto"/>
                <w:szCs w:val="21"/>
              </w:rPr>
            </w:pPr>
            <w:r>
              <w:rPr>
                <w:rFonts w:hint="eastAsia"/>
                <w:color w:val="auto"/>
                <w:szCs w:val="21"/>
              </w:rPr>
              <w:t>…</w:t>
            </w:r>
          </w:p>
        </w:tc>
        <w:tc>
          <w:tcPr>
            <w:tcW w:w="1069" w:type="dxa"/>
            <w:noWrap/>
            <w:vAlign w:val="center"/>
          </w:tcPr>
          <w:p w14:paraId="0F1B5D6F">
            <w:pPr>
              <w:jc w:val="center"/>
              <w:rPr>
                <w:color w:val="auto"/>
                <w:szCs w:val="21"/>
              </w:rPr>
            </w:pPr>
          </w:p>
        </w:tc>
        <w:tc>
          <w:tcPr>
            <w:tcW w:w="968" w:type="dxa"/>
            <w:noWrap/>
            <w:vAlign w:val="center"/>
          </w:tcPr>
          <w:p w14:paraId="45DE1545">
            <w:pPr>
              <w:jc w:val="center"/>
              <w:rPr>
                <w:color w:val="auto"/>
                <w:szCs w:val="21"/>
              </w:rPr>
            </w:pPr>
          </w:p>
        </w:tc>
        <w:tc>
          <w:tcPr>
            <w:tcW w:w="1879" w:type="dxa"/>
            <w:noWrap/>
            <w:vAlign w:val="center"/>
          </w:tcPr>
          <w:p w14:paraId="0D7EFC1C">
            <w:pPr>
              <w:jc w:val="center"/>
              <w:rPr>
                <w:color w:val="auto"/>
                <w:szCs w:val="21"/>
              </w:rPr>
            </w:pPr>
          </w:p>
        </w:tc>
        <w:tc>
          <w:tcPr>
            <w:tcW w:w="968" w:type="dxa"/>
            <w:noWrap/>
            <w:vAlign w:val="center"/>
          </w:tcPr>
          <w:p w14:paraId="6BE88C36">
            <w:pPr>
              <w:jc w:val="center"/>
              <w:rPr>
                <w:color w:val="auto"/>
                <w:szCs w:val="21"/>
              </w:rPr>
            </w:pPr>
          </w:p>
        </w:tc>
        <w:tc>
          <w:tcPr>
            <w:tcW w:w="968" w:type="dxa"/>
            <w:noWrap/>
            <w:vAlign w:val="center"/>
          </w:tcPr>
          <w:p w14:paraId="0E817B03">
            <w:pPr>
              <w:jc w:val="center"/>
              <w:rPr>
                <w:color w:val="auto"/>
                <w:szCs w:val="21"/>
              </w:rPr>
            </w:pPr>
          </w:p>
        </w:tc>
        <w:tc>
          <w:tcPr>
            <w:tcW w:w="968" w:type="dxa"/>
            <w:noWrap/>
            <w:vAlign w:val="center"/>
          </w:tcPr>
          <w:p w14:paraId="24FDA2C6">
            <w:pPr>
              <w:jc w:val="center"/>
              <w:rPr>
                <w:color w:val="auto"/>
                <w:szCs w:val="21"/>
              </w:rPr>
            </w:pPr>
          </w:p>
        </w:tc>
        <w:tc>
          <w:tcPr>
            <w:tcW w:w="816" w:type="dxa"/>
            <w:noWrap/>
            <w:vAlign w:val="center"/>
          </w:tcPr>
          <w:p w14:paraId="05A66768">
            <w:pPr>
              <w:jc w:val="center"/>
              <w:rPr>
                <w:color w:val="auto"/>
                <w:szCs w:val="21"/>
              </w:rPr>
            </w:pPr>
          </w:p>
        </w:tc>
        <w:tc>
          <w:tcPr>
            <w:tcW w:w="1529" w:type="dxa"/>
            <w:noWrap/>
          </w:tcPr>
          <w:p w14:paraId="689FE970">
            <w:pPr>
              <w:jc w:val="center"/>
              <w:rPr>
                <w:color w:val="auto"/>
                <w:szCs w:val="21"/>
              </w:rPr>
            </w:pPr>
          </w:p>
        </w:tc>
      </w:tr>
    </w:tbl>
    <w:p w14:paraId="48E09723">
      <w:pPr>
        <w:spacing w:line="360" w:lineRule="auto"/>
        <w:rPr>
          <w:rFonts w:ascii="宋体" w:hAnsi="宋体" w:cs="宋体"/>
          <w:bCs/>
          <w:color w:val="auto"/>
          <w:szCs w:val="21"/>
        </w:rPr>
      </w:pPr>
      <w:r>
        <w:rPr>
          <w:rFonts w:hint="eastAsia" w:ascii="宋体" w:hAnsi="宋体" w:cs="宋体"/>
          <w:bCs/>
          <w:color w:val="auto"/>
          <w:szCs w:val="21"/>
        </w:rPr>
        <w:t>法定代表人或授权代表（签字或盖章）：</w:t>
      </w:r>
    </w:p>
    <w:p w14:paraId="04140297">
      <w:pPr>
        <w:spacing w:line="360" w:lineRule="auto"/>
        <w:rPr>
          <w:rFonts w:ascii="宋体" w:hAnsi="宋体" w:cs="宋体"/>
          <w:bCs/>
          <w:color w:val="auto"/>
          <w:szCs w:val="21"/>
        </w:rPr>
      </w:pPr>
      <w:r>
        <w:rPr>
          <w:rFonts w:hint="eastAsia" w:ascii="宋体" w:hAnsi="宋体" w:cs="宋体"/>
          <w:bCs/>
          <w:color w:val="auto"/>
          <w:szCs w:val="21"/>
        </w:rPr>
        <w:t>磋商供应商全称（盖章）：</w:t>
      </w:r>
    </w:p>
    <w:p w14:paraId="3704F5A2">
      <w:pPr>
        <w:spacing w:line="360" w:lineRule="auto"/>
        <w:rPr>
          <w:rFonts w:ascii="宋体" w:hAnsi="宋体" w:cs="宋体"/>
          <w:bCs/>
          <w:color w:val="auto"/>
          <w:szCs w:val="21"/>
        </w:rPr>
      </w:pPr>
      <w:r>
        <w:rPr>
          <w:rFonts w:hint="eastAsia" w:ascii="宋体" w:hAnsi="宋体" w:cs="宋体"/>
          <w:bCs/>
          <w:color w:val="auto"/>
          <w:szCs w:val="21"/>
        </w:rPr>
        <w:t>日   期：  年   月  日</w:t>
      </w:r>
    </w:p>
    <w:p w14:paraId="372895FC">
      <w:pPr>
        <w:spacing w:line="360" w:lineRule="auto"/>
        <w:jc w:val="center"/>
        <w:rPr>
          <w:rFonts w:ascii="宋体" w:hAnsi="宋体" w:cs="宋体"/>
          <w:b/>
          <w:color w:val="auto"/>
          <w:kern w:val="1"/>
          <w:szCs w:val="21"/>
        </w:rPr>
      </w:pPr>
      <w:r>
        <w:rPr>
          <w:rFonts w:hint="eastAsia" w:ascii="宋体" w:hAnsi="宋体" w:cs="宋体"/>
          <w:b/>
          <w:color w:val="auto"/>
          <w:sz w:val="24"/>
        </w:rPr>
        <w:t>九、其他</w:t>
      </w:r>
    </w:p>
    <w:p w14:paraId="79E8812F">
      <w:pPr>
        <w:spacing w:line="360" w:lineRule="auto"/>
        <w:jc w:val="center"/>
        <w:rPr>
          <w:rFonts w:ascii="宋体" w:hAnsi="宋体" w:cs="宋体"/>
          <w:color w:val="auto"/>
          <w:szCs w:val="21"/>
        </w:rPr>
      </w:pPr>
      <w:r>
        <w:rPr>
          <w:rFonts w:hint="eastAsia" w:ascii="宋体" w:hAnsi="宋体" w:cs="宋体"/>
          <w:color w:val="auto"/>
          <w:szCs w:val="21"/>
        </w:rPr>
        <w:t>（供应商根据评分标准自行编制）</w:t>
      </w:r>
    </w:p>
    <w:p w14:paraId="1EE8A500">
      <w:pPr>
        <w:spacing w:line="360" w:lineRule="auto"/>
        <w:jc w:val="center"/>
        <w:rPr>
          <w:rFonts w:ascii="宋体" w:hAnsi="宋体" w:cs="宋体"/>
          <w:b/>
          <w:color w:val="auto"/>
        </w:rPr>
      </w:pPr>
    </w:p>
    <w:p w14:paraId="188B96D6">
      <w:pPr>
        <w:spacing w:line="360" w:lineRule="auto"/>
        <w:jc w:val="center"/>
        <w:rPr>
          <w:rFonts w:ascii="宋体" w:hAnsi="宋体" w:cs="宋体"/>
          <w:b/>
          <w:color w:val="auto"/>
        </w:rPr>
      </w:pPr>
    </w:p>
    <w:p w14:paraId="30D292EF">
      <w:pPr>
        <w:spacing w:line="360" w:lineRule="auto"/>
        <w:jc w:val="center"/>
        <w:rPr>
          <w:rFonts w:ascii="宋体" w:hAnsi="宋体" w:cs="宋体"/>
          <w:b/>
          <w:color w:val="auto"/>
        </w:rPr>
      </w:pPr>
    </w:p>
    <w:p w14:paraId="06B78F0B">
      <w:pPr>
        <w:spacing w:line="360" w:lineRule="auto"/>
        <w:ind w:firstLine="482" w:firstLineChars="200"/>
        <w:jc w:val="center"/>
        <w:rPr>
          <w:rFonts w:ascii="宋体" w:hAnsi="宋体" w:cs="宋体"/>
          <w:b/>
          <w:color w:val="auto"/>
          <w:sz w:val="24"/>
        </w:rPr>
      </w:pPr>
      <w:r>
        <w:rPr>
          <w:rFonts w:hint="eastAsia" w:ascii="宋体" w:hAnsi="宋体" w:cs="宋体"/>
          <w:b/>
          <w:color w:val="auto"/>
          <w:sz w:val="24"/>
        </w:rPr>
        <w:t>十、主要标的信息</w:t>
      </w:r>
    </w:p>
    <w:p w14:paraId="0B008092">
      <w:pPr>
        <w:spacing w:line="360" w:lineRule="auto"/>
        <w:jc w:val="center"/>
        <w:rPr>
          <w:rFonts w:ascii="宋体" w:hAnsi="宋体" w:cs="宋体"/>
          <w:color w:val="auto"/>
          <w:szCs w:val="21"/>
        </w:rPr>
      </w:pPr>
      <w:r>
        <w:rPr>
          <w:rFonts w:hint="eastAsia" w:ascii="宋体" w:hAnsi="宋体" w:cs="宋体"/>
          <w:color w:val="auto"/>
          <w:szCs w:val="21"/>
        </w:rPr>
        <w:t>（成交后将公示）</w:t>
      </w:r>
    </w:p>
    <w:p w14:paraId="0B46B94A">
      <w:pPr>
        <w:spacing w:line="360" w:lineRule="auto"/>
        <w:rPr>
          <w:rFonts w:ascii="宋体" w:hAnsi="宋体" w:cs="宋体"/>
          <w:bCs/>
          <w:color w:val="auto"/>
          <w:szCs w:val="21"/>
        </w:rPr>
      </w:pPr>
      <w:r>
        <w:rPr>
          <w:rFonts w:hint="eastAsia" w:ascii="宋体" w:hAnsi="宋体" w:cs="宋体"/>
          <w:bCs/>
          <w:color w:val="auto"/>
          <w:szCs w:val="21"/>
        </w:rPr>
        <w:t>磋商供应商全称（盖章）：</w:t>
      </w:r>
    </w:p>
    <w:tbl>
      <w:tblPr>
        <w:tblStyle w:val="30"/>
        <w:tblW w:w="245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896"/>
      </w:tblGrid>
      <w:tr w14:paraId="746A2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4" w:hRule="atLeast"/>
        </w:trPr>
        <w:tc>
          <w:tcPr>
            <w:tcW w:w="5000" w:type="pct"/>
            <w:noWrap/>
            <w:vAlign w:val="center"/>
          </w:tcPr>
          <w:p w14:paraId="6172FC36">
            <w:pPr>
              <w:spacing w:line="360" w:lineRule="auto"/>
              <w:jc w:val="center"/>
              <w:rPr>
                <w:rFonts w:ascii="宋体" w:hAnsi="宋体" w:cs="宋体"/>
                <w:color w:val="auto"/>
              </w:rPr>
            </w:pPr>
            <w:r>
              <w:rPr>
                <w:rFonts w:hint="eastAsia" w:ascii="宋体" w:hAnsi="宋体" w:cs="宋体"/>
                <w:color w:val="auto"/>
              </w:rPr>
              <w:t>服务类</w:t>
            </w:r>
          </w:p>
        </w:tc>
      </w:tr>
      <w:tr w14:paraId="30F77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4" w:hRule="atLeast"/>
        </w:trPr>
        <w:tc>
          <w:tcPr>
            <w:tcW w:w="5000" w:type="pct"/>
            <w:noWrap/>
          </w:tcPr>
          <w:p w14:paraId="19DFA0E7">
            <w:pPr>
              <w:spacing w:line="360" w:lineRule="auto"/>
              <w:jc w:val="left"/>
              <w:rPr>
                <w:rFonts w:ascii="宋体" w:hAnsi="宋体" w:cs="宋体"/>
                <w:color w:val="auto"/>
              </w:rPr>
            </w:pPr>
            <w:r>
              <w:rPr>
                <w:rFonts w:hint="eastAsia" w:ascii="宋体" w:hAnsi="宋体" w:cs="宋体"/>
                <w:color w:val="auto"/>
              </w:rPr>
              <w:t>名称：</w:t>
            </w:r>
          </w:p>
          <w:p w14:paraId="4DF231BA">
            <w:pPr>
              <w:spacing w:line="360" w:lineRule="auto"/>
              <w:jc w:val="left"/>
              <w:rPr>
                <w:rFonts w:ascii="宋体" w:hAnsi="宋体" w:cs="宋体"/>
                <w:color w:val="auto"/>
              </w:rPr>
            </w:pPr>
            <w:r>
              <w:rPr>
                <w:rFonts w:hint="eastAsia" w:ascii="宋体" w:hAnsi="宋体" w:cs="宋体"/>
                <w:color w:val="auto"/>
              </w:rPr>
              <w:t>服务范围：</w:t>
            </w:r>
          </w:p>
          <w:p w14:paraId="3CD54124">
            <w:pPr>
              <w:spacing w:line="360" w:lineRule="auto"/>
              <w:jc w:val="left"/>
              <w:rPr>
                <w:rFonts w:ascii="宋体" w:hAnsi="宋体" w:cs="宋体"/>
                <w:color w:val="auto"/>
                <w:u w:val="single"/>
              </w:rPr>
            </w:pPr>
            <w:r>
              <w:rPr>
                <w:rFonts w:hint="eastAsia" w:ascii="宋体" w:hAnsi="宋体" w:cs="宋体"/>
                <w:color w:val="auto"/>
              </w:rPr>
              <w:t>服务要求：</w:t>
            </w:r>
          </w:p>
          <w:p w14:paraId="2C0D7261">
            <w:pPr>
              <w:spacing w:line="360" w:lineRule="auto"/>
              <w:jc w:val="left"/>
              <w:rPr>
                <w:rFonts w:ascii="宋体" w:hAnsi="宋体" w:cs="宋体"/>
                <w:color w:val="auto"/>
                <w:u w:val="single"/>
              </w:rPr>
            </w:pPr>
            <w:r>
              <w:rPr>
                <w:rFonts w:hint="eastAsia" w:ascii="宋体" w:hAnsi="宋体" w:cs="宋体"/>
                <w:color w:val="auto"/>
              </w:rPr>
              <w:t>服务时间：</w:t>
            </w:r>
          </w:p>
          <w:p w14:paraId="1CC13871">
            <w:pPr>
              <w:spacing w:line="360" w:lineRule="auto"/>
              <w:jc w:val="left"/>
              <w:rPr>
                <w:rFonts w:ascii="宋体" w:hAnsi="宋体" w:cs="宋体"/>
                <w:color w:val="auto"/>
              </w:rPr>
            </w:pPr>
            <w:r>
              <w:rPr>
                <w:rFonts w:hint="eastAsia" w:ascii="宋体" w:hAnsi="宋体" w:cs="宋体"/>
                <w:color w:val="auto"/>
              </w:rPr>
              <w:t>服务标准：</w:t>
            </w:r>
          </w:p>
        </w:tc>
      </w:tr>
    </w:tbl>
    <w:p w14:paraId="0BC3825E">
      <w:pPr>
        <w:spacing w:line="360" w:lineRule="auto"/>
        <w:jc w:val="center"/>
        <w:rPr>
          <w:rFonts w:ascii="宋体" w:hAnsi="宋体" w:cs="宋体"/>
          <w:color w:val="auto"/>
          <w:szCs w:val="21"/>
        </w:rPr>
      </w:pPr>
    </w:p>
    <w:p w14:paraId="6C765364">
      <w:pPr>
        <w:jc w:val="right"/>
        <w:rPr>
          <w:rFonts w:ascii="宋体" w:hAnsi="宋体" w:cs="宋体"/>
          <w:b/>
          <w:color w:val="auto"/>
          <w:sz w:val="24"/>
        </w:rPr>
      </w:pPr>
    </w:p>
    <w:p w14:paraId="3138C7D5">
      <w:pPr>
        <w:jc w:val="right"/>
        <w:rPr>
          <w:rFonts w:ascii="宋体" w:hAnsi="宋体" w:cs="宋体"/>
          <w:b/>
          <w:color w:val="auto"/>
          <w:sz w:val="24"/>
        </w:rPr>
      </w:pPr>
    </w:p>
    <w:p w14:paraId="4E56A605">
      <w:pPr>
        <w:jc w:val="right"/>
        <w:rPr>
          <w:rFonts w:ascii="宋体" w:hAnsi="宋体" w:cs="宋体"/>
          <w:b/>
          <w:color w:val="auto"/>
          <w:sz w:val="24"/>
        </w:rPr>
      </w:pPr>
    </w:p>
    <w:p w14:paraId="55E3A430">
      <w:pPr>
        <w:jc w:val="center"/>
        <w:rPr>
          <w:rFonts w:hint="eastAsia" w:ascii="宋体" w:hAnsi="宋体" w:eastAsia="宋体" w:cs="宋体"/>
          <w:color w:val="auto"/>
          <w:spacing w:val="-11"/>
          <w:sz w:val="28"/>
          <w:szCs w:val="28"/>
          <w:highlight w:val="none"/>
        </w:rPr>
      </w:pPr>
      <w:r>
        <w:rPr>
          <w:rFonts w:hint="eastAsia" w:ascii="宋体" w:hAnsi="宋体" w:eastAsia="宋体" w:cs="宋体"/>
          <w:b/>
          <w:color w:val="auto"/>
          <w:sz w:val="28"/>
          <w:szCs w:val="28"/>
          <w:highlight w:val="none"/>
        </w:rPr>
        <w:t>供应商参加磋商确认函</w:t>
      </w:r>
    </w:p>
    <w:p w14:paraId="446BE328">
      <w:pPr>
        <w:keepNext w:val="0"/>
        <w:keepLines w:val="0"/>
        <w:pageBreakBefore w:val="0"/>
        <w:widowControl w:val="0"/>
        <w:kinsoku/>
        <w:wordWrap/>
        <w:overflowPunct/>
        <w:topLinePunct w:val="0"/>
        <w:autoSpaceDE/>
        <w:autoSpaceDN/>
        <w:bidi w:val="0"/>
        <w:adjustRightInd/>
        <w:snapToGrid/>
        <w:spacing w:line="360" w:lineRule="auto"/>
        <w:ind w:left="0" w:leftChars="0" w:firstLine="516" w:firstLineChars="200"/>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pacing w:val="-11"/>
          <w:sz w:val="28"/>
          <w:szCs w:val="28"/>
          <w:highlight w:val="none"/>
          <w:u w:val="single"/>
        </w:rPr>
        <w:t>江苏苏维工程管理有限公司</w:t>
      </w:r>
      <w:r>
        <w:rPr>
          <w:rFonts w:hint="eastAsia" w:ascii="宋体" w:hAnsi="宋体" w:eastAsia="宋体" w:cs="宋体"/>
          <w:color w:val="auto"/>
          <w:sz w:val="28"/>
          <w:szCs w:val="28"/>
          <w:highlight w:val="none"/>
          <w:u w:val="single"/>
        </w:rPr>
        <w:t>：</w:t>
      </w:r>
    </w:p>
    <w:p w14:paraId="447EC6A2">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本单位将参加贵公司于</w:t>
      </w:r>
      <w:r>
        <w:rPr>
          <w:rFonts w:hint="eastAsia" w:ascii="宋体" w:hAnsi="宋体" w:eastAsia="宋体" w:cs="宋体"/>
          <w:color w:val="auto"/>
          <w:sz w:val="28"/>
          <w:szCs w:val="28"/>
          <w:highlight w:val="none"/>
          <w:u w:val="single"/>
          <w:lang w:val="en-US" w:eastAsia="zh-CN"/>
        </w:rPr>
        <w:t>2026</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lang w:val="en-US" w:eastAsia="zh-CN"/>
        </w:rPr>
        <w:t xml:space="preserve">  </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日采购编号</w:t>
      </w:r>
      <w:r>
        <w:rPr>
          <w:rFonts w:hint="eastAsia" w:ascii="宋体" w:hAnsi="宋体" w:cs="宋体"/>
          <w:color w:val="auto"/>
          <w:sz w:val="28"/>
          <w:szCs w:val="28"/>
          <w:highlight w:val="none"/>
          <w:u w:val="single"/>
          <w:lang w:eastAsia="zh-CN"/>
        </w:rPr>
        <w:t>YDFYSW-20261101</w:t>
      </w:r>
      <w:r>
        <w:rPr>
          <w:rFonts w:hint="eastAsia" w:ascii="宋体" w:hAnsi="宋体" w:eastAsia="宋体" w:cs="宋体"/>
          <w:color w:val="auto"/>
          <w:sz w:val="28"/>
          <w:szCs w:val="28"/>
          <w:highlight w:val="none"/>
          <w:u w:val="single"/>
        </w:rPr>
        <w:t>号</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项目的磋商。本单位</w:t>
      </w:r>
      <w:r>
        <w:rPr>
          <w:rFonts w:hint="eastAsia" w:ascii="宋体" w:hAnsi="宋体" w:cs="宋体"/>
          <w:color w:val="auto"/>
          <w:sz w:val="28"/>
          <w:szCs w:val="28"/>
          <w:highlight w:val="none"/>
          <w:lang w:eastAsia="zh-CN"/>
        </w:rPr>
        <w:t>已</w:t>
      </w:r>
      <w:r>
        <w:rPr>
          <w:rFonts w:hint="eastAsia" w:ascii="宋体" w:hAnsi="宋体" w:eastAsia="宋体" w:cs="宋体"/>
          <w:color w:val="auto"/>
          <w:sz w:val="28"/>
          <w:szCs w:val="28"/>
          <w:highlight w:val="none"/>
          <w:u w:val="none"/>
          <w:lang w:val="en-US" w:eastAsia="zh-CN"/>
        </w:rPr>
        <w:t>自行</w:t>
      </w:r>
      <w:r>
        <w:rPr>
          <w:rFonts w:hint="eastAsia" w:ascii="宋体" w:hAnsi="宋体" w:eastAsia="宋体" w:cs="宋体"/>
          <w:color w:val="auto"/>
          <w:sz w:val="28"/>
          <w:szCs w:val="28"/>
          <w:highlight w:val="none"/>
        </w:rPr>
        <w:t>获取磋商文件，特发此函确认。</w:t>
      </w:r>
    </w:p>
    <w:p w14:paraId="1923DBFD">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（单位公章）</w:t>
      </w:r>
    </w:p>
    <w:p w14:paraId="62A668EF">
      <w:pPr>
        <w:keepNext w:val="0"/>
        <w:keepLines w:val="0"/>
        <w:pageBreakBefore w:val="0"/>
        <w:widowControl w:val="0"/>
        <w:pBdr>
          <w:bottom w:val="single" w:color="auto" w:sz="6" w:space="1"/>
        </w:pBd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14:paraId="7825EDB9">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w:t>
      </w:r>
    </w:p>
    <w:p w14:paraId="75EC9149">
      <w:pPr>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jc w:val="center"/>
        <w:textAlignment w:val="auto"/>
        <w:rPr>
          <w:rFonts w:hint="eastAsia" w:ascii="宋体" w:hAnsi="宋体" w:eastAsia="宋体" w:cs="宋体"/>
          <w:b/>
          <w:color w:val="auto"/>
          <w:sz w:val="28"/>
          <w:szCs w:val="28"/>
          <w:highlight w:val="none"/>
        </w:rPr>
      </w:pPr>
      <w:bookmarkStart w:id="116" w:name="_Toc28635"/>
      <w:r>
        <w:rPr>
          <w:rFonts w:hint="eastAsia" w:ascii="宋体" w:hAnsi="宋体" w:eastAsia="宋体" w:cs="宋体"/>
          <w:b/>
          <w:color w:val="auto"/>
          <w:sz w:val="28"/>
          <w:szCs w:val="28"/>
          <w:highlight w:val="none"/>
        </w:rPr>
        <w:t>供应商联系表</w:t>
      </w:r>
      <w:bookmarkEnd w:id="116"/>
    </w:p>
    <w:tbl>
      <w:tblPr>
        <w:tblStyle w:val="30"/>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7"/>
        <w:gridCol w:w="2609"/>
        <w:gridCol w:w="2608"/>
        <w:gridCol w:w="2285"/>
      </w:tblGrid>
      <w:tr w14:paraId="0CCE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7" w:hRule="atLeast"/>
          <w:jc w:val="center"/>
        </w:trPr>
        <w:tc>
          <w:tcPr>
            <w:tcW w:w="2317" w:type="dxa"/>
            <w:vAlign w:val="center"/>
          </w:tcPr>
          <w:p w14:paraId="320CBA7F">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单位名称</w:t>
            </w:r>
          </w:p>
        </w:tc>
        <w:tc>
          <w:tcPr>
            <w:tcW w:w="7502" w:type="dxa"/>
            <w:gridSpan w:val="3"/>
            <w:vAlign w:val="center"/>
          </w:tcPr>
          <w:p w14:paraId="0337B257">
            <w:pPr>
              <w:jc w:val="center"/>
              <w:rPr>
                <w:rFonts w:hint="eastAsia" w:ascii="宋体" w:hAnsi="宋体" w:eastAsia="宋体" w:cs="宋体"/>
                <w:color w:val="auto"/>
                <w:sz w:val="28"/>
                <w:szCs w:val="28"/>
                <w:highlight w:val="none"/>
              </w:rPr>
            </w:pPr>
          </w:p>
        </w:tc>
      </w:tr>
      <w:tr w14:paraId="1AC4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7" w:hRule="atLeast"/>
          <w:jc w:val="center"/>
        </w:trPr>
        <w:tc>
          <w:tcPr>
            <w:tcW w:w="2317" w:type="dxa"/>
            <w:vAlign w:val="center"/>
          </w:tcPr>
          <w:p w14:paraId="00C934C2">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单位地址</w:t>
            </w:r>
          </w:p>
        </w:tc>
        <w:tc>
          <w:tcPr>
            <w:tcW w:w="7502" w:type="dxa"/>
            <w:gridSpan w:val="3"/>
            <w:vAlign w:val="center"/>
          </w:tcPr>
          <w:p w14:paraId="50D35CD5">
            <w:pPr>
              <w:jc w:val="center"/>
              <w:rPr>
                <w:rFonts w:hint="eastAsia" w:ascii="宋体" w:hAnsi="宋体" w:eastAsia="宋体" w:cs="宋体"/>
                <w:color w:val="auto"/>
                <w:sz w:val="28"/>
                <w:szCs w:val="28"/>
                <w:highlight w:val="none"/>
              </w:rPr>
            </w:pPr>
          </w:p>
        </w:tc>
      </w:tr>
      <w:tr w14:paraId="0EBB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7" w:hRule="atLeast"/>
          <w:jc w:val="center"/>
        </w:trPr>
        <w:tc>
          <w:tcPr>
            <w:tcW w:w="2317" w:type="dxa"/>
            <w:vAlign w:val="center"/>
          </w:tcPr>
          <w:p w14:paraId="288820DC">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p>
        </w:tc>
        <w:tc>
          <w:tcPr>
            <w:tcW w:w="2609" w:type="dxa"/>
            <w:vAlign w:val="center"/>
          </w:tcPr>
          <w:p w14:paraId="2260CF09">
            <w:pPr>
              <w:jc w:val="center"/>
              <w:rPr>
                <w:rFonts w:hint="eastAsia" w:ascii="宋体" w:hAnsi="宋体" w:eastAsia="宋体" w:cs="宋体"/>
                <w:color w:val="auto"/>
                <w:sz w:val="28"/>
                <w:szCs w:val="28"/>
                <w:highlight w:val="none"/>
              </w:rPr>
            </w:pPr>
          </w:p>
        </w:tc>
        <w:tc>
          <w:tcPr>
            <w:tcW w:w="2608" w:type="dxa"/>
            <w:vAlign w:val="center"/>
          </w:tcPr>
          <w:p w14:paraId="5A45CDDA">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邮    编</w:t>
            </w:r>
          </w:p>
        </w:tc>
        <w:tc>
          <w:tcPr>
            <w:tcW w:w="2285" w:type="dxa"/>
            <w:vAlign w:val="center"/>
          </w:tcPr>
          <w:p w14:paraId="092A537B">
            <w:pPr>
              <w:jc w:val="center"/>
              <w:rPr>
                <w:rFonts w:hint="eastAsia" w:ascii="宋体" w:hAnsi="宋体" w:eastAsia="宋体" w:cs="宋体"/>
                <w:color w:val="auto"/>
                <w:sz w:val="28"/>
                <w:szCs w:val="28"/>
                <w:highlight w:val="none"/>
              </w:rPr>
            </w:pPr>
          </w:p>
        </w:tc>
      </w:tr>
      <w:tr w14:paraId="73BA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2317" w:type="dxa"/>
            <w:vAlign w:val="center"/>
          </w:tcPr>
          <w:p w14:paraId="4FF538E0">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单位电话</w:t>
            </w:r>
          </w:p>
        </w:tc>
        <w:tc>
          <w:tcPr>
            <w:tcW w:w="2609" w:type="dxa"/>
            <w:vAlign w:val="center"/>
          </w:tcPr>
          <w:p w14:paraId="4FDAC96B">
            <w:pPr>
              <w:jc w:val="center"/>
              <w:rPr>
                <w:rFonts w:hint="eastAsia" w:ascii="宋体" w:hAnsi="宋体" w:eastAsia="宋体" w:cs="宋体"/>
                <w:color w:val="auto"/>
                <w:sz w:val="28"/>
                <w:szCs w:val="28"/>
                <w:highlight w:val="none"/>
              </w:rPr>
            </w:pPr>
          </w:p>
        </w:tc>
        <w:tc>
          <w:tcPr>
            <w:tcW w:w="2608" w:type="dxa"/>
            <w:vAlign w:val="center"/>
          </w:tcPr>
          <w:p w14:paraId="479EEBDF">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传真号码</w:t>
            </w:r>
          </w:p>
        </w:tc>
        <w:tc>
          <w:tcPr>
            <w:tcW w:w="2285" w:type="dxa"/>
            <w:vAlign w:val="center"/>
          </w:tcPr>
          <w:p w14:paraId="4E669BD8">
            <w:pPr>
              <w:jc w:val="center"/>
              <w:rPr>
                <w:rFonts w:hint="eastAsia" w:ascii="宋体" w:hAnsi="宋体" w:eastAsia="宋体" w:cs="宋体"/>
                <w:color w:val="auto"/>
                <w:sz w:val="28"/>
                <w:szCs w:val="28"/>
                <w:highlight w:val="none"/>
              </w:rPr>
            </w:pPr>
          </w:p>
        </w:tc>
      </w:tr>
      <w:tr w14:paraId="2DF5B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7" w:hRule="atLeast"/>
          <w:jc w:val="center"/>
        </w:trPr>
        <w:tc>
          <w:tcPr>
            <w:tcW w:w="2317" w:type="dxa"/>
            <w:vAlign w:val="center"/>
          </w:tcPr>
          <w:p w14:paraId="5EEA6F6F">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项目联系人</w:t>
            </w:r>
          </w:p>
        </w:tc>
        <w:tc>
          <w:tcPr>
            <w:tcW w:w="2609" w:type="dxa"/>
            <w:vAlign w:val="center"/>
          </w:tcPr>
          <w:p w14:paraId="4FE37367">
            <w:pPr>
              <w:jc w:val="center"/>
              <w:rPr>
                <w:rFonts w:hint="eastAsia" w:ascii="宋体" w:hAnsi="宋体" w:eastAsia="宋体" w:cs="宋体"/>
                <w:color w:val="auto"/>
                <w:sz w:val="28"/>
                <w:szCs w:val="28"/>
                <w:highlight w:val="none"/>
              </w:rPr>
            </w:pPr>
          </w:p>
        </w:tc>
        <w:tc>
          <w:tcPr>
            <w:tcW w:w="2608" w:type="dxa"/>
            <w:vAlign w:val="center"/>
          </w:tcPr>
          <w:p w14:paraId="3A663AB8">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邮    箱</w:t>
            </w:r>
          </w:p>
        </w:tc>
        <w:tc>
          <w:tcPr>
            <w:tcW w:w="2285" w:type="dxa"/>
            <w:vAlign w:val="center"/>
          </w:tcPr>
          <w:p w14:paraId="625AA6FD">
            <w:pPr>
              <w:jc w:val="center"/>
              <w:rPr>
                <w:rFonts w:hint="eastAsia" w:ascii="宋体" w:hAnsi="宋体" w:eastAsia="宋体" w:cs="宋体"/>
                <w:color w:val="auto"/>
                <w:sz w:val="28"/>
                <w:szCs w:val="28"/>
                <w:highlight w:val="none"/>
              </w:rPr>
            </w:pPr>
          </w:p>
        </w:tc>
      </w:tr>
      <w:tr w14:paraId="7984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2317" w:type="dxa"/>
            <w:vAlign w:val="center"/>
          </w:tcPr>
          <w:p w14:paraId="1FFB728D">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联系人电话</w:t>
            </w:r>
          </w:p>
        </w:tc>
        <w:tc>
          <w:tcPr>
            <w:tcW w:w="2609" w:type="dxa"/>
            <w:vAlign w:val="center"/>
          </w:tcPr>
          <w:p w14:paraId="20394CB2">
            <w:pPr>
              <w:jc w:val="center"/>
              <w:rPr>
                <w:rFonts w:hint="eastAsia" w:ascii="宋体" w:hAnsi="宋体" w:eastAsia="宋体" w:cs="宋体"/>
                <w:color w:val="auto"/>
                <w:sz w:val="28"/>
                <w:szCs w:val="28"/>
                <w:highlight w:val="none"/>
              </w:rPr>
            </w:pPr>
          </w:p>
        </w:tc>
        <w:tc>
          <w:tcPr>
            <w:tcW w:w="2608" w:type="dxa"/>
            <w:vAlign w:val="center"/>
          </w:tcPr>
          <w:p w14:paraId="56227D20">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联系人手机</w:t>
            </w:r>
          </w:p>
        </w:tc>
        <w:tc>
          <w:tcPr>
            <w:tcW w:w="2285" w:type="dxa"/>
            <w:vAlign w:val="center"/>
          </w:tcPr>
          <w:p w14:paraId="26D5BB2B">
            <w:pPr>
              <w:jc w:val="center"/>
              <w:rPr>
                <w:rFonts w:hint="eastAsia" w:ascii="宋体" w:hAnsi="宋体" w:eastAsia="宋体" w:cs="宋体"/>
                <w:color w:val="auto"/>
                <w:sz w:val="28"/>
                <w:szCs w:val="28"/>
                <w:highlight w:val="none"/>
              </w:rPr>
            </w:pPr>
          </w:p>
        </w:tc>
      </w:tr>
    </w:tbl>
    <w:p w14:paraId="1EDBC482">
      <w:pPr>
        <w:spacing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备注：1、请准备参与本项目磋商的供应商如实填写（以上信息均为必填内容）后邮件至代理机构（邮箱：</w:t>
      </w:r>
      <w:r>
        <w:rPr>
          <w:rFonts w:hint="eastAsia" w:ascii="宋体" w:hAnsi="宋体" w:eastAsia="宋体" w:cs="宋体"/>
          <w:b/>
          <w:color w:val="auto"/>
          <w:sz w:val="28"/>
          <w:szCs w:val="28"/>
          <w:highlight w:val="none"/>
          <w:lang w:val="en-US" w:eastAsia="zh-CN"/>
        </w:rPr>
        <w:t>376671107</w:t>
      </w:r>
      <w:r>
        <w:rPr>
          <w:rFonts w:hint="eastAsia" w:ascii="宋体" w:hAnsi="宋体" w:eastAsia="宋体" w:cs="宋体"/>
          <w:b/>
          <w:color w:val="auto"/>
          <w:sz w:val="28"/>
          <w:szCs w:val="28"/>
          <w:highlight w:val="none"/>
        </w:rPr>
        <w:t>@qq.com，电话：0514-</w:t>
      </w:r>
      <w:r>
        <w:rPr>
          <w:rFonts w:hint="eastAsia" w:ascii="宋体" w:hAnsi="宋体" w:eastAsia="宋体" w:cs="宋体"/>
          <w:b/>
          <w:color w:val="auto"/>
          <w:sz w:val="28"/>
          <w:szCs w:val="28"/>
          <w:highlight w:val="none"/>
          <w:lang w:eastAsia="zh-CN"/>
        </w:rPr>
        <w:t>821291</w:t>
      </w:r>
      <w:r>
        <w:rPr>
          <w:rFonts w:hint="eastAsia" w:ascii="宋体" w:hAnsi="宋体" w:eastAsia="宋体" w:cs="宋体"/>
          <w:b/>
          <w:color w:val="auto"/>
          <w:sz w:val="28"/>
          <w:szCs w:val="28"/>
          <w:highlight w:val="none"/>
          <w:lang w:val="en-US" w:eastAsia="zh-CN"/>
        </w:rPr>
        <w:t>16</w:t>
      </w:r>
      <w:r>
        <w:rPr>
          <w:rFonts w:hint="eastAsia" w:ascii="宋体" w:hAnsi="宋体" w:eastAsia="宋体" w:cs="宋体"/>
          <w:b/>
          <w:color w:val="auto"/>
          <w:sz w:val="28"/>
          <w:szCs w:val="28"/>
          <w:highlight w:val="none"/>
        </w:rPr>
        <w:t>）。</w:t>
      </w:r>
    </w:p>
    <w:p w14:paraId="487F0C86">
      <w:pP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eastAsia="zh-CN"/>
        </w:rPr>
        <w:t>2.</w:t>
      </w:r>
      <w:r>
        <w:rPr>
          <w:rFonts w:hint="eastAsia" w:ascii="宋体" w:hAnsi="宋体" w:eastAsia="宋体" w:cs="宋体"/>
          <w:b/>
          <w:color w:val="auto"/>
          <w:sz w:val="28"/>
          <w:szCs w:val="28"/>
          <w:highlight w:val="none"/>
        </w:rPr>
        <w:t>因供应商填写有误，造成以上信息资料的不实将由供应商承担责任。</w:t>
      </w:r>
    </w:p>
    <w:p w14:paraId="4225A188">
      <w:pPr>
        <w:rPr>
          <w:rFonts w:hint="eastAsia" w:ascii="宋体" w:hAnsi="宋体" w:eastAsia="宋体" w:cs="宋体"/>
          <w:b/>
          <w:color w:val="auto"/>
          <w:sz w:val="28"/>
          <w:szCs w:val="28"/>
          <w:highlight w:val="none"/>
        </w:rPr>
      </w:pPr>
    </w:p>
    <w:sectPr>
      <w:pgSz w:w="11906" w:h="16838"/>
      <w:pgMar w:top="1270" w:right="1083" w:bottom="1270" w:left="1083" w:header="1191" w:footer="992" w:gutter="0"/>
      <w:pgBorders>
        <w:top w:val="none" w:sz="0" w:space="0"/>
        <w:left w:val="none" w:sz="0" w:space="0"/>
        <w:bottom w:val="none" w:sz="0" w:space="0"/>
        <w:right w:val="none" w:sz="0" w:space="0"/>
      </w:pgBorders>
      <w:pgNumType w:fmt="numberInDash"/>
      <w:cols w:space="0" w:num="1"/>
      <w:docGrid w:type="lines" w:linePitch="32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rif">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5BD09">
    <w:pPr>
      <w:pStyle w:val="19"/>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888F277">
                          <w:pPr>
                            <w:pStyle w:val="1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7888F277">
                    <w:pPr>
                      <w:pStyle w:val="1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C871D">
    <w:pPr>
      <w:pStyle w:val="19"/>
      <w:tabs>
        <w:tab w:val="center" w:pos="4536"/>
        <w:tab w:val="clear" w:pos="4153"/>
      </w:tabs>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04FB371">
                          <w:pPr>
                            <w:pStyle w:val="1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04FB371">
                    <w:pPr>
                      <w:pStyle w:val="19"/>
                    </w:pPr>
                    <w:r>
                      <w:fldChar w:fldCharType="begin"/>
                    </w:r>
                    <w:r>
                      <w:instrText xml:space="preserve"> PAGE  \* MERGEFORMAT </w:instrText>
                    </w:r>
                    <w:r>
                      <w:fldChar w:fldCharType="separate"/>
                    </w:r>
                    <w:r>
                      <w:t>- 1 -</w:t>
                    </w:r>
                    <w:r>
                      <w:fldChar w:fldCharType="end"/>
                    </w:r>
                  </w:p>
                </w:txbxContent>
              </v:textbox>
            </v:shape>
          </w:pict>
        </mc:Fallback>
      </mc:AlternateConten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62048">
    <w:pPr>
      <w:pStyle w:val="20"/>
      <w:ind w:firstLine="360" w:firstLineChars="200"/>
      <w:jc w:val="both"/>
    </w:pPr>
    <w:r>
      <w:rPr>
        <w:rFonts w:hint="eastAsia" w:ascii="宋体" w:hAnsi="宋体" w:cs="宋体"/>
        <w:lang w:eastAsia="zh-CN"/>
      </w:rPr>
      <w:t>YDFYSW-20261101</w:t>
    </w:r>
    <w:r>
      <w:rPr>
        <w:rFonts w:hint="eastAsia" w:ascii="宋体" w:hAnsi="宋体" w:cs="宋体"/>
      </w:rPr>
      <w:t>号</w:t>
    </w:r>
    <w:r>
      <w:rPr>
        <w:rFonts w:hint="eastAsia" w:ascii="宋体" w:hAnsi="宋体" w:cs="宋体"/>
        <w:lang w:val="en-US" w:eastAsia="zh-CN"/>
      </w:rPr>
      <w:t xml:space="preserve">                                                          </w:t>
    </w:r>
    <w:r>
      <w:rPr>
        <w:rFonts w:hint="eastAsia"/>
      </w:rPr>
      <w:t>江苏苏维工程管理有限公司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7C0EA6"/>
    <w:multiLevelType w:val="singleLevel"/>
    <w:tmpl w:val="AA7C0EA6"/>
    <w:lvl w:ilvl="0" w:tentative="0">
      <w:start w:val="6"/>
      <w:numFmt w:val="chineseCounting"/>
      <w:suff w:val="nothing"/>
      <w:lvlText w:val="%1、"/>
      <w:lvlJc w:val="left"/>
      <w:rPr>
        <w:rFonts w:hint="eastAsia"/>
      </w:rPr>
    </w:lvl>
  </w:abstractNum>
  <w:abstractNum w:abstractNumId="1">
    <w:nsid w:val="FB366D5F"/>
    <w:multiLevelType w:val="singleLevel"/>
    <w:tmpl w:val="FB366D5F"/>
    <w:lvl w:ilvl="0" w:tentative="0">
      <w:start w:val="1"/>
      <w:numFmt w:val="decimal"/>
      <w:suff w:val="nothing"/>
      <w:lvlText w:val="%1."/>
      <w:lvlJc w:val="left"/>
      <w:rPr>
        <w:rFonts w:hint="default"/>
        <w:b w:val="0"/>
        <w:bCs w:val="0"/>
      </w:rPr>
    </w:lvl>
  </w:abstractNum>
  <w:abstractNum w:abstractNumId="2">
    <w:nsid w:val="11033C00"/>
    <w:multiLevelType w:val="singleLevel"/>
    <w:tmpl w:val="11033C00"/>
    <w:lvl w:ilvl="0" w:tentative="0">
      <w:start w:val="1"/>
      <w:numFmt w:val="bullet"/>
      <w:pStyle w:val="13"/>
      <w:lvlText w:val=""/>
      <w:lvlJc w:val="left"/>
      <w:pPr>
        <w:tabs>
          <w:tab w:val="left" w:pos="780"/>
        </w:tabs>
        <w:ind w:left="780" w:hanging="360"/>
      </w:pPr>
      <w:rPr>
        <w:rFonts w:hint="default" w:ascii="Wingdings" w:hAnsi="Wingdings"/>
      </w:rPr>
    </w:lvl>
  </w:abstractNum>
  <w:abstractNum w:abstractNumId="3">
    <w:nsid w:val="237E4D61"/>
    <w:multiLevelType w:val="multilevel"/>
    <w:tmpl w:val="237E4D61"/>
    <w:lvl w:ilvl="0" w:tentative="0">
      <w:start w:val="1"/>
      <w:numFmt w:val="japaneseCounting"/>
      <w:lvlText w:val="第%1章"/>
      <w:lvlJc w:val="left"/>
      <w:pPr>
        <w:ind w:left="300" w:hanging="420"/>
      </w:pPr>
      <w:rPr>
        <w:rFonts w:hint="eastAsia" w:ascii="黑体" w:eastAsia="黑体"/>
        <w:b w:val="0"/>
        <w:sz w:val="36"/>
        <w:lang w:val="en-US"/>
      </w:rPr>
    </w:lvl>
    <w:lvl w:ilvl="1" w:tentative="0">
      <w:start w:val="1"/>
      <w:numFmt w:val="decimal"/>
      <w:pStyle w:val="94"/>
      <w:isLgl/>
      <w:lvlText w:val="%1.%2"/>
      <w:lvlJc w:val="left"/>
      <w:pPr>
        <w:tabs>
          <w:tab w:val="left" w:pos="851"/>
        </w:tabs>
        <w:ind w:left="0" w:firstLine="0"/>
      </w:pPr>
    </w:lvl>
    <w:lvl w:ilvl="2" w:tentative="0">
      <w:start w:val="1"/>
      <w:numFmt w:val="decimal"/>
      <w:pStyle w:val="88"/>
      <w:isLgl/>
      <w:lvlText w:val="%1.%2.%3"/>
      <w:lvlJc w:val="left"/>
      <w:pPr>
        <w:tabs>
          <w:tab w:val="left" w:pos="851"/>
        </w:tabs>
        <w:ind w:left="0" w:firstLine="0"/>
      </w:pPr>
      <w:rPr>
        <w:color w:val="000000"/>
      </w:rPr>
    </w:lvl>
    <w:lvl w:ilvl="3" w:tentative="0">
      <w:start w:val="1"/>
      <w:numFmt w:val="decimal"/>
      <w:isLgl/>
      <w:lvlText w:val="%1.%2.%3.%4"/>
      <w:lvlJc w:val="left"/>
      <w:pPr>
        <w:tabs>
          <w:tab w:val="left" w:pos="1134"/>
        </w:tabs>
        <w:ind w:left="0" w:firstLine="0"/>
      </w:pPr>
      <w:rPr>
        <w:rFonts w:hint="eastAsia"/>
      </w:rPr>
    </w:lvl>
    <w:lvl w:ilvl="4" w:tentative="0">
      <w:start w:val="1"/>
      <w:numFmt w:val="decimal"/>
      <w:lvlText w:val="%1.%2.%3.%4.%5"/>
      <w:lvlJc w:val="left"/>
      <w:pPr>
        <w:tabs>
          <w:tab w:val="left" w:pos="4850"/>
        </w:tabs>
        <w:ind w:left="4620" w:hanging="850"/>
      </w:pPr>
      <w:rPr>
        <w:rFonts w:hint="eastAsia"/>
      </w:rPr>
    </w:lvl>
    <w:lvl w:ilvl="5" w:tentative="0">
      <w:start w:val="1"/>
      <w:numFmt w:val="decimal"/>
      <w:lvlText w:val="%1.%2.%3.%4.%5.%6"/>
      <w:lvlJc w:val="left"/>
      <w:pPr>
        <w:tabs>
          <w:tab w:val="left" w:pos="5635"/>
        </w:tabs>
        <w:ind w:left="5329" w:hanging="1134"/>
      </w:pPr>
      <w:rPr>
        <w:rFonts w:hint="eastAsia"/>
      </w:rPr>
    </w:lvl>
    <w:lvl w:ilvl="6" w:tentative="0">
      <w:start w:val="1"/>
      <w:numFmt w:val="decimal"/>
      <w:lvlText w:val="%1.%2.%3.%4.%5.%6.%7"/>
      <w:lvlJc w:val="left"/>
      <w:pPr>
        <w:tabs>
          <w:tab w:val="left" w:pos="6420"/>
        </w:tabs>
        <w:ind w:left="5896" w:hanging="1276"/>
      </w:pPr>
      <w:rPr>
        <w:rFonts w:hint="eastAsia"/>
      </w:rPr>
    </w:lvl>
    <w:lvl w:ilvl="7" w:tentative="0">
      <w:start w:val="1"/>
      <w:numFmt w:val="decimal"/>
      <w:lvlText w:val="%1.%2.%3.%4.%5.%6.%7.%8"/>
      <w:lvlJc w:val="left"/>
      <w:pPr>
        <w:tabs>
          <w:tab w:val="left" w:pos="6845"/>
        </w:tabs>
        <w:ind w:left="6463" w:hanging="1418"/>
      </w:pPr>
      <w:rPr>
        <w:rFonts w:hint="eastAsia"/>
      </w:rPr>
    </w:lvl>
    <w:lvl w:ilvl="8" w:tentative="0">
      <w:start w:val="1"/>
      <w:numFmt w:val="decimal"/>
      <w:lvlText w:val="%1.%2.%3.%4.%5.%6.%7.%8.%9"/>
      <w:lvlJc w:val="left"/>
      <w:pPr>
        <w:tabs>
          <w:tab w:val="left" w:pos="7631"/>
        </w:tabs>
        <w:ind w:left="7171" w:hanging="1700"/>
      </w:pPr>
      <w:rPr>
        <w:rFonts w:hint="eastAsia"/>
      </w:rPr>
    </w:lvl>
  </w:abstractNum>
  <w:abstractNum w:abstractNumId="4">
    <w:nsid w:val="5A4D868E"/>
    <w:multiLevelType w:val="singleLevel"/>
    <w:tmpl w:val="5A4D868E"/>
    <w:lvl w:ilvl="0" w:tentative="0">
      <w:start w:val="3"/>
      <w:numFmt w:val="chineseCounting"/>
      <w:suff w:val="nothing"/>
      <w:lvlText w:val="%1、"/>
      <w:lvlJc w:val="left"/>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210"/>
  <w:drawingGridVerticalSpacing w:val="162"/>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4YzZiNGZiNTE0ZjM0MDI5NDk1MzQzMzBmODgwMzUifQ=="/>
  </w:docVars>
  <w:rsids>
    <w:rsidRoot w:val="003D6ED5"/>
    <w:rsid w:val="00003582"/>
    <w:rsid w:val="000058E6"/>
    <w:rsid w:val="00013654"/>
    <w:rsid w:val="00021DB6"/>
    <w:rsid w:val="00027727"/>
    <w:rsid w:val="000308B7"/>
    <w:rsid w:val="00032643"/>
    <w:rsid w:val="00044430"/>
    <w:rsid w:val="00061825"/>
    <w:rsid w:val="00062384"/>
    <w:rsid w:val="00072D76"/>
    <w:rsid w:val="00076E0B"/>
    <w:rsid w:val="00087D1B"/>
    <w:rsid w:val="000942B7"/>
    <w:rsid w:val="00095538"/>
    <w:rsid w:val="000A002F"/>
    <w:rsid w:val="000A6FCA"/>
    <w:rsid w:val="000B0B1B"/>
    <w:rsid w:val="000B2375"/>
    <w:rsid w:val="000B286F"/>
    <w:rsid w:val="000B44D3"/>
    <w:rsid w:val="000C2882"/>
    <w:rsid w:val="000C3DA7"/>
    <w:rsid w:val="000E198E"/>
    <w:rsid w:val="000E1FED"/>
    <w:rsid w:val="000E3FC3"/>
    <w:rsid w:val="000E4474"/>
    <w:rsid w:val="000E4D63"/>
    <w:rsid w:val="000E51BD"/>
    <w:rsid w:val="001032A1"/>
    <w:rsid w:val="00103897"/>
    <w:rsid w:val="001152BF"/>
    <w:rsid w:val="00116ECE"/>
    <w:rsid w:val="00122D34"/>
    <w:rsid w:val="00125756"/>
    <w:rsid w:val="00135135"/>
    <w:rsid w:val="001406B1"/>
    <w:rsid w:val="0015004B"/>
    <w:rsid w:val="00175BD5"/>
    <w:rsid w:val="001A0DFD"/>
    <w:rsid w:val="001A0F32"/>
    <w:rsid w:val="001A450D"/>
    <w:rsid w:val="001A6157"/>
    <w:rsid w:val="001A72F1"/>
    <w:rsid w:val="001B3313"/>
    <w:rsid w:val="001C0B23"/>
    <w:rsid w:val="001E0949"/>
    <w:rsid w:val="001F7F7E"/>
    <w:rsid w:val="0020381C"/>
    <w:rsid w:val="00207C7F"/>
    <w:rsid w:val="002179D5"/>
    <w:rsid w:val="002205DA"/>
    <w:rsid w:val="0024360F"/>
    <w:rsid w:val="00247343"/>
    <w:rsid w:val="002520C8"/>
    <w:rsid w:val="0025453A"/>
    <w:rsid w:val="00260EFF"/>
    <w:rsid w:val="002644ED"/>
    <w:rsid w:val="002831B3"/>
    <w:rsid w:val="002858F6"/>
    <w:rsid w:val="00285B00"/>
    <w:rsid w:val="00292CBD"/>
    <w:rsid w:val="00296707"/>
    <w:rsid w:val="002B247F"/>
    <w:rsid w:val="002B6EA1"/>
    <w:rsid w:val="002B7B38"/>
    <w:rsid w:val="002C2EA6"/>
    <w:rsid w:val="002E77D8"/>
    <w:rsid w:val="00303E2F"/>
    <w:rsid w:val="003042F5"/>
    <w:rsid w:val="00311A61"/>
    <w:rsid w:val="003139BF"/>
    <w:rsid w:val="00321D2B"/>
    <w:rsid w:val="00326A6D"/>
    <w:rsid w:val="00331F05"/>
    <w:rsid w:val="0033757F"/>
    <w:rsid w:val="0034559A"/>
    <w:rsid w:val="003548C9"/>
    <w:rsid w:val="00357EFA"/>
    <w:rsid w:val="00362635"/>
    <w:rsid w:val="003651FB"/>
    <w:rsid w:val="00365D19"/>
    <w:rsid w:val="003731C7"/>
    <w:rsid w:val="00374E6A"/>
    <w:rsid w:val="00375CED"/>
    <w:rsid w:val="00395E44"/>
    <w:rsid w:val="003A0997"/>
    <w:rsid w:val="003A795C"/>
    <w:rsid w:val="003B3F4F"/>
    <w:rsid w:val="003B45AC"/>
    <w:rsid w:val="003D21B2"/>
    <w:rsid w:val="003D2A1B"/>
    <w:rsid w:val="003D6ED5"/>
    <w:rsid w:val="003F1847"/>
    <w:rsid w:val="003F2AC7"/>
    <w:rsid w:val="0041422B"/>
    <w:rsid w:val="00417EF4"/>
    <w:rsid w:val="00451A4C"/>
    <w:rsid w:val="00454509"/>
    <w:rsid w:val="00456A14"/>
    <w:rsid w:val="00457304"/>
    <w:rsid w:val="00460A02"/>
    <w:rsid w:val="00484E5D"/>
    <w:rsid w:val="004B1D9A"/>
    <w:rsid w:val="004C64F3"/>
    <w:rsid w:val="004D52D8"/>
    <w:rsid w:val="004E0863"/>
    <w:rsid w:val="004E7022"/>
    <w:rsid w:val="004F1FD1"/>
    <w:rsid w:val="004F7264"/>
    <w:rsid w:val="0050076F"/>
    <w:rsid w:val="00500E35"/>
    <w:rsid w:val="00502537"/>
    <w:rsid w:val="00517311"/>
    <w:rsid w:val="0051739D"/>
    <w:rsid w:val="00520CC3"/>
    <w:rsid w:val="00523CEB"/>
    <w:rsid w:val="005319D6"/>
    <w:rsid w:val="00536408"/>
    <w:rsid w:val="005574FC"/>
    <w:rsid w:val="0056405A"/>
    <w:rsid w:val="00564A20"/>
    <w:rsid w:val="00573818"/>
    <w:rsid w:val="005918DA"/>
    <w:rsid w:val="005939EC"/>
    <w:rsid w:val="00594D16"/>
    <w:rsid w:val="00596E5D"/>
    <w:rsid w:val="005A3D55"/>
    <w:rsid w:val="005C088A"/>
    <w:rsid w:val="005C3BD3"/>
    <w:rsid w:val="005C4E76"/>
    <w:rsid w:val="005D4603"/>
    <w:rsid w:val="005D58C8"/>
    <w:rsid w:val="005E0802"/>
    <w:rsid w:val="005E0AA6"/>
    <w:rsid w:val="005E3D95"/>
    <w:rsid w:val="005F0881"/>
    <w:rsid w:val="005F0FA2"/>
    <w:rsid w:val="00612345"/>
    <w:rsid w:val="006129CA"/>
    <w:rsid w:val="00621C19"/>
    <w:rsid w:val="00641E3B"/>
    <w:rsid w:val="00643A0C"/>
    <w:rsid w:val="006614E6"/>
    <w:rsid w:val="0068336C"/>
    <w:rsid w:val="00690D7C"/>
    <w:rsid w:val="00692EB0"/>
    <w:rsid w:val="00694C9F"/>
    <w:rsid w:val="00696E23"/>
    <w:rsid w:val="006A22E3"/>
    <w:rsid w:val="006A448E"/>
    <w:rsid w:val="006A44F1"/>
    <w:rsid w:val="006A5D76"/>
    <w:rsid w:val="006B1A72"/>
    <w:rsid w:val="006B59ED"/>
    <w:rsid w:val="006C6077"/>
    <w:rsid w:val="006D2A98"/>
    <w:rsid w:val="006F3084"/>
    <w:rsid w:val="006F7FE9"/>
    <w:rsid w:val="00720ABA"/>
    <w:rsid w:val="00743F5B"/>
    <w:rsid w:val="0075598E"/>
    <w:rsid w:val="007637A0"/>
    <w:rsid w:val="00771B68"/>
    <w:rsid w:val="00773F7E"/>
    <w:rsid w:val="00777E73"/>
    <w:rsid w:val="00780B9A"/>
    <w:rsid w:val="00781044"/>
    <w:rsid w:val="00785921"/>
    <w:rsid w:val="0079386A"/>
    <w:rsid w:val="00797793"/>
    <w:rsid w:val="007A1658"/>
    <w:rsid w:val="007A5437"/>
    <w:rsid w:val="007B0453"/>
    <w:rsid w:val="007B5155"/>
    <w:rsid w:val="007C717F"/>
    <w:rsid w:val="007D71B5"/>
    <w:rsid w:val="007F0795"/>
    <w:rsid w:val="007F23A4"/>
    <w:rsid w:val="007F5B86"/>
    <w:rsid w:val="00810A0D"/>
    <w:rsid w:val="00832B97"/>
    <w:rsid w:val="00865348"/>
    <w:rsid w:val="008679B1"/>
    <w:rsid w:val="008A1735"/>
    <w:rsid w:val="008A6DE3"/>
    <w:rsid w:val="008C3E2F"/>
    <w:rsid w:val="008D0351"/>
    <w:rsid w:val="008D190E"/>
    <w:rsid w:val="008E003E"/>
    <w:rsid w:val="008E12DF"/>
    <w:rsid w:val="008E5E0A"/>
    <w:rsid w:val="008E7DEC"/>
    <w:rsid w:val="00902B6C"/>
    <w:rsid w:val="00906C8D"/>
    <w:rsid w:val="009111DD"/>
    <w:rsid w:val="0092561E"/>
    <w:rsid w:val="009269A2"/>
    <w:rsid w:val="00942EDF"/>
    <w:rsid w:val="00953426"/>
    <w:rsid w:val="00963AD9"/>
    <w:rsid w:val="009676EA"/>
    <w:rsid w:val="00974FDC"/>
    <w:rsid w:val="0099319E"/>
    <w:rsid w:val="009A4D4D"/>
    <w:rsid w:val="009A513B"/>
    <w:rsid w:val="009A5857"/>
    <w:rsid w:val="009B0E03"/>
    <w:rsid w:val="009B258E"/>
    <w:rsid w:val="009B4235"/>
    <w:rsid w:val="009B776D"/>
    <w:rsid w:val="009D0EDD"/>
    <w:rsid w:val="009D4C36"/>
    <w:rsid w:val="009D4E2C"/>
    <w:rsid w:val="009D6B1D"/>
    <w:rsid w:val="009E2F83"/>
    <w:rsid w:val="009E3C5F"/>
    <w:rsid w:val="009E5605"/>
    <w:rsid w:val="00A02A8A"/>
    <w:rsid w:val="00A14A83"/>
    <w:rsid w:val="00A1559D"/>
    <w:rsid w:val="00A1659D"/>
    <w:rsid w:val="00A2128C"/>
    <w:rsid w:val="00A27D10"/>
    <w:rsid w:val="00A41E47"/>
    <w:rsid w:val="00A432A2"/>
    <w:rsid w:val="00A44C8E"/>
    <w:rsid w:val="00A566D5"/>
    <w:rsid w:val="00A6244D"/>
    <w:rsid w:val="00A62700"/>
    <w:rsid w:val="00A72D2E"/>
    <w:rsid w:val="00A74C65"/>
    <w:rsid w:val="00A90305"/>
    <w:rsid w:val="00AA2C98"/>
    <w:rsid w:val="00AA5139"/>
    <w:rsid w:val="00AB0033"/>
    <w:rsid w:val="00AB62BA"/>
    <w:rsid w:val="00AB7314"/>
    <w:rsid w:val="00AC00B4"/>
    <w:rsid w:val="00AC65C5"/>
    <w:rsid w:val="00AD306F"/>
    <w:rsid w:val="00AE7BBE"/>
    <w:rsid w:val="00AF7F7D"/>
    <w:rsid w:val="00B0708A"/>
    <w:rsid w:val="00B101A7"/>
    <w:rsid w:val="00B1128A"/>
    <w:rsid w:val="00B2494E"/>
    <w:rsid w:val="00B3144C"/>
    <w:rsid w:val="00B34923"/>
    <w:rsid w:val="00B35B94"/>
    <w:rsid w:val="00B53BE4"/>
    <w:rsid w:val="00B571F3"/>
    <w:rsid w:val="00B66B32"/>
    <w:rsid w:val="00B71F65"/>
    <w:rsid w:val="00B86B46"/>
    <w:rsid w:val="00B91537"/>
    <w:rsid w:val="00B93F2F"/>
    <w:rsid w:val="00BA54F7"/>
    <w:rsid w:val="00BA5FBE"/>
    <w:rsid w:val="00BC0838"/>
    <w:rsid w:val="00BC22F6"/>
    <w:rsid w:val="00BD0F21"/>
    <w:rsid w:val="00BD1E0F"/>
    <w:rsid w:val="00BD665F"/>
    <w:rsid w:val="00BD709B"/>
    <w:rsid w:val="00BD775B"/>
    <w:rsid w:val="00BE31DC"/>
    <w:rsid w:val="00BF706B"/>
    <w:rsid w:val="00C066B4"/>
    <w:rsid w:val="00C166BA"/>
    <w:rsid w:val="00C31247"/>
    <w:rsid w:val="00C32987"/>
    <w:rsid w:val="00C36AA5"/>
    <w:rsid w:val="00C531B1"/>
    <w:rsid w:val="00C7221A"/>
    <w:rsid w:val="00C752AA"/>
    <w:rsid w:val="00C80C37"/>
    <w:rsid w:val="00CB2076"/>
    <w:rsid w:val="00CB3C62"/>
    <w:rsid w:val="00CD497D"/>
    <w:rsid w:val="00CD5F9B"/>
    <w:rsid w:val="00CE034B"/>
    <w:rsid w:val="00CE1C40"/>
    <w:rsid w:val="00CF08AD"/>
    <w:rsid w:val="00CF3752"/>
    <w:rsid w:val="00CF3D47"/>
    <w:rsid w:val="00CF5500"/>
    <w:rsid w:val="00D158FA"/>
    <w:rsid w:val="00D161E2"/>
    <w:rsid w:val="00D178C8"/>
    <w:rsid w:val="00D17B09"/>
    <w:rsid w:val="00D218EE"/>
    <w:rsid w:val="00D40460"/>
    <w:rsid w:val="00D419A2"/>
    <w:rsid w:val="00D51D19"/>
    <w:rsid w:val="00D6302E"/>
    <w:rsid w:val="00D6779E"/>
    <w:rsid w:val="00D724F7"/>
    <w:rsid w:val="00D90EAD"/>
    <w:rsid w:val="00D9443B"/>
    <w:rsid w:val="00DA0E14"/>
    <w:rsid w:val="00DA50F4"/>
    <w:rsid w:val="00DA5BE2"/>
    <w:rsid w:val="00DB74B7"/>
    <w:rsid w:val="00DD300C"/>
    <w:rsid w:val="00DD4062"/>
    <w:rsid w:val="00E0284B"/>
    <w:rsid w:val="00E035DA"/>
    <w:rsid w:val="00E235F1"/>
    <w:rsid w:val="00E31206"/>
    <w:rsid w:val="00E3350D"/>
    <w:rsid w:val="00E40880"/>
    <w:rsid w:val="00E408E7"/>
    <w:rsid w:val="00E467DF"/>
    <w:rsid w:val="00E5323A"/>
    <w:rsid w:val="00E73F17"/>
    <w:rsid w:val="00E85EA2"/>
    <w:rsid w:val="00E97F26"/>
    <w:rsid w:val="00EA427F"/>
    <w:rsid w:val="00EA7025"/>
    <w:rsid w:val="00EB3A0D"/>
    <w:rsid w:val="00EB508A"/>
    <w:rsid w:val="00EB73EB"/>
    <w:rsid w:val="00EC2B63"/>
    <w:rsid w:val="00EE04E8"/>
    <w:rsid w:val="00EE2CBC"/>
    <w:rsid w:val="00EE434E"/>
    <w:rsid w:val="00EE5873"/>
    <w:rsid w:val="00EE7E7F"/>
    <w:rsid w:val="00EF17DE"/>
    <w:rsid w:val="00EF2021"/>
    <w:rsid w:val="00EF7582"/>
    <w:rsid w:val="00EF7FC9"/>
    <w:rsid w:val="00F036C9"/>
    <w:rsid w:val="00F03C1B"/>
    <w:rsid w:val="00F237D5"/>
    <w:rsid w:val="00F27441"/>
    <w:rsid w:val="00F45AA5"/>
    <w:rsid w:val="00F50CDF"/>
    <w:rsid w:val="00F52A58"/>
    <w:rsid w:val="00F55FD3"/>
    <w:rsid w:val="00F60AA5"/>
    <w:rsid w:val="00F71FA0"/>
    <w:rsid w:val="00F778AB"/>
    <w:rsid w:val="00F8040B"/>
    <w:rsid w:val="00F8390D"/>
    <w:rsid w:val="00F97977"/>
    <w:rsid w:val="00FA6202"/>
    <w:rsid w:val="00FA7CEB"/>
    <w:rsid w:val="00FB1AF1"/>
    <w:rsid w:val="00FB4547"/>
    <w:rsid w:val="00FC709A"/>
    <w:rsid w:val="00FD05FC"/>
    <w:rsid w:val="00FD49EE"/>
    <w:rsid w:val="00FD6399"/>
    <w:rsid w:val="00FF3B95"/>
    <w:rsid w:val="00FF7164"/>
    <w:rsid w:val="010069C3"/>
    <w:rsid w:val="01042CD0"/>
    <w:rsid w:val="01066A48"/>
    <w:rsid w:val="0108714A"/>
    <w:rsid w:val="010A478A"/>
    <w:rsid w:val="010B405F"/>
    <w:rsid w:val="010E6ECC"/>
    <w:rsid w:val="010F6498"/>
    <w:rsid w:val="01135DB0"/>
    <w:rsid w:val="01163BC4"/>
    <w:rsid w:val="011C626C"/>
    <w:rsid w:val="012515C4"/>
    <w:rsid w:val="01253372"/>
    <w:rsid w:val="01260E98"/>
    <w:rsid w:val="01336B85"/>
    <w:rsid w:val="013637D1"/>
    <w:rsid w:val="01395070"/>
    <w:rsid w:val="013C2097"/>
    <w:rsid w:val="013D4B60"/>
    <w:rsid w:val="01434E3A"/>
    <w:rsid w:val="014814AF"/>
    <w:rsid w:val="014A4B87"/>
    <w:rsid w:val="014D4677"/>
    <w:rsid w:val="014E7371"/>
    <w:rsid w:val="0159126E"/>
    <w:rsid w:val="016F45ED"/>
    <w:rsid w:val="017032A3"/>
    <w:rsid w:val="01710365"/>
    <w:rsid w:val="017165B7"/>
    <w:rsid w:val="01743410"/>
    <w:rsid w:val="01746AF4"/>
    <w:rsid w:val="0179546C"/>
    <w:rsid w:val="017E6F26"/>
    <w:rsid w:val="01831A44"/>
    <w:rsid w:val="018362EB"/>
    <w:rsid w:val="018C1643"/>
    <w:rsid w:val="018E53BB"/>
    <w:rsid w:val="01916C5A"/>
    <w:rsid w:val="019462D8"/>
    <w:rsid w:val="019B1886"/>
    <w:rsid w:val="019D115B"/>
    <w:rsid w:val="01A87296"/>
    <w:rsid w:val="01AA755E"/>
    <w:rsid w:val="01AC3A93"/>
    <w:rsid w:val="01AC5842"/>
    <w:rsid w:val="01AF0E8E"/>
    <w:rsid w:val="01AF5385"/>
    <w:rsid w:val="01B3097E"/>
    <w:rsid w:val="01B6046E"/>
    <w:rsid w:val="01B87F15"/>
    <w:rsid w:val="01B97F5E"/>
    <w:rsid w:val="01BB5A85"/>
    <w:rsid w:val="01C20BC1"/>
    <w:rsid w:val="01C42B8B"/>
    <w:rsid w:val="01C8526E"/>
    <w:rsid w:val="01CA417B"/>
    <w:rsid w:val="01D17056"/>
    <w:rsid w:val="01D37272"/>
    <w:rsid w:val="01D408F4"/>
    <w:rsid w:val="01D55085"/>
    <w:rsid w:val="01D66247"/>
    <w:rsid w:val="01D84888"/>
    <w:rsid w:val="01E3068F"/>
    <w:rsid w:val="01E44FDB"/>
    <w:rsid w:val="01E527CE"/>
    <w:rsid w:val="01E74ACC"/>
    <w:rsid w:val="01EB45BC"/>
    <w:rsid w:val="01ED1B48"/>
    <w:rsid w:val="01F1594A"/>
    <w:rsid w:val="01F47488"/>
    <w:rsid w:val="01F62F61"/>
    <w:rsid w:val="01FB2325"/>
    <w:rsid w:val="02076F1C"/>
    <w:rsid w:val="02092C94"/>
    <w:rsid w:val="020B5B51"/>
    <w:rsid w:val="0216715F"/>
    <w:rsid w:val="021F4265"/>
    <w:rsid w:val="021F6D1A"/>
    <w:rsid w:val="02201D8C"/>
    <w:rsid w:val="02203329"/>
    <w:rsid w:val="0222365C"/>
    <w:rsid w:val="02245B5B"/>
    <w:rsid w:val="0227136C"/>
    <w:rsid w:val="023575E5"/>
    <w:rsid w:val="023F0464"/>
    <w:rsid w:val="02401036"/>
    <w:rsid w:val="024044E2"/>
    <w:rsid w:val="02441F1E"/>
    <w:rsid w:val="02454550"/>
    <w:rsid w:val="02497534"/>
    <w:rsid w:val="02532161"/>
    <w:rsid w:val="02555DE0"/>
    <w:rsid w:val="025657AD"/>
    <w:rsid w:val="02571C51"/>
    <w:rsid w:val="02581525"/>
    <w:rsid w:val="025E59EC"/>
    <w:rsid w:val="02663C42"/>
    <w:rsid w:val="026B74AB"/>
    <w:rsid w:val="026E2AF7"/>
    <w:rsid w:val="026F6516"/>
    <w:rsid w:val="027500FA"/>
    <w:rsid w:val="027C5214"/>
    <w:rsid w:val="02847B9A"/>
    <w:rsid w:val="028B5457"/>
    <w:rsid w:val="028D295C"/>
    <w:rsid w:val="028D5673"/>
    <w:rsid w:val="029032C2"/>
    <w:rsid w:val="02906F11"/>
    <w:rsid w:val="02927177"/>
    <w:rsid w:val="0297204E"/>
    <w:rsid w:val="029755E9"/>
    <w:rsid w:val="029D518A"/>
    <w:rsid w:val="02A12ECC"/>
    <w:rsid w:val="02A14633"/>
    <w:rsid w:val="02A36C44"/>
    <w:rsid w:val="02A4476B"/>
    <w:rsid w:val="02B250DA"/>
    <w:rsid w:val="02B81FC4"/>
    <w:rsid w:val="02BE2EDE"/>
    <w:rsid w:val="02C46BBB"/>
    <w:rsid w:val="02C95F7F"/>
    <w:rsid w:val="02CE68C6"/>
    <w:rsid w:val="02D50DC8"/>
    <w:rsid w:val="02E01C47"/>
    <w:rsid w:val="02E66B31"/>
    <w:rsid w:val="02E844CA"/>
    <w:rsid w:val="02F23728"/>
    <w:rsid w:val="02F254D6"/>
    <w:rsid w:val="02F513EE"/>
    <w:rsid w:val="02F76F90"/>
    <w:rsid w:val="02F77E61"/>
    <w:rsid w:val="02F96864"/>
    <w:rsid w:val="02FE20CD"/>
    <w:rsid w:val="031418F0"/>
    <w:rsid w:val="03157416"/>
    <w:rsid w:val="031B02A5"/>
    <w:rsid w:val="031D7543"/>
    <w:rsid w:val="0328539C"/>
    <w:rsid w:val="032D4760"/>
    <w:rsid w:val="03343D40"/>
    <w:rsid w:val="033B50CF"/>
    <w:rsid w:val="03404493"/>
    <w:rsid w:val="03425C39"/>
    <w:rsid w:val="034321D6"/>
    <w:rsid w:val="034A70C0"/>
    <w:rsid w:val="034D5288"/>
    <w:rsid w:val="035000AB"/>
    <w:rsid w:val="03522419"/>
    <w:rsid w:val="03525F75"/>
    <w:rsid w:val="035937A7"/>
    <w:rsid w:val="035D17BD"/>
    <w:rsid w:val="035D4076"/>
    <w:rsid w:val="035D422C"/>
    <w:rsid w:val="03716D43"/>
    <w:rsid w:val="0374238F"/>
    <w:rsid w:val="03795BF7"/>
    <w:rsid w:val="03863E70"/>
    <w:rsid w:val="038D16A3"/>
    <w:rsid w:val="038F0DD1"/>
    <w:rsid w:val="03921B3D"/>
    <w:rsid w:val="039667A9"/>
    <w:rsid w:val="03990047"/>
    <w:rsid w:val="039C3694"/>
    <w:rsid w:val="03A5079A"/>
    <w:rsid w:val="03A96DB1"/>
    <w:rsid w:val="03AA4003"/>
    <w:rsid w:val="03AA7B5F"/>
    <w:rsid w:val="03AB7F61"/>
    <w:rsid w:val="03AC7D7B"/>
    <w:rsid w:val="03B24C65"/>
    <w:rsid w:val="03B84619"/>
    <w:rsid w:val="03B86720"/>
    <w:rsid w:val="03C23461"/>
    <w:rsid w:val="03C350C4"/>
    <w:rsid w:val="03C36E72"/>
    <w:rsid w:val="03C84489"/>
    <w:rsid w:val="03C86B0F"/>
    <w:rsid w:val="03CE5F43"/>
    <w:rsid w:val="03D46029"/>
    <w:rsid w:val="03D66BA6"/>
    <w:rsid w:val="03DE5A5A"/>
    <w:rsid w:val="03E13472"/>
    <w:rsid w:val="03E77005"/>
    <w:rsid w:val="03EC0177"/>
    <w:rsid w:val="03F60FF6"/>
    <w:rsid w:val="03FF434E"/>
    <w:rsid w:val="04001E75"/>
    <w:rsid w:val="040556DD"/>
    <w:rsid w:val="040940B1"/>
    <w:rsid w:val="040C25C7"/>
    <w:rsid w:val="040D73E3"/>
    <w:rsid w:val="04111670"/>
    <w:rsid w:val="041116DA"/>
    <w:rsid w:val="04127C56"/>
    <w:rsid w:val="04131BA8"/>
    <w:rsid w:val="041729E0"/>
    <w:rsid w:val="041871BE"/>
    <w:rsid w:val="041D47D5"/>
    <w:rsid w:val="04253689"/>
    <w:rsid w:val="042711AF"/>
    <w:rsid w:val="042A6EF2"/>
    <w:rsid w:val="0430275A"/>
    <w:rsid w:val="0431202E"/>
    <w:rsid w:val="043A26E3"/>
    <w:rsid w:val="043A5387"/>
    <w:rsid w:val="043E1FEF"/>
    <w:rsid w:val="043F332D"/>
    <w:rsid w:val="043F7501"/>
    <w:rsid w:val="0442248D"/>
    <w:rsid w:val="04484FF1"/>
    <w:rsid w:val="044B5AAE"/>
    <w:rsid w:val="045126D0"/>
    <w:rsid w:val="045439B3"/>
    <w:rsid w:val="0458580D"/>
    <w:rsid w:val="045D72C7"/>
    <w:rsid w:val="046248DD"/>
    <w:rsid w:val="04695C6C"/>
    <w:rsid w:val="046C21D0"/>
    <w:rsid w:val="046C3066"/>
    <w:rsid w:val="046E3282"/>
    <w:rsid w:val="047010F6"/>
    <w:rsid w:val="047311FB"/>
    <w:rsid w:val="04763EE5"/>
    <w:rsid w:val="0478449D"/>
    <w:rsid w:val="047A5783"/>
    <w:rsid w:val="047D100A"/>
    <w:rsid w:val="047D4ADB"/>
    <w:rsid w:val="047E51B3"/>
    <w:rsid w:val="04802709"/>
    <w:rsid w:val="04844854"/>
    <w:rsid w:val="04846602"/>
    <w:rsid w:val="04877EA0"/>
    <w:rsid w:val="04932CE9"/>
    <w:rsid w:val="04934A97"/>
    <w:rsid w:val="04AB1DE0"/>
    <w:rsid w:val="04B02D72"/>
    <w:rsid w:val="04BC5D9C"/>
    <w:rsid w:val="04BE6324"/>
    <w:rsid w:val="04C75A94"/>
    <w:rsid w:val="04CE58E0"/>
    <w:rsid w:val="04D72BD5"/>
    <w:rsid w:val="04D94B9F"/>
    <w:rsid w:val="04DB0DF1"/>
    <w:rsid w:val="04DC4690"/>
    <w:rsid w:val="04DC643E"/>
    <w:rsid w:val="04E050DE"/>
    <w:rsid w:val="04E11CA6"/>
    <w:rsid w:val="04E452F2"/>
    <w:rsid w:val="04E53C72"/>
    <w:rsid w:val="04EB48D3"/>
    <w:rsid w:val="04ED064B"/>
    <w:rsid w:val="04EF43C3"/>
    <w:rsid w:val="04F01EE9"/>
    <w:rsid w:val="04F03C97"/>
    <w:rsid w:val="04F27A0F"/>
    <w:rsid w:val="04F973C6"/>
    <w:rsid w:val="04FD4EBC"/>
    <w:rsid w:val="04FE4606"/>
    <w:rsid w:val="04FF037E"/>
    <w:rsid w:val="05040B57"/>
    <w:rsid w:val="05044491"/>
    <w:rsid w:val="05045994"/>
    <w:rsid w:val="05092FAB"/>
    <w:rsid w:val="050A3155"/>
    <w:rsid w:val="050E236F"/>
    <w:rsid w:val="051122DE"/>
    <w:rsid w:val="05122FB5"/>
    <w:rsid w:val="05151950"/>
    <w:rsid w:val="051C2CDE"/>
    <w:rsid w:val="051E0804"/>
    <w:rsid w:val="0523406D"/>
    <w:rsid w:val="05353DA0"/>
    <w:rsid w:val="05385126"/>
    <w:rsid w:val="053E4A03"/>
    <w:rsid w:val="053E74DA"/>
    <w:rsid w:val="0543026B"/>
    <w:rsid w:val="0544074C"/>
    <w:rsid w:val="054C48B1"/>
    <w:rsid w:val="054E3E47"/>
    <w:rsid w:val="05544226"/>
    <w:rsid w:val="055A352B"/>
    <w:rsid w:val="055A55B4"/>
    <w:rsid w:val="05600E1D"/>
    <w:rsid w:val="0560706F"/>
    <w:rsid w:val="05614B95"/>
    <w:rsid w:val="0567285A"/>
    <w:rsid w:val="05687CD1"/>
    <w:rsid w:val="05721780"/>
    <w:rsid w:val="057335C1"/>
    <w:rsid w:val="05860158"/>
    <w:rsid w:val="05863F97"/>
    <w:rsid w:val="05883ED0"/>
    <w:rsid w:val="05937CDE"/>
    <w:rsid w:val="05952DBB"/>
    <w:rsid w:val="05976809"/>
    <w:rsid w:val="059960DD"/>
    <w:rsid w:val="059B1E55"/>
    <w:rsid w:val="059C797B"/>
    <w:rsid w:val="059D3E1F"/>
    <w:rsid w:val="05A01219"/>
    <w:rsid w:val="05A0746B"/>
    <w:rsid w:val="05A306C5"/>
    <w:rsid w:val="05A629D1"/>
    <w:rsid w:val="05AA0A4B"/>
    <w:rsid w:val="05AC577E"/>
    <w:rsid w:val="05AD2CD8"/>
    <w:rsid w:val="05B41169"/>
    <w:rsid w:val="05B44CC5"/>
    <w:rsid w:val="05B66F09"/>
    <w:rsid w:val="05C25634"/>
    <w:rsid w:val="05C50C80"/>
    <w:rsid w:val="05CA794E"/>
    <w:rsid w:val="05CF0BA4"/>
    <w:rsid w:val="05CF47C6"/>
    <w:rsid w:val="05DB04A3"/>
    <w:rsid w:val="05DB4947"/>
    <w:rsid w:val="05E51322"/>
    <w:rsid w:val="05EA4B8A"/>
    <w:rsid w:val="05ED1043"/>
    <w:rsid w:val="05EE6DAA"/>
    <w:rsid w:val="05EE6F91"/>
    <w:rsid w:val="05F24F24"/>
    <w:rsid w:val="05F5747E"/>
    <w:rsid w:val="05F72E03"/>
    <w:rsid w:val="05F91E7B"/>
    <w:rsid w:val="060967F3"/>
    <w:rsid w:val="060D1600"/>
    <w:rsid w:val="061816F7"/>
    <w:rsid w:val="061A7F2D"/>
    <w:rsid w:val="061C7753"/>
    <w:rsid w:val="0622111A"/>
    <w:rsid w:val="06231E4A"/>
    <w:rsid w:val="062E2CC9"/>
    <w:rsid w:val="063564EA"/>
    <w:rsid w:val="06367DD0"/>
    <w:rsid w:val="063D3F02"/>
    <w:rsid w:val="063F4ED6"/>
    <w:rsid w:val="06431415"/>
    <w:rsid w:val="064A73D7"/>
    <w:rsid w:val="064E5119"/>
    <w:rsid w:val="0659586C"/>
    <w:rsid w:val="065B7836"/>
    <w:rsid w:val="0661309E"/>
    <w:rsid w:val="066165AE"/>
    <w:rsid w:val="067032E2"/>
    <w:rsid w:val="067B1209"/>
    <w:rsid w:val="06812F53"/>
    <w:rsid w:val="06856661"/>
    <w:rsid w:val="068E19BA"/>
    <w:rsid w:val="068E5516"/>
    <w:rsid w:val="06915006"/>
    <w:rsid w:val="06936FD0"/>
    <w:rsid w:val="06941D93"/>
    <w:rsid w:val="0696086E"/>
    <w:rsid w:val="06A0080C"/>
    <w:rsid w:val="06A47322"/>
    <w:rsid w:val="06A72A7B"/>
    <w:rsid w:val="06A905A2"/>
    <w:rsid w:val="06AE7966"/>
    <w:rsid w:val="06B156A8"/>
    <w:rsid w:val="06B92EFF"/>
    <w:rsid w:val="06B93618"/>
    <w:rsid w:val="06BA630B"/>
    <w:rsid w:val="06BD229F"/>
    <w:rsid w:val="06C23411"/>
    <w:rsid w:val="06C278B5"/>
    <w:rsid w:val="06CE0008"/>
    <w:rsid w:val="06CE1DB6"/>
    <w:rsid w:val="06CE306C"/>
    <w:rsid w:val="06D373CC"/>
    <w:rsid w:val="06D51397"/>
    <w:rsid w:val="06D67EFC"/>
    <w:rsid w:val="06DA4BFF"/>
    <w:rsid w:val="06DD1E44"/>
    <w:rsid w:val="06DD74B2"/>
    <w:rsid w:val="06E15F8D"/>
    <w:rsid w:val="06E31D05"/>
    <w:rsid w:val="06E92E40"/>
    <w:rsid w:val="06ED4932"/>
    <w:rsid w:val="06EE06AA"/>
    <w:rsid w:val="06F37A6F"/>
    <w:rsid w:val="06F51A39"/>
    <w:rsid w:val="06F757B1"/>
    <w:rsid w:val="06F85085"/>
    <w:rsid w:val="06FD269B"/>
    <w:rsid w:val="06FE6B3F"/>
    <w:rsid w:val="07027A18"/>
    <w:rsid w:val="070D4E50"/>
    <w:rsid w:val="07151D6E"/>
    <w:rsid w:val="071D4AEC"/>
    <w:rsid w:val="071D689A"/>
    <w:rsid w:val="072258B7"/>
    <w:rsid w:val="072365A6"/>
    <w:rsid w:val="072732AB"/>
    <w:rsid w:val="07283BBC"/>
    <w:rsid w:val="073065CD"/>
    <w:rsid w:val="07367CF9"/>
    <w:rsid w:val="073C7962"/>
    <w:rsid w:val="07455D9F"/>
    <w:rsid w:val="074958E1"/>
    <w:rsid w:val="074B16CD"/>
    <w:rsid w:val="074B354F"/>
    <w:rsid w:val="074D3623"/>
    <w:rsid w:val="074D53D1"/>
    <w:rsid w:val="074E5043"/>
    <w:rsid w:val="07504551"/>
    <w:rsid w:val="075276EC"/>
    <w:rsid w:val="075819F8"/>
    <w:rsid w:val="07591FC7"/>
    <w:rsid w:val="07593D76"/>
    <w:rsid w:val="07610E7C"/>
    <w:rsid w:val="076D7821"/>
    <w:rsid w:val="076F17EB"/>
    <w:rsid w:val="07723089"/>
    <w:rsid w:val="077E06BA"/>
    <w:rsid w:val="07886409"/>
    <w:rsid w:val="078D1C71"/>
    <w:rsid w:val="078E1545"/>
    <w:rsid w:val="078F32E3"/>
    <w:rsid w:val="0794171E"/>
    <w:rsid w:val="07966D78"/>
    <w:rsid w:val="07983A54"/>
    <w:rsid w:val="079E79DA"/>
    <w:rsid w:val="079F1B8B"/>
    <w:rsid w:val="07A5520D"/>
    <w:rsid w:val="07A82607"/>
    <w:rsid w:val="07A86AAB"/>
    <w:rsid w:val="07AC659B"/>
    <w:rsid w:val="07AE39F0"/>
    <w:rsid w:val="07B35A21"/>
    <w:rsid w:val="07B611C8"/>
    <w:rsid w:val="07BA233A"/>
    <w:rsid w:val="07BD69FF"/>
    <w:rsid w:val="07C05BA3"/>
    <w:rsid w:val="07C17B6D"/>
    <w:rsid w:val="07C37441"/>
    <w:rsid w:val="07CA6288"/>
    <w:rsid w:val="07CD0153"/>
    <w:rsid w:val="07CD6512"/>
    <w:rsid w:val="07D15ABF"/>
    <w:rsid w:val="07D16002"/>
    <w:rsid w:val="07D17DB0"/>
    <w:rsid w:val="07D433FC"/>
    <w:rsid w:val="07D45A45"/>
    <w:rsid w:val="07D63618"/>
    <w:rsid w:val="07D848A8"/>
    <w:rsid w:val="07DB2016"/>
    <w:rsid w:val="07DC1CAA"/>
    <w:rsid w:val="07DD33D3"/>
    <w:rsid w:val="07E06245"/>
    <w:rsid w:val="07E82A69"/>
    <w:rsid w:val="07ED44BE"/>
    <w:rsid w:val="07F615C4"/>
    <w:rsid w:val="07F61F78"/>
    <w:rsid w:val="07F817E1"/>
    <w:rsid w:val="07F87A11"/>
    <w:rsid w:val="07FE66CB"/>
    <w:rsid w:val="080041F1"/>
    <w:rsid w:val="08017F69"/>
    <w:rsid w:val="0803449C"/>
    <w:rsid w:val="080D4B60"/>
    <w:rsid w:val="08114650"/>
    <w:rsid w:val="08161C67"/>
    <w:rsid w:val="081E4FBF"/>
    <w:rsid w:val="08220261"/>
    <w:rsid w:val="08243B12"/>
    <w:rsid w:val="08275C22"/>
    <w:rsid w:val="083223B1"/>
    <w:rsid w:val="0838352D"/>
    <w:rsid w:val="08387E2F"/>
    <w:rsid w:val="083E11BD"/>
    <w:rsid w:val="08420CAE"/>
    <w:rsid w:val="0849203C"/>
    <w:rsid w:val="084C38DA"/>
    <w:rsid w:val="084C7436"/>
    <w:rsid w:val="08585DDB"/>
    <w:rsid w:val="086724C2"/>
    <w:rsid w:val="086C1887"/>
    <w:rsid w:val="0874698D"/>
    <w:rsid w:val="087B531C"/>
    <w:rsid w:val="088210AA"/>
    <w:rsid w:val="0889068B"/>
    <w:rsid w:val="088A346F"/>
    <w:rsid w:val="088C3CD7"/>
    <w:rsid w:val="089A29E2"/>
    <w:rsid w:val="089B6610"/>
    <w:rsid w:val="089D7C92"/>
    <w:rsid w:val="08A76D63"/>
    <w:rsid w:val="08A8306C"/>
    <w:rsid w:val="08AA1318"/>
    <w:rsid w:val="08B03E69"/>
    <w:rsid w:val="08BC0A60"/>
    <w:rsid w:val="08BE5224"/>
    <w:rsid w:val="08CE42EF"/>
    <w:rsid w:val="08D00067"/>
    <w:rsid w:val="08D13DE0"/>
    <w:rsid w:val="08DA03F7"/>
    <w:rsid w:val="08DA07D3"/>
    <w:rsid w:val="08DC4C5E"/>
    <w:rsid w:val="08DE0F36"/>
    <w:rsid w:val="08EB30F3"/>
    <w:rsid w:val="08EC29C7"/>
    <w:rsid w:val="08EE6740"/>
    <w:rsid w:val="08F04293"/>
    <w:rsid w:val="08F655F4"/>
    <w:rsid w:val="08F8136C"/>
    <w:rsid w:val="08F85810"/>
    <w:rsid w:val="08FD4BD5"/>
    <w:rsid w:val="090146C5"/>
    <w:rsid w:val="09051E32"/>
    <w:rsid w:val="09071FE5"/>
    <w:rsid w:val="09095327"/>
    <w:rsid w:val="090B72F2"/>
    <w:rsid w:val="091066B6"/>
    <w:rsid w:val="091361A6"/>
    <w:rsid w:val="09137F54"/>
    <w:rsid w:val="09181A0E"/>
    <w:rsid w:val="091F0FEF"/>
    <w:rsid w:val="091F75ED"/>
    <w:rsid w:val="0921144B"/>
    <w:rsid w:val="09267C87"/>
    <w:rsid w:val="092E2FE0"/>
    <w:rsid w:val="09355C8E"/>
    <w:rsid w:val="09371E95"/>
    <w:rsid w:val="09391A25"/>
    <w:rsid w:val="09414AC1"/>
    <w:rsid w:val="094D790A"/>
    <w:rsid w:val="095F1A31"/>
    <w:rsid w:val="095F3199"/>
    <w:rsid w:val="096B1B3E"/>
    <w:rsid w:val="096C5132"/>
    <w:rsid w:val="097A6225"/>
    <w:rsid w:val="097F1A8E"/>
    <w:rsid w:val="09815E0C"/>
    <w:rsid w:val="09821F29"/>
    <w:rsid w:val="09825231"/>
    <w:rsid w:val="09831C78"/>
    <w:rsid w:val="09862E1C"/>
    <w:rsid w:val="098B0432"/>
    <w:rsid w:val="098D7D07"/>
    <w:rsid w:val="098F1CD1"/>
    <w:rsid w:val="099472E7"/>
    <w:rsid w:val="09970B85"/>
    <w:rsid w:val="099A0675"/>
    <w:rsid w:val="099E3CC2"/>
    <w:rsid w:val="099F3551"/>
    <w:rsid w:val="09A514F4"/>
    <w:rsid w:val="09AB1135"/>
    <w:rsid w:val="09AE35D0"/>
    <w:rsid w:val="09AF5ECF"/>
    <w:rsid w:val="09B23C11"/>
    <w:rsid w:val="09B71227"/>
    <w:rsid w:val="09B776D8"/>
    <w:rsid w:val="09BA160C"/>
    <w:rsid w:val="09BE25B6"/>
    <w:rsid w:val="09BE6112"/>
    <w:rsid w:val="09C120A6"/>
    <w:rsid w:val="09CD0A4B"/>
    <w:rsid w:val="09CD27F9"/>
    <w:rsid w:val="09CD6EB5"/>
    <w:rsid w:val="09D516AE"/>
    <w:rsid w:val="09D65B51"/>
    <w:rsid w:val="09D83256"/>
    <w:rsid w:val="09D9113A"/>
    <w:rsid w:val="09D91F81"/>
    <w:rsid w:val="09E244F6"/>
    <w:rsid w:val="09E3201C"/>
    <w:rsid w:val="09F558AC"/>
    <w:rsid w:val="09F61D50"/>
    <w:rsid w:val="09F671BA"/>
    <w:rsid w:val="0A0015A9"/>
    <w:rsid w:val="0A026946"/>
    <w:rsid w:val="0A0501E5"/>
    <w:rsid w:val="0A0F2E11"/>
    <w:rsid w:val="0A116B8A"/>
    <w:rsid w:val="0A124A21"/>
    <w:rsid w:val="0A124F9F"/>
    <w:rsid w:val="0A1421D6"/>
    <w:rsid w:val="0A150388"/>
    <w:rsid w:val="0A1D70FA"/>
    <w:rsid w:val="0A200529"/>
    <w:rsid w:val="0A2368BD"/>
    <w:rsid w:val="0A257E91"/>
    <w:rsid w:val="0A3463D4"/>
    <w:rsid w:val="0A34760E"/>
    <w:rsid w:val="0A390506"/>
    <w:rsid w:val="0A3B7763"/>
    <w:rsid w:val="0A3F4C50"/>
    <w:rsid w:val="0A40121D"/>
    <w:rsid w:val="0A424F95"/>
    <w:rsid w:val="0A432ABB"/>
    <w:rsid w:val="0A4505E1"/>
    <w:rsid w:val="0A4A537B"/>
    <w:rsid w:val="0A4B7550"/>
    <w:rsid w:val="0A516F86"/>
    <w:rsid w:val="0A56459C"/>
    <w:rsid w:val="0A5922DF"/>
    <w:rsid w:val="0A5A153B"/>
    <w:rsid w:val="0A5C592B"/>
    <w:rsid w:val="0A60366D"/>
    <w:rsid w:val="0A68475A"/>
    <w:rsid w:val="0A6B4970"/>
    <w:rsid w:val="0A7A5500"/>
    <w:rsid w:val="0A7D421F"/>
    <w:rsid w:val="0A7D7D7B"/>
    <w:rsid w:val="0A7E1D45"/>
    <w:rsid w:val="0A805ABD"/>
    <w:rsid w:val="0A877A05"/>
    <w:rsid w:val="0A892BC4"/>
    <w:rsid w:val="0A8D4551"/>
    <w:rsid w:val="0A911A78"/>
    <w:rsid w:val="0A984BB5"/>
    <w:rsid w:val="0AA16A91"/>
    <w:rsid w:val="0AA442E9"/>
    <w:rsid w:val="0AA51080"/>
    <w:rsid w:val="0AA56EB4"/>
    <w:rsid w:val="0AA7304A"/>
    <w:rsid w:val="0AAF1847"/>
    <w:rsid w:val="0AB17A28"/>
    <w:rsid w:val="0AB6328D"/>
    <w:rsid w:val="0ABA2D7D"/>
    <w:rsid w:val="0ABD461B"/>
    <w:rsid w:val="0AC459AA"/>
    <w:rsid w:val="0AD0684C"/>
    <w:rsid w:val="0AD6392F"/>
    <w:rsid w:val="0AD97CBD"/>
    <w:rsid w:val="0ADB2CF4"/>
    <w:rsid w:val="0ADF4592"/>
    <w:rsid w:val="0AE147AE"/>
    <w:rsid w:val="0AE734CA"/>
    <w:rsid w:val="0AF0291D"/>
    <w:rsid w:val="0AF142C5"/>
    <w:rsid w:val="0AFC46F6"/>
    <w:rsid w:val="0AFD0EBC"/>
    <w:rsid w:val="0AFF2E86"/>
    <w:rsid w:val="0B00275A"/>
    <w:rsid w:val="0B030359"/>
    <w:rsid w:val="0B0E30C9"/>
    <w:rsid w:val="0B0F27C0"/>
    <w:rsid w:val="0B17629A"/>
    <w:rsid w:val="0B1E4082"/>
    <w:rsid w:val="0B237943"/>
    <w:rsid w:val="0B2B77D7"/>
    <w:rsid w:val="0B352404"/>
    <w:rsid w:val="0B3949C3"/>
    <w:rsid w:val="0B3D39AE"/>
    <w:rsid w:val="0B416FFB"/>
    <w:rsid w:val="0B4B2E2F"/>
    <w:rsid w:val="0B5200CB"/>
    <w:rsid w:val="0B52745A"/>
    <w:rsid w:val="0B536D2E"/>
    <w:rsid w:val="0B582596"/>
    <w:rsid w:val="0B6251C3"/>
    <w:rsid w:val="0B6665D0"/>
    <w:rsid w:val="0B680A2B"/>
    <w:rsid w:val="0B694D79"/>
    <w:rsid w:val="0B6B22C9"/>
    <w:rsid w:val="0B6D23F5"/>
    <w:rsid w:val="0B6E3131"/>
    <w:rsid w:val="0B7021FC"/>
    <w:rsid w:val="0B792C38"/>
    <w:rsid w:val="0B825D4F"/>
    <w:rsid w:val="0B837613"/>
    <w:rsid w:val="0B845139"/>
    <w:rsid w:val="0B8F617F"/>
    <w:rsid w:val="0B927856"/>
    <w:rsid w:val="0B9326C3"/>
    <w:rsid w:val="0B957346"/>
    <w:rsid w:val="0B974E6D"/>
    <w:rsid w:val="0B9C06D5"/>
    <w:rsid w:val="0BA8707A"/>
    <w:rsid w:val="0BA94BA0"/>
    <w:rsid w:val="0BB772BD"/>
    <w:rsid w:val="0BB877D4"/>
    <w:rsid w:val="0BB93035"/>
    <w:rsid w:val="0BBB5225"/>
    <w:rsid w:val="0BC23C26"/>
    <w:rsid w:val="0BC71D84"/>
    <w:rsid w:val="0BC90BD9"/>
    <w:rsid w:val="0BCB3067"/>
    <w:rsid w:val="0BD47E6F"/>
    <w:rsid w:val="0BD55995"/>
    <w:rsid w:val="0BD936D7"/>
    <w:rsid w:val="0BDD2148"/>
    <w:rsid w:val="0BDE2A9B"/>
    <w:rsid w:val="0BE300B2"/>
    <w:rsid w:val="0BE45BD8"/>
    <w:rsid w:val="0BE4744A"/>
    <w:rsid w:val="0BE81B6C"/>
    <w:rsid w:val="0BEF4CA9"/>
    <w:rsid w:val="0BF40511"/>
    <w:rsid w:val="0BF7590B"/>
    <w:rsid w:val="0C006EB6"/>
    <w:rsid w:val="0C0369A6"/>
    <w:rsid w:val="0C1464BD"/>
    <w:rsid w:val="0C193AD3"/>
    <w:rsid w:val="0C211D10"/>
    <w:rsid w:val="0C232BA4"/>
    <w:rsid w:val="0C27325E"/>
    <w:rsid w:val="0C281F69"/>
    <w:rsid w:val="0C2A0860"/>
    <w:rsid w:val="0C2A3AF7"/>
    <w:rsid w:val="0C2D2773"/>
    <w:rsid w:val="0C2D57D1"/>
    <w:rsid w:val="0C2E01F6"/>
    <w:rsid w:val="0C3152C1"/>
    <w:rsid w:val="0C3460F8"/>
    <w:rsid w:val="0C3651B9"/>
    <w:rsid w:val="0C3A5FD8"/>
    <w:rsid w:val="0C3B7EEE"/>
    <w:rsid w:val="0C3D3B65"/>
    <w:rsid w:val="0C401769"/>
    <w:rsid w:val="0C4C0A7C"/>
    <w:rsid w:val="0C4C219F"/>
    <w:rsid w:val="0C4D19CF"/>
    <w:rsid w:val="0C542D5E"/>
    <w:rsid w:val="0C553CA1"/>
    <w:rsid w:val="0C57284E"/>
    <w:rsid w:val="0C5745FC"/>
    <w:rsid w:val="0C590CE4"/>
    <w:rsid w:val="0C5C7E64"/>
    <w:rsid w:val="0C62191E"/>
    <w:rsid w:val="0C650D4E"/>
    <w:rsid w:val="0C686809"/>
    <w:rsid w:val="0C6C62F9"/>
    <w:rsid w:val="0C6F5DE9"/>
    <w:rsid w:val="0C7156BE"/>
    <w:rsid w:val="0C756E34"/>
    <w:rsid w:val="0C7B02EA"/>
    <w:rsid w:val="0C801DA5"/>
    <w:rsid w:val="0C80768D"/>
    <w:rsid w:val="0C853BDD"/>
    <w:rsid w:val="0C880C59"/>
    <w:rsid w:val="0C90345F"/>
    <w:rsid w:val="0C947974"/>
    <w:rsid w:val="0C9C64B3"/>
    <w:rsid w:val="0CAB508B"/>
    <w:rsid w:val="0CAB6D14"/>
    <w:rsid w:val="0CAD06C0"/>
    <w:rsid w:val="0CB11F5E"/>
    <w:rsid w:val="0CB33F28"/>
    <w:rsid w:val="0CB437FC"/>
    <w:rsid w:val="0CB832EC"/>
    <w:rsid w:val="0CB953C7"/>
    <w:rsid w:val="0CBE6C92"/>
    <w:rsid w:val="0CBF688D"/>
    <w:rsid w:val="0CC46135"/>
    <w:rsid w:val="0CC7352F"/>
    <w:rsid w:val="0CCA1272"/>
    <w:rsid w:val="0CCA74C4"/>
    <w:rsid w:val="0CD914B5"/>
    <w:rsid w:val="0CDE6ACB"/>
    <w:rsid w:val="0CED5EFA"/>
    <w:rsid w:val="0CF307C8"/>
    <w:rsid w:val="0CF4009D"/>
    <w:rsid w:val="0CF4170C"/>
    <w:rsid w:val="0CFD303A"/>
    <w:rsid w:val="0D006A41"/>
    <w:rsid w:val="0D0504FC"/>
    <w:rsid w:val="0D0522AA"/>
    <w:rsid w:val="0D0550BE"/>
    <w:rsid w:val="0D093B48"/>
    <w:rsid w:val="0D14556D"/>
    <w:rsid w:val="0D1471C2"/>
    <w:rsid w:val="0D1555EB"/>
    <w:rsid w:val="0D156991"/>
    <w:rsid w:val="0D1A5D55"/>
    <w:rsid w:val="0D1F15BD"/>
    <w:rsid w:val="0D246F57"/>
    <w:rsid w:val="0D2564A8"/>
    <w:rsid w:val="0D27015E"/>
    <w:rsid w:val="0D2A1D10"/>
    <w:rsid w:val="0D2B4D1C"/>
    <w:rsid w:val="0D2C3CDA"/>
    <w:rsid w:val="0D2C7836"/>
    <w:rsid w:val="0D333E7B"/>
    <w:rsid w:val="0D35493D"/>
    <w:rsid w:val="0D38267F"/>
    <w:rsid w:val="0D411534"/>
    <w:rsid w:val="0D4508F8"/>
    <w:rsid w:val="0D4F1296"/>
    <w:rsid w:val="0D5002C6"/>
    <w:rsid w:val="0D562B05"/>
    <w:rsid w:val="0D5648B3"/>
    <w:rsid w:val="0D570D57"/>
    <w:rsid w:val="0D5A0848"/>
    <w:rsid w:val="0D5D2504"/>
    <w:rsid w:val="0D5F5E5E"/>
    <w:rsid w:val="0D697D47"/>
    <w:rsid w:val="0D6D057B"/>
    <w:rsid w:val="0D70006B"/>
    <w:rsid w:val="0D705975"/>
    <w:rsid w:val="0D725B91"/>
    <w:rsid w:val="0D73509A"/>
    <w:rsid w:val="0D7511DD"/>
    <w:rsid w:val="0D757126"/>
    <w:rsid w:val="0D7C30E6"/>
    <w:rsid w:val="0D7E609A"/>
    <w:rsid w:val="0D7F02AE"/>
    <w:rsid w:val="0D817B82"/>
    <w:rsid w:val="0D837D9E"/>
    <w:rsid w:val="0D86163D"/>
    <w:rsid w:val="0D895EB2"/>
    <w:rsid w:val="0D921D8F"/>
    <w:rsid w:val="0D927FE1"/>
    <w:rsid w:val="0D941F14"/>
    <w:rsid w:val="0D973E0E"/>
    <w:rsid w:val="0D98311E"/>
    <w:rsid w:val="0D9A0C44"/>
    <w:rsid w:val="0D9C30EB"/>
    <w:rsid w:val="0D9D0734"/>
    <w:rsid w:val="0DA441DC"/>
    <w:rsid w:val="0DAE46EF"/>
    <w:rsid w:val="0DB02216"/>
    <w:rsid w:val="0DB55A7E"/>
    <w:rsid w:val="0DB60191"/>
    <w:rsid w:val="0DB717F6"/>
    <w:rsid w:val="0DB77A48"/>
    <w:rsid w:val="0DB8731C"/>
    <w:rsid w:val="0DC34AA9"/>
    <w:rsid w:val="0DC379D7"/>
    <w:rsid w:val="0DC65EDD"/>
    <w:rsid w:val="0DC7755F"/>
    <w:rsid w:val="0DCB52A1"/>
    <w:rsid w:val="0DD028B8"/>
    <w:rsid w:val="0DD610C9"/>
    <w:rsid w:val="0DDF2AFB"/>
    <w:rsid w:val="0DE84DA4"/>
    <w:rsid w:val="0DE95727"/>
    <w:rsid w:val="0DF26CD2"/>
    <w:rsid w:val="0DFE5677"/>
    <w:rsid w:val="0DFE7425"/>
    <w:rsid w:val="0DFF47ED"/>
    <w:rsid w:val="0E007979"/>
    <w:rsid w:val="0E012A71"/>
    <w:rsid w:val="0E034A3B"/>
    <w:rsid w:val="0E0F1632"/>
    <w:rsid w:val="0E1053AA"/>
    <w:rsid w:val="0E107158"/>
    <w:rsid w:val="0E15476E"/>
    <w:rsid w:val="0E1956B3"/>
    <w:rsid w:val="0E197DBB"/>
    <w:rsid w:val="0E1A1D85"/>
    <w:rsid w:val="0E1A28BF"/>
    <w:rsid w:val="0E1A3500"/>
    <w:rsid w:val="0E1A45F7"/>
    <w:rsid w:val="0E1B7FD7"/>
    <w:rsid w:val="0E1C5AFD"/>
    <w:rsid w:val="0E211365"/>
    <w:rsid w:val="0E2214E3"/>
    <w:rsid w:val="0E2449B2"/>
    <w:rsid w:val="0E2774A7"/>
    <w:rsid w:val="0E296B84"/>
    <w:rsid w:val="0E323572"/>
    <w:rsid w:val="0E372DD1"/>
    <w:rsid w:val="0E3C4A79"/>
    <w:rsid w:val="0E3F3599"/>
    <w:rsid w:val="0E417312"/>
    <w:rsid w:val="0E423137"/>
    <w:rsid w:val="0E43308A"/>
    <w:rsid w:val="0E4A0A35"/>
    <w:rsid w:val="0E4F1A2E"/>
    <w:rsid w:val="0E4F5ED2"/>
    <w:rsid w:val="0E63372C"/>
    <w:rsid w:val="0E64514C"/>
    <w:rsid w:val="0E680D42"/>
    <w:rsid w:val="0E682AF0"/>
    <w:rsid w:val="0E695115"/>
    <w:rsid w:val="0E6A6868"/>
    <w:rsid w:val="0E6B438E"/>
    <w:rsid w:val="0E7616B1"/>
    <w:rsid w:val="0E7771D7"/>
    <w:rsid w:val="0E792F4F"/>
    <w:rsid w:val="0E7B4F50"/>
    <w:rsid w:val="0E83792A"/>
    <w:rsid w:val="0E8474DE"/>
    <w:rsid w:val="0E8764B8"/>
    <w:rsid w:val="0E89077F"/>
    <w:rsid w:val="0E8A6F0A"/>
    <w:rsid w:val="0E8F4521"/>
    <w:rsid w:val="0EA378E1"/>
    <w:rsid w:val="0EAE0A7E"/>
    <w:rsid w:val="0EAE338A"/>
    <w:rsid w:val="0EB146BF"/>
    <w:rsid w:val="0EB21FBD"/>
    <w:rsid w:val="0EB45D35"/>
    <w:rsid w:val="0EB51BBC"/>
    <w:rsid w:val="0EB9334C"/>
    <w:rsid w:val="0EBE6BB4"/>
    <w:rsid w:val="0EC00B7E"/>
    <w:rsid w:val="0EC0292C"/>
    <w:rsid w:val="0EC046DA"/>
    <w:rsid w:val="0EC20452"/>
    <w:rsid w:val="0EC77D21"/>
    <w:rsid w:val="0ECA37AB"/>
    <w:rsid w:val="0ECA7307"/>
    <w:rsid w:val="0ECE329B"/>
    <w:rsid w:val="0ED168E7"/>
    <w:rsid w:val="0ED40186"/>
    <w:rsid w:val="0ED4086D"/>
    <w:rsid w:val="0ED87C76"/>
    <w:rsid w:val="0EE02FCE"/>
    <w:rsid w:val="0EE4793C"/>
    <w:rsid w:val="0EEE7499"/>
    <w:rsid w:val="0EEF3211"/>
    <w:rsid w:val="0EF6634E"/>
    <w:rsid w:val="0EF80318"/>
    <w:rsid w:val="0EFB3964"/>
    <w:rsid w:val="0F0E7B3C"/>
    <w:rsid w:val="0F0F7410"/>
    <w:rsid w:val="0F13413A"/>
    <w:rsid w:val="0F191A60"/>
    <w:rsid w:val="0F256C33"/>
    <w:rsid w:val="0F2729AB"/>
    <w:rsid w:val="0F274759"/>
    <w:rsid w:val="0F2A5FF8"/>
    <w:rsid w:val="0F2C6214"/>
    <w:rsid w:val="0F2C7FC2"/>
    <w:rsid w:val="0F2D1010"/>
    <w:rsid w:val="0F2F360E"/>
    <w:rsid w:val="0F365E10"/>
    <w:rsid w:val="0F37178C"/>
    <w:rsid w:val="0F3A26DF"/>
    <w:rsid w:val="0F3D5D2B"/>
    <w:rsid w:val="0F3F7CF5"/>
    <w:rsid w:val="0F421593"/>
    <w:rsid w:val="0F49111A"/>
    <w:rsid w:val="0F4A0448"/>
    <w:rsid w:val="0F4E32A6"/>
    <w:rsid w:val="0F517A28"/>
    <w:rsid w:val="0F5337A0"/>
    <w:rsid w:val="0F59068B"/>
    <w:rsid w:val="0F6459AD"/>
    <w:rsid w:val="0F6838C7"/>
    <w:rsid w:val="0F6B0AEA"/>
    <w:rsid w:val="0F6C6610"/>
    <w:rsid w:val="0F7756E1"/>
    <w:rsid w:val="0F796544"/>
    <w:rsid w:val="0F7C7641"/>
    <w:rsid w:val="0F7E3A23"/>
    <w:rsid w:val="0F815DA9"/>
    <w:rsid w:val="0F87344A"/>
    <w:rsid w:val="0F8B4CE8"/>
    <w:rsid w:val="0F9067A2"/>
    <w:rsid w:val="0F931DEF"/>
    <w:rsid w:val="0F9D4A1B"/>
    <w:rsid w:val="0FAB538A"/>
    <w:rsid w:val="0FAC4C5F"/>
    <w:rsid w:val="0FB26719"/>
    <w:rsid w:val="0FB57FB7"/>
    <w:rsid w:val="0FB954F1"/>
    <w:rsid w:val="0FBF0E36"/>
    <w:rsid w:val="0FBF1601"/>
    <w:rsid w:val="0FC644DC"/>
    <w:rsid w:val="0FC8192D"/>
    <w:rsid w:val="0FC85F3C"/>
    <w:rsid w:val="0FC93A62"/>
    <w:rsid w:val="0FCC4E8D"/>
    <w:rsid w:val="0FCE249A"/>
    <w:rsid w:val="0FD0094D"/>
    <w:rsid w:val="0FD05DD9"/>
    <w:rsid w:val="0FD43E0E"/>
    <w:rsid w:val="0FDE750E"/>
    <w:rsid w:val="0FE12B5A"/>
    <w:rsid w:val="0FE4264A"/>
    <w:rsid w:val="0FE505F3"/>
    <w:rsid w:val="0FE97C61"/>
    <w:rsid w:val="0FEF171B"/>
    <w:rsid w:val="0FF07241"/>
    <w:rsid w:val="0FF30FC5"/>
    <w:rsid w:val="0FF87EA4"/>
    <w:rsid w:val="0FFC3E38"/>
    <w:rsid w:val="10070893"/>
    <w:rsid w:val="10093E5F"/>
    <w:rsid w:val="1016361E"/>
    <w:rsid w:val="1017657C"/>
    <w:rsid w:val="10190546"/>
    <w:rsid w:val="1021701D"/>
    <w:rsid w:val="10240C99"/>
    <w:rsid w:val="10246EEB"/>
    <w:rsid w:val="10284C2D"/>
    <w:rsid w:val="10394D6A"/>
    <w:rsid w:val="103D747C"/>
    <w:rsid w:val="103F5AD3"/>
    <w:rsid w:val="104355C3"/>
    <w:rsid w:val="104D01F0"/>
    <w:rsid w:val="10501A8E"/>
    <w:rsid w:val="10524F6F"/>
    <w:rsid w:val="105772C0"/>
    <w:rsid w:val="105C0433"/>
    <w:rsid w:val="105C6685"/>
    <w:rsid w:val="10637A94"/>
    <w:rsid w:val="10692C75"/>
    <w:rsid w:val="106A6FF4"/>
    <w:rsid w:val="106D0892"/>
    <w:rsid w:val="10703EDE"/>
    <w:rsid w:val="10710382"/>
    <w:rsid w:val="10725EA8"/>
    <w:rsid w:val="1077526D"/>
    <w:rsid w:val="1078371F"/>
    <w:rsid w:val="107B4D5D"/>
    <w:rsid w:val="108D2CE2"/>
    <w:rsid w:val="108D4A90"/>
    <w:rsid w:val="109202F8"/>
    <w:rsid w:val="10991687"/>
    <w:rsid w:val="109951E3"/>
    <w:rsid w:val="109A05F6"/>
    <w:rsid w:val="109A0F5B"/>
    <w:rsid w:val="109C3875"/>
    <w:rsid w:val="10A047C3"/>
    <w:rsid w:val="10A1280F"/>
    <w:rsid w:val="10A67900"/>
    <w:rsid w:val="10AB6393"/>
    <w:rsid w:val="10AC13BA"/>
    <w:rsid w:val="10B0361A"/>
    <w:rsid w:val="10B25724"/>
    <w:rsid w:val="10B32B01"/>
    <w:rsid w:val="10BB784F"/>
    <w:rsid w:val="10C04426"/>
    <w:rsid w:val="10C83D1A"/>
    <w:rsid w:val="10CA5CE4"/>
    <w:rsid w:val="10CF32FA"/>
    <w:rsid w:val="10D053AB"/>
    <w:rsid w:val="10D17073"/>
    <w:rsid w:val="10D40911"/>
    <w:rsid w:val="10D67504"/>
    <w:rsid w:val="10D75D0B"/>
    <w:rsid w:val="10DA04A5"/>
    <w:rsid w:val="10DB706F"/>
    <w:rsid w:val="10E03BE3"/>
    <w:rsid w:val="10E50428"/>
    <w:rsid w:val="10E723F2"/>
    <w:rsid w:val="10E741A0"/>
    <w:rsid w:val="10EC2AC6"/>
    <w:rsid w:val="10ED552F"/>
    <w:rsid w:val="10EE19D3"/>
    <w:rsid w:val="10F13271"/>
    <w:rsid w:val="10F1501F"/>
    <w:rsid w:val="10FB40F0"/>
    <w:rsid w:val="10FD2745"/>
    <w:rsid w:val="110034B4"/>
    <w:rsid w:val="11052E8A"/>
    <w:rsid w:val="11056D1C"/>
    <w:rsid w:val="110805BA"/>
    <w:rsid w:val="110A7E8F"/>
    <w:rsid w:val="110C3C07"/>
    <w:rsid w:val="110E2A64"/>
    <w:rsid w:val="11110CB1"/>
    <w:rsid w:val="111E6A7D"/>
    <w:rsid w:val="11230F50"/>
    <w:rsid w:val="112A6783"/>
    <w:rsid w:val="112B4874"/>
    <w:rsid w:val="112D2373"/>
    <w:rsid w:val="112F5B47"/>
    <w:rsid w:val="11302AA6"/>
    <w:rsid w:val="113238F3"/>
    <w:rsid w:val="113340D7"/>
    <w:rsid w:val="113504F7"/>
    <w:rsid w:val="11390ABC"/>
    <w:rsid w:val="113F222E"/>
    <w:rsid w:val="114809B7"/>
    <w:rsid w:val="114943D9"/>
    <w:rsid w:val="114D134F"/>
    <w:rsid w:val="11592BC4"/>
    <w:rsid w:val="116003F7"/>
    <w:rsid w:val="116233EF"/>
    <w:rsid w:val="116457F1"/>
    <w:rsid w:val="11687430"/>
    <w:rsid w:val="11687684"/>
    <w:rsid w:val="116C5D79"/>
    <w:rsid w:val="11731ED8"/>
    <w:rsid w:val="117619C8"/>
    <w:rsid w:val="11777122"/>
    <w:rsid w:val="117F6ACF"/>
    <w:rsid w:val="118440E5"/>
    <w:rsid w:val="11847C41"/>
    <w:rsid w:val="11897A49"/>
    <w:rsid w:val="118B40BA"/>
    <w:rsid w:val="118D6492"/>
    <w:rsid w:val="119333A6"/>
    <w:rsid w:val="11A1719D"/>
    <w:rsid w:val="11A2456B"/>
    <w:rsid w:val="11A402E3"/>
    <w:rsid w:val="11A55E09"/>
    <w:rsid w:val="11A82FBB"/>
    <w:rsid w:val="11AB75A7"/>
    <w:rsid w:val="11B85B3D"/>
    <w:rsid w:val="11B93A24"/>
    <w:rsid w:val="11BB1392"/>
    <w:rsid w:val="11C40985"/>
    <w:rsid w:val="11C73FD2"/>
    <w:rsid w:val="11D02E86"/>
    <w:rsid w:val="11D0732A"/>
    <w:rsid w:val="11D861DF"/>
    <w:rsid w:val="11DF3D09"/>
    <w:rsid w:val="11E30DCB"/>
    <w:rsid w:val="11E64458"/>
    <w:rsid w:val="11E710E0"/>
    <w:rsid w:val="11E903EC"/>
    <w:rsid w:val="11EC57E6"/>
    <w:rsid w:val="11F0177A"/>
    <w:rsid w:val="11F052D6"/>
    <w:rsid w:val="11F72B09"/>
    <w:rsid w:val="11FA6155"/>
    <w:rsid w:val="12015736"/>
    <w:rsid w:val="120174E4"/>
    <w:rsid w:val="12051118"/>
    <w:rsid w:val="12062D4C"/>
    <w:rsid w:val="12105979"/>
    <w:rsid w:val="1218482D"/>
    <w:rsid w:val="122338FE"/>
    <w:rsid w:val="1226519C"/>
    <w:rsid w:val="122A4C8C"/>
    <w:rsid w:val="122B630F"/>
    <w:rsid w:val="1233153B"/>
    <w:rsid w:val="123A47A4"/>
    <w:rsid w:val="123C49C0"/>
    <w:rsid w:val="123D6042"/>
    <w:rsid w:val="124617BC"/>
    <w:rsid w:val="1247062C"/>
    <w:rsid w:val="12494B6A"/>
    <w:rsid w:val="124D0D21"/>
    <w:rsid w:val="12511B36"/>
    <w:rsid w:val="125F420A"/>
    <w:rsid w:val="126029A5"/>
    <w:rsid w:val="126161D4"/>
    <w:rsid w:val="126B2BAF"/>
    <w:rsid w:val="126D2DCB"/>
    <w:rsid w:val="126E366F"/>
    <w:rsid w:val="12751C80"/>
    <w:rsid w:val="12767ED2"/>
    <w:rsid w:val="12771554"/>
    <w:rsid w:val="1278528D"/>
    <w:rsid w:val="127D1B2A"/>
    <w:rsid w:val="127E0B34"/>
    <w:rsid w:val="127F665A"/>
    <w:rsid w:val="12870DC9"/>
    <w:rsid w:val="128B14A3"/>
    <w:rsid w:val="12922832"/>
    <w:rsid w:val="12987EB7"/>
    <w:rsid w:val="1299771C"/>
    <w:rsid w:val="129C1FAB"/>
    <w:rsid w:val="12A242C4"/>
    <w:rsid w:val="12A731F1"/>
    <w:rsid w:val="12AA7B7B"/>
    <w:rsid w:val="12B216E7"/>
    <w:rsid w:val="12B74046"/>
    <w:rsid w:val="12CD73C6"/>
    <w:rsid w:val="12CF1390"/>
    <w:rsid w:val="12D22C2E"/>
    <w:rsid w:val="12D469A6"/>
    <w:rsid w:val="12D76496"/>
    <w:rsid w:val="12DD36F8"/>
    <w:rsid w:val="12DE7825"/>
    <w:rsid w:val="12DF680F"/>
    <w:rsid w:val="12E017EF"/>
    <w:rsid w:val="12E27315"/>
    <w:rsid w:val="12E4180D"/>
    <w:rsid w:val="12E60488"/>
    <w:rsid w:val="12EA6440"/>
    <w:rsid w:val="12EC17FE"/>
    <w:rsid w:val="12ED005B"/>
    <w:rsid w:val="12EF558E"/>
    <w:rsid w:val="12EF7AF8"/>
    <w:rsid w:val="12F232D0"/>
    <w:rsid w:val="12F26E2C"/>
    <w:rsid w:val="12F47048"/>
    <w:rsid w:val="12F72695"/>
    <w:rsid w:val="12F73D0A"/>
    <w:rsid w:val="12F901BB"/>
    <w:rsid w:val="12F9640D"/>
    <w:rsid w:val="12FD60C7"/>
    <w:rsid w:val="12FE1C75"/>
    <w:rsid w:val="1300779B"/>
    <w:rsid w:val="13036A8B"/>
    <w:rsid w:val="130631D2"/>
    <w:rsid w:val="130B7EEE"/>
    <w:rsid w:val="130F5C30"/>
    <w:rsid w:val="131411AB"/>
    <w:rsid w:val="13165211"/>
    <w:rsid w:val="13187CB0"/>
    <w:rsid w:val="131C06A6"/>
    <w:rsid w:val="13250FB0"/>
    <w:rsid w:val="132631C9"/>
    <w:rsid w:val="13313DF9"/>
    <w:rsid w:val="13367661"/>
    <w:rsid w:val="1340403C"/>
    <w:rsid w:val="134358DA"/>
    <w:rsid w:val="134753CA"/>
    <w:rsid w:val="13541895"/>
    <w:rsid w:val="136441CE"/>
    <w:rsid w:val="136F4921"/>
    <w:rsid w:val="13702B73"/>
    <w:rsid w:val="1373619A"/>
    <w:rsid w:val="13767A5D"/>
    <w:rsid w:val="137837D5"/>
    <w:rsid w:val="138142DF"/>
    <w:rsid w:val="13833F28"/>
    <w:rsid w:val="13857BA2"/>
    <w:rsid w:val="13862CCC"/>
    <w:rsid w:val="1386762D"/>
    <w:rsid w:val="138E4DA7"/>
    <w:rsid w:val="138E5DF7"/>
    <w:rsid w:val="13900351"/>
    <w:rsid w:val="13954387"/>
    <w:rsid w:val="13960100"/>
    <w:rsid w:val="139D5CF1"/>
    <w:rsid w:val="13A26AA4"/>
    <w:rsid w:val="13A3635A"/>
    <w:rsid w:val="13A426E7"/>
    <w:rsid w:val="13A97E33"/>
    <w:rsid w:val="13B46AA4"/>
    <w:rsid w:val="13BB36C2"/>
    <w:rsid w:val="13C50A3B"/>
    <w:rsid w:val="13C702B9"/>
    <w:rsid w:val="13CA1B57"/>
    <w:rsid w:val="13CC1070"/>
    <w:rsid w:val="13CF716E"/>
    <w:rsid w:val="13D50C28"/>
    <w:rsid w:val="13D85AAA"/>
    <w:rsid w:val="13D9378D"/>
    <w:rsid w:val="13DB6FB8"/>
    <w:rsid w:val="13E7259A"/>
    <w:rsid w:val="13EA2243"/>
    <w:rsid w:val="13F6294C"/>
    <w:rsid w:val="13F90B03"/>
    <w:rsid w:val="13FD3CDB"/>
    <w:rsid w:val="14011A1D"/>
    <w:rsid w:val="14025462"/>
    <w:rsid w:val="1403484E"/>
    <w:rsid w:val="140B1D9B"/>
    <w:rsid w:val="14103A0E"/>
    <w:rsid w:val="14107EB2"/>
    <w:rsid w:val="14117786"/>
    <w:rsid w:val="14186D67"/>
    <w:rsid w:val="141B0788"/>
    <w:rsid w:val="141B27E4"/>
    <w:rsid w:val="14213E6D"/>
    <w:rsid w:val="14270D58"/>
    <w:rsid w:val="14292D22"/>
    <w:rsid w:val="142B0848"/>
    <w:rsid w:val="142D2812"/>
    <w:rsid w:val="142E32FB"/>
    <w:rsid w:val="142E48AC"/>
    <w:rsid w:val="14394194"/>
    <w:rsid w:val="143A6CDD"/>
    <w:rsid w:val="143C4803"/>
    <w:rsid w:val="143D5520"/>
    <w:rsid w:val="1444190A"/>
    <w:rsid w:val="14445DAD"/>
    <w:rsid w:val="144731A8"/>
    <w:rsid w:val="144813FA"/>
    <w:rsid w:val="144D6A10"/>
    <w:rsid w:val="14567197"/>
    <w:rsid w:val="145F4995"/>
    <w:rsid w:val="14634486"/>
    <w:rsid w:val="14771CDF"/>
    <w:rsid w:val="147860A8"/>
    <w:rsid w:val="147A532B"/>
    <w:rsid w:val="147E27A5"/>
    <w:rsid w:val="148443FC"/>
    <w:rsid w:val="14877923"/>
    <w:rsid w:val="148D45F4"/>
    <w:rsid w:val="14900FF3"/>
    <w:rsid w:val="149363ED"/>
    <w:rsid w:val="1497412F"/>
    <w:rsid w:val="14993714"/>
    <w:rsid w:val="149C1746"/>
    <w:rsid w:val="149F1820"/>
    <w:rsid w:val="149F2FE4"/>
    <w:rsid w:val="14A10028"/>
    <w:rsid w:val="14A10CE5"/>
    <w:rsid w:val="14A405FA"/>
    <w:rsid w:val="14A64372"/>
    <w:rsid w:val="14A800EA"/>
    <w:rsid w:val="14A80A0E"/>
    <w:rsid w:val="14B06F9F"/>
    <w:rsid w:val="14B46A8F"/>
    <w:rsid w:val="14B505E3"/>
    <w:rsid w:val="14B95E54"/>
    <w:rsid w:val="14C44852"/>
    <w:rsid w:val="14C96593"/>
    <w:rsid w:val="14CD5DA3"/>
    <w:rsid w:val="14D26F15"/>
    <w:rsid w:val="14EA0703"/>
    <w:rsid w:val="14F15E1C"/>
    <w:rsid w:val="14F57FE3"/>
    <w:rsid w:val="14F72E20"/>
    <w:rsid w:val="150A7730"/>
    <w:rsid w:val="151169CA"/>
    <w:rsid w:val="15194B44"/>
    <w:rsid w:val="151A3F0B"/>
    <w:rsid w:val="15202377"/>
    <w:rsid w:val="153A26E7"/>
    <w:rsid w:val="154107F7"/>
    <w:rsid w:val="15451DDD"/>
    <w:rsid w:val="15452A4F"/>
    <w:rsid w:val="15483CA3"/>
    <w:rsid w:val="154A2F50"/>
    <w:rsid w:val="154A73F4"/>
    <w:rsid w:val="15524A1D"/>
    <w:rsid w:val="15537E34"/>
    <w:rsid w:val="1554409C"/>
    <w:rsid w:val="15567B46"/>
    <w:rsid w:val="155B33AF"/>
    <w:rsid w:val="155D688F"/>
    <w:rsid w:val="155E2E9F"/>
    <w:rsid w:val="156009C5"/>
    <w:rsid w:val="15632263"/>
    <w:rsid w:val="156A3853"/>
    <w:rsid w:val="157B135B"/>
    <w:rsid w:val="157E4A5E"/>
    <w:rsid w:val="15806971"/>
    <w:rsid w:val="1582093B"/>
    <w:rsid w:val="15836462"/>
    <w:rsid w:val="158906BB"/>
    <w:rsid w:val="15897F1C"/>
    <w:rsid w:val="15917210"/>
    <w:rsid w:val="159643E7"/>
    <w:rsid w:val="15976156"/>
    <w:rsid w:val="159B6AEE"/>
    <w:rsid w:val="15A941B8"/>
    <w:rsid w:val="15B075C6"/>
    <w:rsid w:val="15B46D86"/>
    <w:rsid w:val="15B825AF"/>
    <w:rsid w:val="15BB209F"/>
    <w:rsid w:val="15BB3E4D"/>
    <w:rsid w:val="15C471A6"/>
    <w:rsid w:val="15CF04E4"/>
    <w:rsid w:val="15E11B06"/>
    <w:rsid w:val="15E63175"/>
    <w:rsid w:val="15EC4007"/>
    <w:rsid w:val="15FD6214"/>
    <w:rsid w:val="15FD6410"/>
    <w:rsid w:val="15FF5E46"/>
    <w:rsid w:val="16021A7C"/>
    <w:rsid w:val="160475A2"/>
    <w:rsid w:val="160A6A90"/>
    <w:rsid w:val="160B0931"/>
    <w:rsid w:val="161361DE"/>
    <w:rsid w:val="161426C7"/>
    <w:rsid w:val="16143C3C"/>
    <w:rsid w:val="1618304E"/>
    <w:rsid w:val="161C28E0"/>
    <w:rsid w:val="162E461F"/>
    <w:rsid w:val="163065E9"/>
    <w:rsid w:val="163F682C"/>
    <w:rsid w:val="164200CB"/>
    <w:rsid w:val="1642631D"/>
    <w:rsid w:val="16442095"/>
    <w:rsid w:val="164833AF"/>
    <w:rsid w:val="1648662A"/>
    <w:rsid w:val="164C04ED"/>
    <w:rsid w:val="164D0F49"/>
    <w:rsid w:val="164D719B"/>
    <w:rsid w:val="1652768E"/>
    <w:rsid w:val="16534086"/>
    <w:rsid w:val="16544222"/>
    <w:rsid w:val="16546845"/>
    <w:rsid w:val="16565924"/>
    <w:rsid w:val="16591BC5"/>
    <w:rsid w:val="16596B51"/>
    <w:rsid w:val="16691AFB"/>
    <w:rsid w:val="166C4E41"/>
    <w:rsid w:val="166E331E"/>
    <w:rsid w:val="16781D3E"/>
    <w:rsid w:val="167B3A91"/>
    <w:rsid w:val="167E4F7B"/>
    <w:rsid w:val="16810BF3"/>
    <w:rsid w:val="168120B7"/>
    <w:rsid w:val="16816E45"/>
    <w:rsid w:val="16840A70"/>
    <w:rsid w:val="168B305D"/>
    <w:rsid w:val="168F66FB"/>
    <w:rsid w:val="16924BAE"/>
    <w:rsid w:val="169B1CC8"/>
    <w:rsid w:val="169B5218"/>
    <w:rsid w:val="169D782C"/>
    <w:rsid w:val="169E79F7"/>
    <w:rsid w:val="16A56638"/>
    <w:rsid w:val="16A619B3"/>
    <w:rsid w:val="16A62408"/>
    <w:rsid w:val="16B66F43"/>
    <w:rsid w:val="16BE3BF5"/>
    <w:rsid w:val="16C17241"/>
    <w:rsid w:val="16C3745D"/>
    <w:rsid w:val="16C62AAA"/>
    <w:rsid w:val="16CB6312"/>
    <w:rsid w:val="16D72F09"/>
    <w:rsid w:val="16D927DD"/>
    <w:rsid w:val="16DA6555"/>
    <w:rsid w:val="16E318AE"/>
    <w:rsid w:val="16EB3764"/>
    <w:rsid w:val="16EF3DAF"/>
    <w:rsid w:val="16F94C2D"/>
    <w:rsid w:val="16FC471D"/>
    <w:rsid w:val="16FE3FF2"/>
    <w:rsid w:val="17005FBC"/>
    <w:rsid w:val="17017F86"/>
    <w:rsid w:val="17033CFE"/>
    <w:rsid w:val="170447DA"/>
    <w:rsid w:val="17045380"/>
    <w:rsid w:val="170535D2"/>
    <w:rsid w:val="1706734A"/>
    <w:rsid w:val="170F5E90"/>
    <w:rsid w:val="1716283B"/>
    <w:rsid w:val="17180C70"/>
    <w:rsid w:val="171E28E6"/>
    <w:rsid w:val="17215F32"/>
    <w:rsid w:val="172516D9"/>
    <w:rsid w:val="17283764"/>
    <w:rsid w:val="17292121"/>
    <w:rsid w:val="173159F1"/>
    <w:rsid w:val="17342109"/>
    <w:rsid w:val="17384B04"/>
    <w:rsid w:val="1739327C"/>
    <w:rsid w:val="173E0892"/>
    <w:rsid w:val="1741112D"/>
    <w:rsid w:val="174B2FAF"/>
    <w:rsid w:val="174C1B02"/>
    <w:rsid w:val="174D31CB"/>
    <w:rsid w:val="175005C5"/>
    <w:rsid w:val="17551314"/>
    <w:rsid w:val="175B58E8"/>
    <w:rsid w:val="175D602C"/>
    <w:rsid w:val="175E7186"/>
    <w:rsid w:val="17620A24"/>
    <w:rsid w:val="176C3651"/>
    <w:rsid w:val="176D73C9"/>
    <w:rsid w:val="17726EEA"/>
    <w:rsid w:val="177779D6"/>
    <w:rsid w:val="177E40C4"/>
    <w:rsid w:val="1787048B"/>
    <w:rsid w:val="17884203"/>
    <w:rsid w:val="17914E66"/>
    <w:rsid w:val="17926BD2"/>
    <w:rsid w:val="17942BA8"/>
    <w:rsid w:val="17954360"/>
    <w:rsid w:val="179606CE"/>
    <w:rsid w:val="179C49C1"/>
    <w:rsid w:val="179E3A27"/>
    <w:rsid w:val="17A252C5"/>
    <w:rsid w:val="17A32DEB"/>
    <w:rsid w:val="17AC6144"/>
    <w:rsid w:val="17B31280"/>
    <w:rsid w:val="17B44FF8"/>
    <w:rsid w:val="17B46632"/>
    <w:rsid w:val="17B51F36"/>
    <w:rsid w:val="17B62B1E"/>
    <w:rsid w:val="17BF5E77"/>
    <w:rsid w:val="17C70888"/>
    <w:rsid w:val="17C82BCE"/>
    <w:rsid w:val="17C918ED"/>
    <w:rsid w:val="17CA65CA"/>
    <w:rsid w:val="17DD62FD"/>
    <w:rsid w:val="17EA38DE"/>
    <w:rsid w:val="17EE050A"/>
    <w:rsid w:val="17EF7DDE"/>
    <w:rsid w:val="17F4474B"/>
    <w:rsid w:val="17F453F5"/>
    <w:rsid w:val="17F9352B"/>
    <w:rsid w:val="18095344"/>
    <w:rsid w:val="180E4708"/>
    <w:rsid w:val="181240A7"/>
    <w:rsid w:val="1824217E"/>
    <w:rsid w:val="18243F2C"/>
    <w:rsid w:val="18267CA4"/>
    <w:rsid w:val="18273A1C"/>
    <w:rsid w:val="18291542"/>
    <w:rsid w:val="182A0E16"/>
    <w:rsid w:val="182B52BA"/>
    <w:rsid w:val="182F0322"/>
    <w:rsid w:val="18352A53"/>
    <w:rsid w:val="183A54FD"/>
    <w:rsid w:val="1847093C"/>
    <w:rsid w:val="184A3267"/>
    <w:rsid w:val="184C5231"/>
    <w:rsid w:val="184C6FDF"/>
    <w:rsid w:val="18511F57"/>
    <w:rsid w:val="1857344B"/>
    <w:rsid w:val="18657988"/>
    <w:rsid w:val="18673E19"/>
    <w:rsid w:val="187D5EF7"/>
    <w:rsid w:val="18866995"/>
    <w:rsid w:val="18890233"/>
    <w:rsid w:val="18910E95"/>
    <w:rsid w:val="189746FE"/>
    <w:rsid w:val="189B47D1"/>
    <w:rsid w:val="189D5A8C"/>
    <w:rsid w:val="18A32F63"/>
    <w:rsid w:val="18A51C9C"/>
    <w:rsid w:val="18AB01A9"/>
    <w:rsid w:val="18AB63FB"/>
    <w:rsid w:val="18B52DD6"/>
    <w:rsid w:val="18BE612E"/>
    <w:rsid w:val="18C94AD3"/>
    <w:rsid w:val="18D45952"/>
    <w:rsid w:val="18D46BEB"/>
    <w:rsid w:val="18DC65B5"/>
    <w:rsid w:val="18DD5F19"/>
    <w:rsid w:val="18E37943"/>
    <w:rsid w:val="18E9167E"/>
    <w:rsid w:val="18EB67F8"/>
    <w:rsid w:val="18ED6A14"/>
    <w:rsid w:val="18F03E0E"/>
    <w:rsid w:val="18F25DD8"/>
    <w:rsid w:val="18F733EE"/>
    <w:rsid w:val="18F97167"/>
    <w:rsid w:val="190056C1"/>
    <w:rsid w:val="1901426D"/>
    <w:rsid w:val="1901601B"/>
    <w:rsid w:val="19062F7F"/>
    <w:rsid w:val="19067AD5"/>
    <w:rsid w:val="19081158"/>
    <w:rsid w:val="190A1374"/>
    <w:rsid w:val="190A2B12"/>
    <w:rsid w:val="190B6E9A"/>
    <w:rsid w:val="19193365"/>
    <w:rsid w:val="191C10A7"/>
    <w:rsid w:val="19212219"/>
    <w:rsid w:val="192817FA"/>
    <w:rsid w:val="192A0255"/>
    <w:rsid w:val="19324427"/>
    <w:rsid w:val="1934481E"/>
    <w:rsid w:val="193463F1"/>
    <w:rsid w:val="19375EE1"/>
    <w:rsid w:val="19393A07"/>
    <w:rsid w:val="193F61C9"/>
    <w:rsid w:val="19406B43"/>
    <w:rsid w:val="194303E2"/>
    <w:rsid w:val="1945415A"/>
    <w:rsid w:val="1946089D"/>
    <w:rsid w:val="194F322A"/>
    <w:rsid w:val="19573E8D"/>
    <w:rsid w:val="195E6FCA"/>
    <w:rsid w:val="1967529D"/>
    <w:rsid w:val="196842EC"/>
    <w:rsid w:val="19717EBC"/>
    <w:rsid w:val="19783AB2"/>
    <w:rsid w:val="19856C4C"/>
    <w:rsid w:val="19882298"/>
    <w:rsid w:val="19900E5B"/>
    <w:rsid w:val="19910B4F"/>
    <w:rsid w:val="199212ED"/>
    <w:rsid w:val="199A2918"/>
    <w:rsid w:val="19A10D28"/>
    <w:rsid w:val="19A30E80"/>
    <w:rsid w:val="19A35324"/>
    <w:rsid w:val="19A370D2"/>
    <w:rsid w:val="19A60971"/>
    <w:rsid w:val="19A74E14"/>
    <w:rsid w:val="19A81450"/>
    <w:rsid w:val="19AC5F87"/>
    <w:rsid w:val="19AC7FBE"/>
    <w:rsid w:val="19AE61A3"/>
    <w:rsid w:val="19AF3CC9"/>
    <w:rsid w:val="19B20DD3"/>
    <w:rsid w:val="19B27315"/>
    <w:rsid w:val="19B40CF7"/>
    <w:rsid w:val="19B72B7E"/>
    <w:rsid w:val="19B9232B"/>
    <w:rsid w:val="19B94B48"/>
    <w:rsid w:val="19BB441C"/>
    <w:rsid w:val="19BD0194"/>
    <w:rsid w:val="19C21C4E"/>
    <w:rsid w:val="19C37774"/>
    <w:rsid w:val="19C92FDD"/>
    <w:rsid w:val="19CC487B"/>
    <w:rsid w:val="19CD414F"/>
    <w:rsid w:val="19D07778"/>
    <w:rsid w:val="19E00326"/>
    <w:rsid w:val="19E03E83"/>
    <w:rsid w:val="19E576EB"/>
    <w:rsid w:val="19E679C4"/>
    <w:rsid w:val="19E971DB"/>
    <w:rsid w:val="19F16090"/>
    <w:rsid w:val="19FB6F0E"/>
    <w:rsid w:val="19FD46F1"/>
    <w:rsid w:val="19FD4A34"/>
    <w:rsid w:val="1A037B71"/>
    <w:rsid w:val="1A08318B"/>
    <w:rsid w:val="1A0E1F0E"/>
    <w:rsid w:val="1A11687D"/>
    <w:rsid w:val="1A1F69B1"/>
    <w:rsid w:val="1A24187A"/>
    <w:rsid w:val="1A27777D"/>
    <w:rsid w:val="1A2A3350"/>
    <w:rsid w:val="1A2E4BEE"/>
    <w:rsid w:val="1A332204"/>
    <w:rsid w:val="1A3348FA"/>
    <w:rsid w:val="1A402B73"/>
    <w:rsid w:val="1A420699"/>
    <w:rsid w:val="1A4B50AA"/>
    <w:rsid w:val="1A564145"/>
    <w:rsid w:val="1A565416"/>
    <w:rsid w:val="1A5B54C3"/>
    <w:rsid w:val="1A69031C"/>
    <w:rsid w:val="1A710772"/>
    <w:rsid w:val="1A716259"/>
    <w:rsid w:val="1A772A39"/>
    <w:rsid w:val="1A7C47D0"/>
    <w:rsid w:val="1A7F369B"/>
    <w:rsid w:val="1A8769F4"/>
    <w:rsid w:val="1A974E89"/>
    <w:rsid w:val="1A9D3949"/>
    <w:rsid w:val="1A9D7FC6"/>
    <w:rsid w:val="1A9F5AEC"/>
    <w:rsid w:val="1AA70D85"/>
    <w:rsid w:val="1AAE21D3"/>
    <w:rsid w:val="1AB0041E"/>
    <w:rsid w:val="1AB377E9"/>
    <w:rsid w:val="1AB570BD"/>
    <w:rsid w:val="1AB9713F"/>
    <w:rsid w:val="1ABF6EAF"/>
    <w:rsid w:val="1AC47300"/>
    <w:rsid w:val="1AC86822"/>
    <w:rsid w:val="1ACC4407"/>
    <w:rsid w:val="1AD02149"/>
    <w:rsid w:val="1AD9671D"/>
    <w:rsid w:val="1ADD03C2"/>
    <w:rsid w:val="1AE259D8"/>
    <w:rsid w:val="1AE31E7C"/>
    <w:rsid w:val="1AE71C05"/>
    <w:rsid w:val="1AEB2BBF"/>
    <w:rsid w:val="1AF04599"/>
    <w:rsid w:val="1AF37BE5"/>
    <w:rsid w:val="1AFC4CEC"/>
    <w:rsid w:val="1B0342CC"/>
    <w:rsid w:val="1B070062"/>
    <w:rsid w:val="1B0961AD"/>
    <w:rsid w:val="1B1262BE"/>
    <w:rsid w:val="1B18764C"/>
    <w:rsid w:val="1B210BF7"/>
    <w:rsid w:val="1B23671D"/>
    <w:rsid w:val="1B28788F"/>
    <w:rsid w:val="1B316012"/>
    <w:rsid w:val="1B35229F"/>
    <w:rsid w:val="1B39193F"/>
    <w:rsid w:val="1B391A9C"/>
    <w:rsid w:val="1B4072CF"/>
    <w:rsid w:val="1B482BAE"/>
    <w:rsid w:val="1B4D72F6"/>
    <w:rsid w:val="1B505038"/>
    <w:rsid w:val="1B506DE6"/>
    <w:rsid w:val="1B570174"/>
    <w:rsid w:val="1B5957A5"/>
    <w:rsid w:val="1B597B7F"/>
    <w:rsid w:val="1B662AAD"/>
    <w:rsid w:val="1B6C7141"/>
    <w:rsid w:val="1B6D5F76"/>
    <w:rsid w:val="1B7138AA"/>
    <w:rsid w:val="1B753A8E"/>
    <w:rsid w:val="1B7B3CCC"/>
    <w:rsid w:val="1B7E5AA8"/>
    <w:rsid w:val="1B83470E"/>
    <w:rsid w:val="1B854CE1"/>
    <w:rsid w:val="1B860A5A"/>
    <w:rsid w:val="1B93683E"/>
    <w:rsid w:val="1B9743FB"/>
    <w:rsid w:val="1B9969DF"/>
    <w:rsid w:val="1B9B4505"/>
    <w:rsid w:val="1B9C4323"/>
    <w:rsid w:val="1BA57132"/>
    <w:rsid w:val="1BA84E74"/>
    <w:rsid w:val="1BAC6712"/>
    <w:rsid w:val="1BB74F5A"/>
    <w:rsid w:val="1BBD402A"/>
    <w:rsid w:val="1BC021BE"/>
    <w:rsid w:val="1BC752FA"/>
    <w:rsid w:val="1BD96DDB"/>
    <w:rsid w:val="1BDD2D6F"/>
    <w:rsid w:val="1BDD64C4"/>
    <w:rsid w:val="1BE0016A"/>
    <w:rsid w:val="1BE13EE2"/>
    <w:rsid w:val="1BE821CD"/>
    <w:rsid w:val="1BEA0FE8"/>
    <w:rsid w:val="1BF65BDF"/>
    <w:rsid w:val="1BF6798D"/>
    <w:rsid w:val="1BFC5AAE"/>
    <w:rsid w:val="1C024584"/>
    <w:rsid w:val="1C03400A"/>
    <w:rsid w:val="1C0A6C76"/>
    <w:rsid w:val="1C142509"/>
    <w:rsid w:val="1C142AAA"/>
    <w:rsid w:val="1C16002F"/>
    <w:rsid w:val="1C19367C"/>
    <w:rsid w:val="1C197B20"/>
    <w:rsid w:val="1C1A4CA0"/>
    <w:rsid w:val="1C1C3525"/>
    <w:rsid w:val="1C262C1A"/>
    <w:rsid w:val="1C290600"/>
    <w:rsid w:val="1C2D2C9B"/>
    <w:rsid w:val="1C381D54"/>
    <w:rsid w:val="1C3B1844"/>
    <w:rsid w:val="1C3B5CE8"/>
    <w:rsid w:val="1C3D380E"/>
    <w:rsid w:val="1C440C60"/>
    <w:rsid w:val="1C47468D"/>
    <w:rsid w:val="1C4C1CA3"/>
    <w:rsid w:val="1C4D36AB"/>
    <w:rsid w:val="1C4D79F2"/>
    <w:rsid w:val="1C4E5A1B"/>
    <w:rsid w:val="1C511779"/>
    <w:rsid w:val="1C536B8E"/>
    <w:rsid w:val="1C563089"/>
    <w:rsid w:val="1C5841A4"/>
    <w:rsid w:val="1C640D9B"/>
    <w:rsid w:val="1C646FED"/>
    <w:rsid w:val="1C6601F2"/>
    <w:rsid w:val="1C7408FE"/>
    <w:rsid w:val="1C7903AF"/>
    <w:rsid w:val="1C7A05BE"/>
    <w:rsid w:val="1C7D1E5D"/>
    <w:rsid w:val="1C814C75"/>
    <w:rsid w:val="1C8B27CB"/>
    <w:rsid w:val="1C8E7BC6"/>
    <w:rsid w:val="1C9262FB"/>
    <w:rsid w:val="1C986C96"/>
    <w:rsid w:val="1C997140"/>
    <w:rsid w:val="1CA44A0F"/>
    <w:rsid w:val="1CA70003"/>
    <w:rsid w:val="1CA76EDA"/>
    <w:rsid w:val="1CA94A00"/>
    <w:rsid w:val="1CAB69CA"/>
    <w:rsid w:val="1CB263DE"/>
    <w:rsid w:val="1CB279A9"/>
    <w:rsid w:val="1CB533A4"/>
    <w:rsid w:val="1CB810E7"/>
    <w:rsid w:val="1CBB2985"/>
    <w:rsid w:val="1CBF2475"/>
    <w:rsid w:val="1CC17F9B"/>
    <w:rsid w:val="1CC21F65"/>
    <w:rsid w:val="1CC25AC1"/>
    <w:rsid w:val="1CC84BE4"/>
    <w:rsid w:val="1CC96E50"/>
    <w:rsid w:val="1CCA0C6F"/>
    <w:rsid w:val="1CCD203C"/>
    <w:rsid w:val="1CD04682"/>
    <w:rsid w:val="1CD774B0"/>
    <w:rsid w:val="1CE00629"/>
    <w:rsid w:val="1CE57D5A"/>
    <w:rsid w:val="1CEB326A"/>
    <w:rsid w:val="1CED3684"/>
    <w:rsid w:val="1CF0262F"/>
    <w:rsid w:val="1CF0690F"/>
    <w:rsid w:val="1CFA525B"/>
    <w:rsid w:val="1D0113C9"/>
    <w:rsid w:val="1D01483C"/>
    <w:rsid w:val="1D0C4D3C"/>
    <w:rsid w:val="1D0D31E0"/>
    <w:rsid w:val="1D13631D"/>
    <w:rsid w:val="1D181B85"/>
    <w:rsid w:val="1D1B1F70"/>
    <w:rsid w:val="1D232A04"/>
    <w:rsid w:val="1D2D73DF"/>
    <w:rsid w:val="1D2E13A9"/>
    <w:rsid w:val="1D3272A2"/>
    <w:rsid w:val="1D37667D"/>
    <w:rsid w:val="1D383FD6"/>
    <w:rsid w:val="1D4209B0"/>
    <w:rsid w:val="1D4330A6"/>
    <w:rsid w:val="1D436C02"/>
    <w:rsid w:val="1D4604A0"/>
    <w:rsid w:val="1D55000A"/>
    <w:rsid w:val="1D586233"/>
    <w:rsid w:val="1D5968EC"/>
    <w:rsid w:val="1D5A3F4C"/>
    <w:rsid w:val="1D5F5A06"/>
    <w:rsid w:val="1D631052"/>
    <w:rsid w:val="1D633073"/>
    <w:rsid w:val="1D666D95"/>
    <w:rsid w:val="1D686669"/>
    <w:rsid w:val="1D6A50EA"/>
    <w:rsid w:val="1D762F10"/>
    <w:rsid w:val="1D796AC8"/>
    <w:rsid w:val="1D7A45EE"/>
    <w:rsid w:val="1D7A639C"/>
    <w:rsid w:val="1D813BCE"/>
    <w:rsid w:val="1D8C53A3"/>
    <w:rsid w:val="1D9531D6"/>
    <w:rsid w:val="1DA460D2"/>
    <w:rsid w:val="1DAB29F9"/>
    <w:rsid w:val="1DAC61A2"/>
    <w:rsid w:val="1DB00010"/>
    <w:rsid w:val="1DB16262"/>
    <w:rsid w:val="1DB418AE"/>
    <w:rsid w:val="1DB55626"/>
    <w:rsid w:val="1DB63878"/>
    <w:rsid w:val="1DB775F0"/>
    <w:rsid w:val="1DBE097F"/>
    <w:rsid w:val="1DC37D43"/>
    <w:rsid w:val="1DC46673"/>
    <w:rsid w:val="1DCA10D2"/>
    <w:rsid w:val="1DCC6BCB"/>
    <w:rsid w:val="1DD35915"/>
    <w:rsid w:val="1DD91315"/>
    <w:rsid w:val="1DDB508D"/>
    <w:rsid w:val="1DE33F41"/>
    <w:rsid w:val="1DEA1774"/>
    <w:rsid w:val="1DF52E86"/>
    <w:rsid w:val="1DF77DC1"/>
    <w:rsid w:val="1DFB128B"/>
    <w:rsid w:val="1DFB3BD9"/>
    <w:rsid w:val="1DFE0D7B"/>
    <w:rsid w:val="1E002D45"/>
    <w:rsid w:val="1E0068A1"/>
    <w:rsid w:val="1E0077BD"/>
    <w:rsid w:val="1E0346BB"/>
    <w:rsid w:val="1E045A8A"/>
    <w:rsid w:val="1E053855"/>
    <w:rsid w:val="1E0565AE"/>
    <w:rsid w:val="1E081BFA"/>
    <w:rsid w:val="1E0C16EA"/>
    <w:rsid w:val="1E0C793C"/>
    <w:rsid w:val="1E0D0FBE"/>
    <w:rsid w:val="1E14234D"/>
    <w:rsid w:val="1E165D5F"/>
    <w:rsid w:val="1E18008F"/>
    <w:rsid w:val="1E2702D2"/>
    <w:rsid w:val="1E2C3B3A"/>
    <w:rsid w:val="1E2F362A"/>
    <w:rsid w:val="1E2F53D8"/>
    <w:rsid w:val="1E301693"/>
    <w:rsid w:val="1E326C77"/>
    <w:rsid w:val="1E3819A8"/>
    <w:rsid w:val="1E396257"/>
    <w:rsid w:val="1E3E386E"/>
    <w:rsid w:val="1E3E39E6"/>
    <w:rsid w:val="1E401394"/>
    <w:rsid w:val="1E403142"/>
    <w:rsid w:val="1E445BB5"/>
    <w:rsid w:val="1E4B5FA8"/>
    <w:rsid w:val="1E4F7829"/>
    <w:rsid w:val="1E5B61CE"/>
    <w:rsid w:val="1E5D1854"/>
    <w:rsid w:val="1E5E181A"/>
    <w:rsid w:val="1E635082"/>
    <w:rsid w:val="1E6C03DB"/>
    <w:rsid w:val="1E7159F1"/>
    <w:rsid w:val="1E7338E5"/>
    <w:rsid w:val="1E74103D"/>
    <w:rsid w:val="1E763007"/>
    <w:rsid w:val="1E786D7F"/>
    <w:rsid w:val="1E7948A6"/>
    <w:rsid w:val="1E7A2AF8"/>
    <w:rsid w:val="1E7D6144"/>
    <w:rsid w:val="1E827BFE"/>
    <w:rsid w:val="1E845724"/>
    <w:rsid w:val="1E8A260F"/>
    <w:rsid w:val="1E8C282B"/>
    <w:rsid w:val="1E8D5CB1"/>
    <w:rsid w:val="1E8F5E77"/>
    <w:rsid w:val="1E911BEF"/>
    <w:rsid w:val="1E9275C5"/>
    <w:rsid w:val="1E931075"/>
    <w:rsid w:val="1E9359FF"/>
    <w:rsid w:val="1E9B1C91"/>
    <w:rsid w:val="1E9C5D87"/>
    <w:rsid w:val="1E9D2342"/>
    <w:rsid w:val="1E9E60BA"/>
    <w:rsid w:val="1EA731C1"/>
    <w:rsid w:val="1EAC07D7"/>
    <w:rsid w:val="1EAE454F"/>
    <w:rsid w:val="1EB31B66"/>
    <w:rsid w:val="1EB35BD8"/>
    <w:rsid w:val="1EBF050A"/>
    <w:rsid w:val="1EC05AB5"/>
    <w:rsid w:val="1EC2624D"/>
    <w:rsid w:val="1EC63B74"/>
    <w:rsid w:val="1ECA65F0"/>
    <w:rsid w:val="1ECE074D"/>
    <w:rsid w:val="1EDA619E"/>
    <w:rsid w:val="1EDC131A"/>
    <w:rsid w:val="1EDC41F6"/>
    <w:rsid w:val="1EDF295B"/>
    <w:rsid w:val="1EE61F3B"/>
    <w:rsid w:val="1EE77A61"/>
    <w:rsid w:val="1EE833D9"/>
    <w:rsid w:val="1EE95587"/>
    <w:rsid w:val="1EEA12FF"/>
    <w:rsid w:val="1EEB5328"/>
    <w:rsid w:val="1EEB7551"/>
    <w:rsid w:val="1EEC32CA"/>
    <w:rsid w:val="1EEC5078"/>
    <w:rsid w:val="1EF34658"/>
    <w:rsid w:val="1EFA3C38"/>
    <w:rsid w:val="1EFB1C1F"/>
    <w:rsid w:val="1F046865"/>
    <w:rsid w:val="1F070103"/>
    <w:rsid w:val="1F095375"/>
    <w:rsid w:val="1F0979D8"/>
    <w:rsid w:val="1F0C322D"/>
    <w:rsid w:val="1F100D66"/>
    <w:rsid w:val="1F122D30"/>
    <w:rsid w:val="1F152820"/>
    <w:rsid w:val="1F15637C"/>
    <w:rsid w:val="1F1620F4"/>
    <w:rsid w:val="1F1840BF"/>
    <w:rsid w:val="1F2C58B2"/>
    <w:rsid w:val="1F3F1B86"/>
    <w:rsid w:val="1F3F5AEF"/>
    <w:rsid w:val="1F446C62"/>
    <w:rsid w:val="1F4B4494"/>
    <w:rsid w:val="1F4B6242"/>
    <w:rsid w:val="1F520A72"/>
    <w:rsid w:val="1F5844BB"/>
    <w:rsid w:val="1F5A46D7"/>
    <w:rsid w:val="1F5B1004"/>
    <w:rsid w:val="1F5C2935"/>
    <w:rsid w:val="1F5F1CED"/>
    <w:rsid w:val="1F5F3A9B"/>
    <w:rsid w:val="1F6022F5"/>
    <w:rsid w:val="1F69491A"/>
    <w:rsid w:val="1F705CA9"/>
    <w:rsid w:val="1F792DAF"/>
    <w:rsid w:val="1F7F7C9A"/>
    <w:rsid w:val="1F845EBA"/>
    <w:rsid w:val="1F861028"/>
    <w:rsid w:val="1F881244"/>
    <w:rsid w:val="1F890B18"/>
    <w:rsid w:val="1F896D6A"/>
    <w:rsid w:val="1F973235"/>
    <w:rsid w:val="1F981484"/>
    <w:rsid w:val="1F983013"/>
    <w:rsid w:val="1F983CCE"/>
    <w:rsid w:val="1F9C084C"/>
    <w:rsid w:val="1F9E2816"/>
    <w:rsid w:val="1FA00AD9"/>
    <w:rsid w:val="1FB262C1"/>
    <w:rsid w:val="1FB63591"/>
    <w:rsid w:val="1FBD34A2"/>
    <w:rsid w:val="1FBF278C"/>
    <w:rsid w:val="1FC009DE"/>
    <w:rsid w:val="1FC64311"/>
    <w:rsid w:val="1FC85AE5"/>
    <w:rsid w:val="1FC97167"/>
    <w:rsid w:val="1FCE5529"/>
    <w:rsid w:val="1FD53D5E"/>
    <w:rsid w:val="1FD56262"/>
    <w:rsid w:val="1FE16BA6"/>
    <w:rsid w:val="1FE27D80"/>
    <w:rsid w:val="1FE521F3"/>
    <w:rsid w:val="1FE741BD"/>
    <w:rsid w:val="1FEA15B7"/>
    <w:rsid w:val="1FEB532F"/>
    <w:rsid w:val="1FED554B"/>
    <w:rsid w:val="1FF22B62"/>
    <w:rsid w:val="1FF561AE"/>
    <w:rsid w:val="1FFA08C4"/>
    <w:rsid w:val="1FFE1506"/>
    <w:rsid w:val="200230F1"/>
    <w:rsid w:val="20060D7B"/>
    <w:rsid w:val="200F2C45"/>
    <w:rsid w:val="20112FE8"/>
    <w:rsid w:val="20157E2A"/>
    <w:rsid w:val="201A79C2"/>
    <w:rsid w:val="201C3652"/>
    <w:rsid w:val="20234A6C"/>
    <w:rsid w:val="20285722"/>
    <w:rsid w:val="20286583"/>
    <w:rsid w:val="202F346E"/>
    <w:rsid w:val="2031368A"/>
    <w:rsid w:val="203171E6"/>
    <w:rsid w:val="203A3726"/>
    <w:rsid w:val="203B2300"/>
    <w:rsid w:val="203C58F3"/>
    <w:rsid w:val="203E32AB"/>
    <w:rsid w:val="204213F3"/>
    <w:rsid w:val="204A02A8"/>
    <w:rsid w:val="204D6F9F"/>
    <w:rsid w:val="20564E9E"/>
    <w:rsid w:val="2059648A"/>
    <w:rsid w:val="20670E5A"/>
    <w:rsid w:val="206E238A"/>
    <w:rsid w:val="20765541"/>
    <w:rsid w:val="207812B9"/>
    <w:rsid w:val="207C36C3"/>
    <w:rsid w:val="20803CC9"/>
    <w:rsid w:val="208B7348"/>
    <w:rsid w:val="209B0B03"/>
    <w:rsid w:val="209B13A7"/>
    <w:rsid w:val="209D520A"/>
    <w:rsid w:val="209E2043"/>
    <w:rsid w:val="20A756FA"/>
    <w:rsid w:val="20A976C4"/>
    <w:rsid w:val="20AA51EA"/>
    <w:rsid w:val="20AC0F62"/>
    <w:rsid w:val="20AC4ABE"/>
    <w:rsid w:val="20B10327"/>
    <w:rsid w:val="20B24026"/>
    <w:rsid w:val="20B63B8F"/>
    <w:rsid w:val="20B9542D"/>
    <w:rsid w:val="20BB45F9"/>
    <w:rsid w:val="20BB73F7"/>
    <w:rsid w:val="20CA763A"/>
    <w:rsid w:val="20D3029D"/>
    <w:rsid w:val="20D34741"/>
    <w:rsid w:val="20E26732"/>
    <w:rsid w:val="20E64474"/>
    <w:rsid w:val="20EB1A8B"/>
    <w:rsid w:val="20EE157B"/>
    <w:rsid w:val="20EF0E4F"/>
    <w:rsid w:val="20F052F3"/>
    <w:rsid w:val="20F070A1"/>
    <w:rsid w:val="20F14BC7"/>
    <w:rsid w:val="20F63F8C"/>
    <w:rsid w:val="20FA1CCE"/>
    <w:rsid w:val="20FA3A7C"/>
    <w:rsid w:val="20FC4BEC"/>
    <w:rsid w:val="21015D8F"/>
    <w:rsid w:val="21025026"/>
    <w:rsid w:val="21031EA1"/>
    <w:rsid w:val="210E39CB"/>
    <w:rsid w:val="210F0963"/>
    <w:rsid w:val="21154D5A"/>
    <w:rsid w:val="21162880"/>
    <w:rsid w:val="21254871"/>
    <w:rsid w:val="21354AB4"/>
    <w:rsid w:val="2149662E"/>
    <w:rsid w:val="214E2A49"/>
    <w:rsid w:val="214F6BCE"/>
    <w:rsid w:val="215414C1"/>
    <w:rsid w:val="21555156"/>
    <w:rsid w:val="215D04AF"/>
    <w:rsid w:val="215D225D"/>
    <w:rsid w:val="216655B5"/>
    <w:rsid w:val="216B138B"/>
    <w:rsid w:val="216D6ACE"/>
    <w:rsid w:val="21723F5A"/>
    <w:rsid w:val="217355DC"/>
    <w:rsid w:val="21833D82"/>
    <w:rsid w:val="21837F15"/>
    <w:rsid w:val="21871088"/>
    <w:rsid w:val="218D0B38"/>
    <w:rsid w:val="21920158"/>
    <w:rsid w:val="21923DFF"/>
    <w:rsid w:val="219557DE"/>
    <w:rsid w:val="21967DBF"/>
    <w:rsid w:val="219A525F"/>
    <w:rsid w:val="219B33C4"/>
    <w:rsid w:val="219C0FD7"/>
    <w:rsid w:val="219F2875"/>
    <w:rsid w:val="21A41C3A"/>
    <w:rsid w:val="21BC0100"/>
    <w:rsid w:val="21BF0821"/>
    <w:rsid w:val="21BF6A73"/>
    <w:rsid w:val="21C422DC"/>
    <w:rsid w:val="21C66054"/>
    <w:rsid w:val="21C67E02"/>
    <w:rsid w:val="21CE6CB6"/>
    <w:rsid w:val="21CF5542"/>
    <w:rsid w:val="21D4251F"/>
    <w:rsid w:val="21D544E9"/>
    <w:rsid w:val="21D818E3"/>
    <w:rsid w:val="21DA565B"/>
    <w:rsid w:val="21DF0EC4"/>
    <w:rsid w:val="21E40288"/>
    <w:rsid w:val="21E66AB3"/>
    <w:rsid w:val="21EA2E05"/>
    <w:rsid w:val="21EF3B5B"/>
    <w:rsid w:val="21F7445F"/>
    <w:rsid w:val="21F9443D"/>
    <w:rsid w:val="22001566"/>
    <w:rsid w:val="22010E3A"/>
    <w:rsid w:val="220426D8"/>
    <w:rsid w:val="2208147E"/>
    <w:rsid w:val="2210107D"/>
    <w:rsid w:val="2221328A"/>
    <w:rsid w:val="22235254"/>
    <w:rsid w:val="222B72CC"/>
    <w:rsid w:val="222E7744"/>
    <w:rsid w:val="22330D82"/>
    <w:rsid w:val="22355E26"/>
    <w:rsid w:val="22356D36"/>
    <w:rsid w:val="22391116"/>
    <w:rsid w:val="224315DD"/>
    <w:rsid w:val="22434903"/>
    <w:rsid w:val="224B0ED0"/>
    <w:rsid w:val="224C47AB"/>
    <w:rsid w:val="224F3E0C"/>
    <w:rsid w:val="22525B39"/>
    <w:rsid w:val="22552F34"/>
    <w:rsid w:val="22574EFE"/>
    <w:rsid w:val="226B673B"/>
    <w:rsid w:val="22737F8A"/>
    <w:rsid w:val="22750E06"/>
    <w:rsid w:val="22794E74"/>
    <w:rsid w:val="227B5090"/>
    <w:rsid w:val="22812619"/>
    <w:rsid w:val="2282499F"/>
    <w:rsid w:val="22844605"/>
    <w:rsid w:val="22885B34"/>
    <w:rsid w:val="22905F9B"/>
    <w:rsid w:val="22915D99"/>
    <w:rsid w:val="22960D10"/>
    <w:rsid w:val="229879F0"/>
    <w:rsid w:val="229B3091"/>
    <w:rsid w:val="22A719E1"/>
    <w:rsid w:val="22AD4B1E"/>
    <w:rsid w:val="22B440FE"/>
    <w:rsid w:val="22B45EAC"/>
    <w:rsid w:val="22B62C39"/>
    <w:rsid w:val="22BB36DF"/>
    <w:rsid w:val="22BB548D"/>
    <w:rsid w:val="22BC7AC7"/>
    <w:rsid w:val="22BF2E59"/>
    <w:rsid w:val="22C00CF5"/>
    <w:rsid w:val="22C2681B"/>
    <w:rsid w:val="22C458D4"/>
    <w:rsid w:val="22C500B9"/>
    <w:rsid w:val="22C5455D"/>
    <w:rsid w:val="22C75BE0"/>
    <w:rsid w:val="22E20C6B"/>
    <w:rsid w:val="22E418F0"/>
    <w:rsid w:val="22E70030"/>
    <w:rsid w:val="22EB1154"/>
    <w:rsid w:val="22EC3277"/>
    <w:rsid w:val="22EC3898"/>
    <w:rsid w:val="22ED0263"/>
    <w:rsid w:val="22F015DA"/>
    <w:rsid w:val="22F4274D"/>
    <w:rsid w:val="22F96690"/>
    <w:rsid w:val="22FF35CB"/>
    <w:rsid w:val="23040BE2"/>
    <w:rsid w:val="23107582"/>
    <w:rsid w:val="23137077"/>
    <w:rsid w:val="23152DEF"/>
    <w:rsid w:val="23164DB9"/>
    <w:rsid w:val="2318468D"/>
    <w:rsid w:val="23184B1A"/>
    <w:rsid w:val="232272BA"/>
    <w:rsid w:val="23244DE0"/>
    <w:rsid w:val="23250A35"/>
    <w:rsid w:val="23290648"/>
    <w:rsid w:val="232A43C0"/>
    <w:rsid w:val="23360FB7"/>
    <w:rsid w:val="23376AAB"/>
    <w:rsid w:val="233B037C"/>
    <w:rsid w:val="233B65CE"/>
    <w:rsid w:val="233C36AF"/>
    <w:rsid w:val="233D694A"/>
    <w:rsid w:val="23496F3C"/>
    <w:rsid w:val="23531B69"/>
    <w:rsid w:val="23552CC4"/>
    <w:rsid w:val="23557326"/>
    <w:rsid w:val="23580F2E"/>
    <w:rsid w:val="235A33F0"/>
    <w:rsid w:val="235A6A54"/>
    <w:rsid w:val="235B27CC"/>
    <w:rsid w:val="235B2848"/>
    <w:rsid w:val="235D47D5"/>
    <w:rsid w:val="235F406A"/>
    <w:rsid w:val="23627FFE"/>
    <w:rsid w:val="236553F8"/>
    <w:rsid w:val="236B2A0F"/>
    <w:rsid w:val="237044C9"/>
    <w:rsid w:val="2375388E"/>
    <w:rsid w:val="23775858"/>
    <w:rsid w:val="237D2742"/>
    <w:rsid w:val="2383280A"/>
    <w:rsid w:val="23871813"/>
    <w:rsid w:val="238B4E5F"/>
    <w:rsid w:val="238E2BA1"/>
    <w:rsid w:val="23967436"/>
    <w:rsid w:val="23977CA8"/>
    <w:rsid w:val="23A23246"/>
    <w:rsid w:val="23A777BF"/>
    <w:rsid w:val="23AE4FF1"/>
    <w:rsid w:val="23B4085A"/>
    <w:rsid w:val="23B720F8"/>
    <w:rsid w:val="23B73EA6"/>
    <w:rsid w:val="23C06940"/>
    <w:rsid w:val="23C11063"/>
    <w:rsid w:val="23C44F4B"/>
    <w:rsid w:val="23C6058D"/>
    <w:rsid w:val="23C67B2A"/>
    <w:rsid w:val="23C70B5B"/>
    <w:rsid w:val="23D06D16"/>
    <w:rsid w:val="23D22A8E"/>
    <w:rsid w:val="23D507D0"/>
    <w:rsid w:val="23D8149D"/>
    <w:rsid w:val="23DB3ED9"/>
    <w:rsid w:val="23DD1433"/>
    <w:rsid w:val="23E10F23"/>
    <w:rsid w:val="23E56031"/>
    <w:rsid w:val="23ED3D6C"/>
    <w:rsid w:val="23F073B8"/>
    <w:rsid w:val="23FC34CB"/>
    <w:rsid w:val="23FC5D5D"/>
    <w:rsid w:val="23FE7D27"/>
    <w:rsid w:val="23FF6D26"/>
    <w:rsid w:val="24001138"/>
    <w:rsid w:val="24035494"/>
    <w:rsid w:val="24042E63"/>
    <w:rsid w:val="240864B0"/>
    <w:rsid w:val="24092228"/>
    <w:rsid w:val="240A4F8A"/>
    <w:rsid w:val="24155071"/>
    <w:rsid w:val="24174945"/>
    <w:rsid w:val="241935A1"/>
    <w:rsid w:val="241C6A54"/>
    <w:rsid w:val="241E3F25"/>
    <w:rsid w:val="242502D3"/>
    <w:rsid w:val="24277076"/>
    <w:rsid w:val="242B4894"/>
    <w:rsid w:val="242F7169"/>
    <w:rsid w:val="2432177F"/>
    <w:rsid w:val="243674C1"/>
    <w:rsid w:val="24374FE7"/>
    <w:rsid w:val="243C0E2C"/>
    <w:rsid w:val="243D7B46"/>
    <w:rsid w:val="24412E6E"/>
    <w:rsid w:val="24455956"/>
    <w:rsid w:val="2446522A"/>
    <w:rsid w:val="24482D50"/>
    <w:rsid w:val="244A2F6C"/>
    <w:rsid w:val="244A4D1A"/>
    <w:rsid w:val="244C00B5"/>
    <w:rsid w:val="244C5796"/>
    <w:rsid w:val="244F2331"/>
    <w:rsid w:val="24613E12"/>
    <w:rsid w:val="24632624"/>
    <w:rsid w:val="24661428"/>
    <w:rsid w:val="24773635"/>
    <w:rsid w:val="247B0206"/>
    <w:rsid w:val="247B1377"/>
    <w:rsid w:val="247E2C16"/>
    <w:rsid w:val="248166DC"/>
    <w:rsid w:val="24855D52"/>
    <w:rsid w:val="24894CC7"/>
    <w:rsid w:val="248D2E59"/>
    <w:rsid w:val="248F4E23"/>
    <w:rsid w:val="2492206B"/>
    <w:rsid w:val="24961D0D"/>
    <w:rsid w:val="24967F5F"/>
    <w:rsid w:val="249E5772"/>
    <w:rsid w:val="249F545E"/>
    <w:rsid w:val="24A77AD6"/>
    <w:rsid w:val="24A85EE5"/>
    <w:rsid w:val="24AF2DCF"/>
    <w:rsid w:val="24B55EEC"/>
    <w:rsid w:val="24B853BF"/>
    <w:rsid w:val="24BB5C18"/>
    <w:rsid w:val="24C04FDC"/>
    <w:rsid w:val="24CA2B96"/>
    <w:rsid w:val="24D42836"/>
    <w:rsid w:val="24D506C8"/>
    <w:rsid w:val="24DA09AB"/>
    <w:rsid w:val="24DE36B4"/>
    <w:rsid w:val="24E0742D"/>
    <w:rsid w:val="24E30CCB"/>
    <w:rsid w:val="24EA02AB"/>
    <w:rsid w:val="24F44F16"/>
    <w:rsid w:val="24F46A34"/>
    <w:rsid w:val="24F669CD"/>
    <w:rsid w:val="24F66C50"/>
    <w:rsid w:val="24FC3D7E"/>
    <w:rsid w:val="25050C41"/>
    <w:rsid w:val="25070E5D"/>
    <w:rsid w:val="250F1B30"/>
    <w:rsid w:val="251956B6"/>
    <w:rsid w:val="2519649B"/>
    <w:rsid w:val="251B2BA7"/>
    <w:rsid w:val="252C71BA"/>
    <w:rsid w:val="252E0198"/>
    <w:rsid w:val="25302162"/>
    <w:rsid w:val="25360432"/>
    <w:rsid w:val="25362D5A"/>
    <w:rsid w:val="25387269"/>
    <w:rsid w:val="253A4D8F"/>
    <w:rsid w:val="253D03DB"/>
    <w:rsid w:val="253F4153"/>
    <w:rsid w:val="2540611D"/>
    <w:rsid w:val="254A7A9F"/>
    <w:rsid w:val="254C6870"/>
    <w:rsid w:val="25551BC9"/>
    <w:rsid w:val="25565941"/>
    <w:rsid w:val="25592D3B"/>
    <w:rsid w:val="255C4358"/>
    <w:rsid w:val="256040C9"/>
    <w:rsid w:val="2561056D"/>
    <w:rsid w:val="256D3B90"/>
    <w:rsid w:val="25710085"/>
    <w:rsid w:val="2572617E"/>
    <w:rsid w:val="257302A1"/>
    <w:rsid w:val="25733493"/>
    <w:rsid w:val="25803D3A"/>
    <w:rsid w:val="25902C01"/>
    <w:rsid w:val="259827BD"/>
    <w:rsid w:val="259D0E7A"/>
    <w:rsid w:val="259D757B"/>
    <w:rsid w:val="259F2E44"/>
    <w:rsid w:val="25A91F14"/>
    <w:rsid w:val="25AB17E9"/>
    <w:rsid w:val="25AB3597"/>
    <w:rsid w:val="25AF4DA6"/>
    <w:rsid w:val="25B032A3"/>
    <w:rsid w:val="25B34B41"/>
    <w:rsid w:val="25B91E90"/>
    <w:rsid w:val="25BD776E"/>
    <w:rsid w:val="25C30157"/>
    <w:rsid w:val="25C32FD6"/>
    <w:rsid w:val="25C428AA"/>
    <w:rsid w:val="25C603D0"/>
    <w:rsid w:val="25CB3C39"/>
    <w:rsid w:val="25D23219"/>
    <w:rsid w:val="25DB14CF"/>
    <w:rsid w:val="25DC7BF4"/>
    <w:rsid w:val="25DE1BBE"/>
    <w:rsid w:val="25DF1492"/>
    <w:rsid w:val="25DF76E4"/>
    <w:rsid w:val="25E364C4"/>
    <w:rsid w:val="25E371D4"/>
    <w:rsid w:val="25E44CFA"/>
    <w:rsid w:val="25F47F48"/>
    <w:rsid w:val="25F960F3"/>
    <w:rsid w:val="25FA2800"/>
    <w:rsid w:val="25FC2044"/>
    <w:rsid w:val="25FC3DF2"/>
    <w:rsid w:val="260158AC"/>
    <w:rsid w:val="2601765A"/>
    <w:rsid w:val="26031625"/>
    <w:rsid w:val="26051C44"/>
    <w:rsid w:val="260929B3"/>
    <w:rsid w:val="260F160F"/>
    <w:rsid w:val="26153106"/>
    <w:rsid w:val="26181471"/>
    <w:rsid w:val="261825DA"/>
    <w:rsid w:val="261B7E53"/>
    <w:rsid w:val="261C4494"/>
    <w:rsid w:val="261F20D3"/>
    <w:rsid w:val="2622319C"/>
    <w:rsid w:val="262275D1"/>
    <w:rsid w:val="26284BE7"/>
    <w:rsid w:val="2629095F"/>
    <w:rsid w:val="262E5F76"/>
    <w:rsid w:val="26301CEE"/>
    <w:rsid w:val="26357304"/>
    <w:rsid w:val="26395046"/>
    <w:rsid w:val="263A2B6C"/>
    <w:rsid w:val="26435EC5"/>
    <w:rsid w:val="264439EB"/>
    <w:rsid w:val="26451C3D"/>
    <w:rsid w:val="26461511"/>
    <w:rsid w:val="26473E9B"/>
    <w:rsid w:val="26487037"/>
    <w:rsid w:val="26492DAF"/>
    <w:rsid w:val="264D6D44"/>
    <w:rsid w:val="264E03C6"/>
    <w:rsid w:val="265D6D62"/>
    <w:rsid w:val="265F1573"/>
    <w:rsid w:val="26624445"/>
    <w:rsid w:val="266471E8"/>
    <w:rsid w:val="266A3452"/>
    <w:rsid w:val="267442D0"/>
    <w:rsid w:val="26773DC1"/>
    <w:rsid w:val="26793695"/>
    <w:rsid w:val="267C3185"/>
    <w:rsid w:val="268362C1"/>
    <w:rsid w:val="268825FE"/>
    <w:rsid w:val="268A58A2"/>
    <w:rsid w:val="268A7650"/>
    <w:rsid w:val="268E39D0"/>
    <w:rsid w:val="268F110A"/>
    <w:rsid w:val="268F2EB8"/>
    <w:rsid w:val="26995AE5"/>
    <w:rsid w:val="269B7AAF"/>
    <w:rsid w:val="26A050C5"/>
    <w:rsid w:val="26A56238"/>
    <w:rsid w:val="26A821CC"/>
    <w:rsid w:val="26AA1AA0"/>
    <w:rsid w:val="26AC0ACC"/>
    <w:rsid w:val="26B24DF9"/>
    <w:rsid w:val="26B4291F"/>
    <w:rsid w:val="26BB7D0D"/>
    <w:rsid w:val="26BD472B"/>
    <w:rsid w:val="26C1431F"/>
    <w:rsid w:val="26C37006"/>
    <w:rsid w:val="26C50688"/>
    <w:rsid w:val="26C56027"/>
    <w:rsid w:val="26C81B3E"/>
    <w:rsid w:val="26CF5C93"/>
    <w:rsid w:val="26D1527F"/>
    <w:rsid w:val="26D20FF7"/>
    <w:rsid w:val="26D23E6B"/>
    <w:rsid w:val="26DC3C24"/>
    <w:rsid w:val="26E63E5F"/>
    <w:rsid w:val="26EB1EFE"/>
    <w:rsid w:val="26EF3957"/>
    <w:rsid w:val="26F45411"/>
    <w:rsid w:val="26F96584"/>
    <w:rsid w:val="26FD0CCF"/>
    <w:rsid w:val="26FE2633"/>
    <w:rsid w:val="2705317A"/>
    <w:rsid w:val="27084A19"/>
    <w:rsid w:val="270F3FF9"/>
    <w:rsid w:val="271B0BF0"/>
    <w:rsid w:val="27257379"/>
    <w:rsid w:val="27291C14"/>
    <w:rsid w:val="272B7390"/>
    <w:rsid w:val="272F01F7"/>
    <w:rsid w:val="272F1FA5"/>
    <w:rsid w:val="27343A60"/>
    <w:rsid w:val="2734580E"/>
    <w:rsid w:val="27384086"/>
    <w:rsid w:val="27391076"/>
    <w:rsid w:val="273D0B66"/>
    <w:rsid w:val="273F48DE"/>
    <w:rsid w:val="274719E5"/>
    <w:rsid w:val="274A3283"/>
    <w:rsid w:val="274E2D73"/>
    <w:rsid w:val="274F2647"/>
    <w:rsid w:val="27532158"/>
    <w:rsid w:val="27565784"/>
    <w:rsid w:val="27585733"/>
    <w:rsid w:val="275A389E"/>
    <w:rsid w:val="275F3B86"/>
    <w:rsid w:val="276500BD"/>
    <w:rsid w:val="27651E6B"/>
    <w:rsid w:val="27653C19"/>
    <w:rsid w:val="276E0D20"/>
    <w:rsid w:val="276E367F"/>
    <w:rsid w:val="277C0BD1"/>
    <w:rsid w:val="277D5407"/>
    <w:rsid w:val="277E60F8"/>
    <w:rsid w:val="277F6452"/>
    <w:rsid w:val="278247CB"/>
    <w:rsid w:val="27826579"/>
    <w:rsid w:val="27836D3D"/>
    <w:rsid w:val="278A18D2"/>
    <w:rsid w:val="278E41B3"/>
    <w:rsid w:val="27910EB2"/>
    <w:rsid w:val="2791205B"/>
    <w:rsid w:val="27921558"/>
    <w:rsid w:val="27960276"/>
    <w:rsid w:val="27A02EA3"/>
    <w:rsid w:val="27A06D9C"/>
    <w:rsid w:val="27A40BE5"/>
    <w:rsid w:val="27A440AE"/>
    <w:rsid w:val="27AC1848"/>
    <w:rsid w:val="27AC47CB"/>
    <w:rsid w:val="27B0416A"/>
    <w:rsid w:val="27B05B5F"/>
    <w:rsid w:val="27BC2C3B"/>
    <w:rsid w:val="27BD1CA7"/>
    <w:rsid w:val="27BF40EE"/>
    <w:rsid w:val="27C13C7E"/>
    <w:rsid w:val="27C46B92"/>
    <w:rsid w:val="27C546B8"/>
    <w:rsid w:val="27C6290A"/>
    <w:rsid w:val="27C72DD7"/>
    <w:rsid w:val="27C923FA"/>
    <w:rsid w:val="27CB493C"/>
    <w:rsid w:val="27DA4607"/>
    <w:rsid w:val="27DA4FB9"/>
    <w:rsid w:val="27E014F2"/>
    <w:rsid w:val="27EE3C0E"/>
    <w:rsid w:val="27FA25B3"/>
    <w:rsid w:val="2800405D"/>
    <w:rsid w:val="28013942"/>
    <w:rsid w:val="28033B5E"/>
    <w:rsid w:val="280B656E"/>
    <w:rsid w:val="280C22E7"/>
    <w:rsid w:val="280D6DBC"/>
    <w:rsid w:val="280E605F"/>
    <w:rsid w:val="28196722"/>
    <w:rsid w:val="281F201A"/>
    <w:rsid w:val="28277120"/>
    <w:rsid w:val="2829733C"/>
    <w:rsid w:val="282B09BF"/>
    <w:rsid w:val="282E038C"/>
    <w:rsid w:val="282E7D8D"/>
    <w:rsid w:val="283852AB"/>
    <w:rsid w:val="283D2292"/>
    <w:rsid w:val="284163F8"/>
    <w:rsid w:val="284303FE"/>
    <w:rsid w:val="284D302B"/>
    <w:rsid w:val="284D7976"/>
    <w:rsid w:val="284F6DA3"/>
    <w:rsid w:val="28551EE0"/>
    <w:rsid w:val="28565E8D"/>
    <w:rsid w:val="28577A06"/>
    <w:rsid w:val="285D2B42"/>
    <w:rsid w:val="28612632"/>
    <w:rsid w:val="286766E4"/>
    <w:rsid w:val="286E581F"/>
    <w:rsid w:val="287A36F4"/>
    <w:rsid w:val="287F0D0A"/>
    <w:rsid w:val="28812CD5"/>
    <w:rsid w:val="2881511B"/>
    <w:rsid w:val="2886653D"/>
    <w:rsid w:val="2893739E"/>
    <w:rsid w:val="289A78F2"/>
    <w:rsid w:val="28A075FF"/>
    <w:rsid w:val="28A16ED3"/>
    <w:rsid w:val="28A32C4B"/>
    <w:rsid w:val="28A6273B"/>
    <w:rsid w:val="28A94618"/>
    <w:rsid w:val="28B430AA"/>
    <w:rsid w:val="28B60BD0"/>
    <w:rsid w:val="28C130D1"/>
    <w:rsid w:val="28CC03F4"/>
    <w:rsid w:val="28CD5F1A"/>
    <w:rsid w:val="28CE372B"/>
    <w:rsid w:val="28CF1C92"/>
    <w:rsid w:val="28D41056"/>
    <w:rsid w:val="28D63020"/>
    <w:rsid w:val="28D92B11"/>
    <w:rsid w:val="28DC7F0B"/>
    <w:rsid w:val="28E30F46"/>
    <w:rsid w:val="28E60D8A"/>
    <w:rsid w:val="28E82D54"/>
    <w:rsid w:val="28EE2ACB"/>
    <w:rsid w:val="28F45255"/>
    <w:rsid w:val="28FB65E3"/>
    <w:rsid w:val="29086F52"/>
    <w:rsid w:val="290A0F1C"/>
    <w:rsid w:val="290F208E"/>
    <w:rsid w:val="290F53E0"/>
    <w:rsid w:val="29121B7F"/>
    <w:rsid w:val="29127DD1"/>
    <w:rsid w:val="291369FA"/>
    <w:rsid w:val="29192DC0"/>
    <w:rsid w:val="291A72BF"/>
    <w:rsid w:val="291B16F9"/>
    <w:rsid w:val="291B6C85"/>
    <w:rsid w:val="291D29FD"/>
    <w:rsid w:val="291E496A"/>
    <w:rsid w:val="291E49C7"/>
    <w:rsid w:val="29226266"/>
    <w:rsid w:val="292A336C"/>
    <w:rsid w:val="292D267C"/>
    <w:rsid w:val="29336DAB"/>
    <w:rsid w:val="293826F4"/>
    <w:rsid w:val="293C4DB3"/>
    <w:rsid w:val="293D4E4D"/>
    <w:rsid w:val="29422464"/>
    <w:rsid w:val="294361DC"/>
    <w:rsid w:val="294F4B81"/>
    <w:rsid w:val="29511E01"/>
    <w:rsid w:val="295310F3"/>
    <w:rsid w:val="29591D17"/>
    <w:rsid w:val="295977AD"/>
    <w:rsid w:val="295B3526"/>
    <w:rsid w:val="295D104C"/>
    <w:rsid w:val="295F4E1C"/>
    <w:rsid w:val="29653455"/>
    <w:rsid w:val="296543A4"/>
    <w:rsid w:val="29665F83"/>
    <w:rsid w:val="2967011C"/>
    <w:rsid w:val="29673C78"/>
    <w:rsid w:val="296C5733"/>
    <w:rsid w:val="296D02DD"/>
    <w:rsid w:val="296D3C10"/>
    <w:rsid w:val="296D78BD"/>
    <w:rsid w:val="29736AC1"/>
    <w:rsid w:val="29746395"/>
    <w:rsid w:val="29787C34"/>
    <w:rsid w:val="29787C43"/>
    <w:rsid w:val="298011DE"/>
    <w:rsid w:val="298E7457"/>
    <w:rsid w:val="29915199"/>
    <w:rsid w:val="299627B0"/>
    <w:rsid w:val="299802D6"/>
    <w:rsid w:val="299B6018"/>
    <w:rsid w:val="299F4469"/>
    <w:rsid w:val="29A8408B"/>
    <w:rsid w:val="29BA760A"/>
    <w:rsid w:val="29C54E43"/>
    <w:rsid w:val="29CA4207"/>
    <w:rsid w:val="29CB6407"/>
    <w:rsid w:val="29D200F7"/>
    <w:rsid w:val="29D357B2"/>
    <w:rsid w:val="29D37560"/>
    <w:rsid w:val="29DA08EE"/>
    <w:rsid w:val="29E654E5"/>
    <w:rsid w:val="29EC23D0"/>
    <w:rsid w:val="29F51284"/>
    <w:rsid w:val="29F731DA"/>
    <w:rsid w:val="29FD638B"/>
    <w:rsid w:val="2A04596B"/>
    <w:rsid w:val="2A0936FF"/>
    <w:rsid w:val="2A0B4F4C"/>
    <w:rsid w:val="2A0B6B04"/>
    <w:rsid w:val="2A0C4820"/>
    <w:rsid w:val="2A1738F0"/>
    <w:rsid w:val="2A181417"/>
    <w:rsid w:val="2A196977"/>
    <w:rsid w:val="2A1C76AC"/>
    <w:rsid w:val="2A202079"/>
    <w:rsid w:val="2A204F8D"/>
    <w:rsid w:val="2A2B114A"/>
    <w:rsid w:val="2A331DAD"/>
    <w:rsid w:val="2A353D77"/>
    <w:rsid w:val="2A391AB9"/>
    <w:rsid w:val="2A3E70CF"/>
    <w:rsid w:val="2A41271B"/>
    <w:rsid w:val="2A44220C"/>
    <w:rsid w:val="2A454BC0"/>
    <w:rsid w:val="2A524929"/>
    <w:rsid w:val="2A555A6C"/>
    <w:rsid w:val="2A5E151F"/>
    <w:rsid w:val="2A612DBE"/>
    <w:rsid w:val="2A622692"/>
    <w:rsid w:val="2A6329AE"/>
    <w:rsid w:val="2A691C72"/>
    <w:rsid w:val="2A6E0ADA"/>
    <w:rsid w:val="2A707A61"/>
    <w:rsid w:val="2A757CA7"/>
    <w:rsid w:val="2A7D127A"/>
    <w:rsid w:val="2A8B3997"/>
    <w:rsid w:val="2A8F65AE"/>
    <w:rsid w:val="2A8F7BAB"/>
    <w:rsid w:val="2A9211C9"/>
    <w:rsid w:val="2A924D25"/>
    <w:rsid w:val="2A97058D"/>
    <w:rsid w:val="2A9739BC"/>
    <w:rsid w:val="2A994305"/>
    <w:rsid w:val="2A9A4101"/>
    <w:rsid w:val="2AAD0BB7"/>
    <w:rsid w:val="2AB27175"/>
    <w:rsid w:val="2AB70C30"/>
    <w:rsid w:val="2ABA427C"/>
    <w:rsid w:val="2ABD4243"/>
    <w:rsid w:val="2AC35EDE"/>
    <w:rsid w:val="2AC5334C"/>
    <w:rsid w:val="2AC84BEB"/>
    <w:rsid w:val="2AC967C3"/>
    <w:rsid w:val="2AD25A69"/>
    <w:rsid w:val="2AD27817"/>
    <w:rsid w:val="2AD43590"/>
    <w:rsid w:val="2AD74E2E"/>
    <w:rsid w:val="2ADC2444"/>
    <w:rsid w:val="2AE35581"/>
    <w:rsid w:val="2AEF03C9"/>
    <w:rsid w:val="2AEF0632"/>
    <w:rsid w:val="2AF217E0"/>
    <w:rsid w:val="2AFD097C"/>
    <w:rsid w:val="2B073515"/>
    <w:rsid w:val="2B073965"/>
    <w:rsid w:val="2B0C3752"/>
    <w:rsid w:val="2B141BDE"/>
    <w:rsid w:val="2B18339A"/>
    <w:rsid w:val="2B200583"/>
    <w:rsid w:val="2B2C33CC"/>
    <w:rsid w:val="2B2D4A4E"/>
    <w:rsid w:val="2B365FF8"/>
    <w:rsid w:val="2B373B1E"/>
    <w:rsid w:val="2B3900CC"/>
    <w:rsid w:val="2B404781"/>
    <w:rsid w:val="2B4125A7"/>
    <w:rsid w:val="2B413A08"/>
    <w:rsid w:val="2B473D61"/>
    <w:rsid w:val="2B4A583C"/>
    <w:rsid w:val="2B4F24F4"/>
    <w:rsid w:val="2B4F2C16"/>
    <w:rsid w:val="2B51016E"/>
    <w:rsid w:val="2B5605C8"/>
    <w:rsid w:val="2B577D1D"/>
    <w:rsid w:val="2B5B15BB"/>
    <w:rsid w:val="2B5B780D"/>
    <w:rsid w:val="2B5E10AB"/>
    <w:rsid w:val="2B5F1934"/>
    <w:rsid w:val="2B662AB1"/>
    <w:rsid w:val="2B683CD8"/>
    <w:rsid w:val="2B6978BA"/>
    <w:rsid w:val="2B6C1A1A"/>
    <w:rsid w:val="2B6F5066"/>
    <w:rsid w:val="2B6F540B"/>
    <w:rsid w:val="2B710DDE"/>
    <w:rsid w:val="2B74267D"/>
    <w:rsid w:val="2B746B21"/>
    <w:rsid w:val="2B764BC1"/>
    <w:rsid w:val="2B791F31"/>
    <w:rsid w:val="2B7B7EAF"/>
    <w:rsid w:val="2B7C7B3D"/>
    <w:rsid w:val="2B8C3E6A"/>
    <w:rsid w:val="2B8D373E"/>
    <w:rsid w:val="2B8E1990"/>
    <w:rsid w:val="2B960845"/>
    <w:rsid w:val="2B966A97"/>
    <w:rsid w:val="2B9722F6"/>
    <w:rsid w:val="2BAA2542"/>
    <w:rsid w:val="2BB1567F"/>
    <w:rsid w:val="2BB36E3A"/>
    <w:rsid w:val="2BB46F1D"/>
    <w:rsid w:val="2BBA09D7"/>
    <w:rsid w:val="2BC43604"/>
    <w:rsid w:val="2BD870AF"/>
    <w:rsid w:val="2BDB6BA0"/>
    <w:rsid w:val="2BDD0504"/>
    <w:rsid w:val="2BDD6474"/>
    <w:rsid w:val="2BE07D12"/>
    <w:rsid w:val="2BE75544"/>
    <w:rsid w:val="2BEC2B5B"/>
    <w:rsid w:val="2BF10171"/>
    <w:rsid w:val="2BF51A0F"/>
    <w:rsid w:val="2BFF288E"/>
    <w:rsid w:val="2C025EDA"/>
    <w:rsid w:val="2C0A4D8F"/>
    <w:rsid w:val="2C136339"/>
    <w:rsid w:val="2C155C0E"/>
    <w:rsid w:val="2C1A4B3A"/>
    <w:rsid w:val="2C1D4AC2"/>
    <w:rsid w:val="2C230712"/>
    <w:rsid w:val="2C286E71"/>
    <w:rsid w:val="2C29048A"/>
    <w:rsid w:val="2C2C73FB"/>
    <w:rsid w:val="2C2F6B4B"/>
    <w:rsid w:val="2C3075D9"/>
    <w:rsid w:val="2C31448E"/>
    <w:rsid w:val="2C3F0EDD"/>
    <w:rsid w:val="2C423829"/>
    <w:rsid w:val="2C432176"/>
    <w:rsid w:val="2C4330E2"/>
    <w:rsid w:val="2C484235"/>
    <w:rsid w:val="2C4E2B62"/>
    <w:rsid w:val="2C575896"/>
    <w:rsid w:val="2C5863D0"/>
    <w:rsid w:val="2C5D1363"/>
    <w:rsid w:val="2C602C01"/>
    <w:rsid w:val="2C6170A5"/>
    <w:rsid w:val="2C644EC7"/>
    <w:rsid w:val="2C6B3A80"/>
    <w:rsid w:val="2C725C4B"/>
    <w:rsid w:val="2C730B86"/>
    <w:rsid w:val="2C7768C8"/>
    <w:rsid w:val="2C7867B7"/>
    <w:rsid w:val="2C7B0A57"/>
    <w:rsid w:val="2C7C7A3B"/>
    <w:rsid w:val="2C83526D"/>
    <w:rsid w:val="2C840FE5"/>
    <w:rsid w:val="2C8608B9"/>
    <w:rsid w:val="2C89312C"/>
    <w:rsid w:val="2C8E7311"/>
    <w:rsid w:val="2C934D84"/>
    <w:rsid w:val="2C950AFD"/>
    <w:rsid w:val="2C974875"/>
    <w:rsid w:val="2C9A25B7"/>
    <w:rsid w:val="2C9A6113"/>
    <w:rsid w:val="2C9C00DD"/>
    <w:rsid w:val="2C9D5C03"/>
    <w:rsid w:val="2C9F35EE"/>
    <w:rsid w:val="2CAC567D"/>
    <w:rsid w:val="2CAD5E46"/>
    <w:rsid w:val="2CB01DDA"/>
    <w:rsid w:val="2CB25B52"/>
    <w:rsid w:val="2CB30362"/>
    <w:rsid w:val="2CB61A5F"/>
    <w:rsid w:val="2CBE33EE"/>
    <w:rsid w:val="2CBF201D"/>
    <w:rsid w:val="2CBF5B79"/>
    <w:rsid w:val="2CCD64E8"/>
    <w:rsid w:val="2CD21D51"/>
    <w:rsid w:val="2CD71115"/>
    <w:rsid w:val="2CE51A84"/>
    <w:rsid w:val="2CE81574"/>
    <w:rsid w:val="2CEF46B1"/>
    <w:rsid w:val="2CF03F85"/>
    <w:rsid w:val="2CF76820"/>
    <w:rsid w:val="2CFC41F4"/>
    <w:rsid w:val="2D0619FA"/>
    <w:rsid w:val="2D063AA5"/>
    <w:rsid w:val="2D1A7254"/>
    <w:rsid w:val="2D1B36F8"/>
    <w:rsid w:val="2D1C2FCC"/>
    <w:rsid w:val="2D1E4F96"/>
    <w:rsid w:val="2D215F24"/>
    <w:rsid w:val="2D216834"/>
    <w:rsid w:val="2D241E80"/>
    <w:rsid w:val="2D266C91"/>
    <w:rsid w:val="2D2D6F87"/>
    <w:rsid w:val="2D371BB4"/>
    <w:rsid w:val="2D3C541C"/>
    <w:rsid w:val="2D477265"/>
    <w:rsid w:val="2D480265"/>
    <w:rsid w:val="2D4A5D8B"/>
    <w:rsid w:val="2D4B6B2F"/>
    <w:rsid w:val="2D4C4AC2"/>
    <w:rsid w:val="2D564730"/>
    <w:rsid w:val="2D597D7C"/>
    <w:rsid w:val="2D630BFB"/>
    <w:rsid w:val="2D684463"/>
    <w:rsid w:val="2D6B7AAF"/>
    <w:rsid w:val="2D6F134E"/>
    <w:rsid w:val="2D776454"/>
    <w:rsid w:val="2D7B5F44"/>
    <w:rsid w:val="2D7E3C87"/>
    <w:rsid w:val="2D811081"/>
    <w:rsid w:val="2D8132AC"/>
    <w:rsid w:val="2D8C0151"/>
    <w:rsid w:val="2D8D7A9E"/>
    <w:rsid w:val="2D940DB4"/>
    <w:rsid w:val="2D983721"/>
    <w:rsid w:val="2D9B2143"/>
    <w:rsid w:val="2D9E1C33"/>
    <w:rsid w:val="2D9E7E85"/>
    <w:rsid w:val="2DA60AE7"/>
    <w:rsid w:val="2DA84860"/>
    <w:rsid w:val="2DAC25A2"/>
    <w:rsid w:val="2DB815CA"/>
    <w:rsid w:val="2DB87198"/>
    <w:rsid w:val="2DB9081B"/>
    <w:rsid w:val="2DBB4593"/>
    <w:rsid w:val="2DC07DFB"/>
    <w:rsid w:val="2DC31699"/>
    <w:rsid w:val="2DC53663"/>
    <w:rsid w:val="2DCE076A"/>
    <w:rsid w:val="2DCE5BE2"/>
    <w:rsid w:val="2DD07F16"/>
    <w:rsid w:val="2DD37B2E"/>
    <w:rsid w:val="2DD75C3B"/>
    <w:rsid w:val="2DDC3596"/>
    <w:rsid w:val="2DE53D06"/>
    <w:rsid w:val="2DEC299E"/>
    <w:rsid w:val="2DEF06E0"/>
    <w:rsid w:val="2DEF624E"/>
    <w:rsid w:val="2DF126AA"/>
    <w:rsid w:val="2DF16206"/>
    <w:rsid w:val="2DF33D2D"/>
    <w:rsid w:val="2DF714A1"/>
    <w:rsid w:val="2E026666"/>
    <w:rsid w:val="2E0F48DF"/>
    <w:rsid w:val="2E1B3283"/>
    <w:rsid w:val="2E1F4301"/>
    <w:rsid w:val="2E20089A"/>
    <w:rsid w:val="2E250712"/>
    <w:rsid w:val="2E262C57"/>
    <w:rsid w:val="2E2760CC"/>
    <w:rsid w:val="2E3D58F0"/>
    <w:rsid w:val="2E422F06"/>
    <w:rsid w:val="2E426A62"/>
    <w:rsid w:val="2E440A2C"/>
    <w:rsid w:val="2E444588"/>
    <w:rsid w:val="2E552C39"/>
    <w:rsid w:val="2E55723E"/>
    <w:rsid w:val="2E580034"/>
    <w:rsid w:val="2E5C5B0D"/>
    <w:rsid w:val="2E5D3CD5"/>
    <w:rsid w:val="2E641A7D"/>
    <w:rsid w:val="2E692241"/>
    <w:rsid w:val="2E7632C6"/>
    <w:rsid w:val="2E7806D6"/>
    <w:rsid w:val="2E786D60"/>
    <w:rsid w:val="2E7A6874"/>
    <w:rsid w:val="2E7D3F3E"/>
    <w:rsid w:val="2E7F7CB6"/>
    <w:rsid w:val="2E8203DE"/>
    <w:rsid w:val="2E8928E3"/>
    <w:rsid w:val="2E94741A"/>
    <w:rsid w:val="2E963F0E"/>
    <w:rsid w:val="2E9774DC"/>
    <w:rsid w:val="2EA45B4E"/>
    <w:rsid w:val="2EA4771D"/>
    <w:rsid w:val="2EB001C3"/>
    <w:rsid w:val="2EB462EC"/>
    <w:rsid w:val="2EB61D24"/>
    <w:rsid w:val="2EB92876"/>
    <w:rsid w:val="2EBC2E1B"/>
    <w:rsid w:val="2EBC4A66"/>
    <w:rsid w:val="2EBE2287"/>
    <w:rsid w:val="2EC15BD9"/>
    <w:rsid w:val="2EC27BA3"/>
    <w:rsid w:val="2EC456C9"/>
    <w:rsid w:val="2EC563D6"/>
    <w:rsid w:val="2ECE479A"/>
    <w:rsid w:val="2ECE564A"/>
    <w:rsid w:val="2ECF2712"/>
    <w:rsid w:val="2ED00512"/>
    <w:rsid w:val="2ED51684"/>
    <w:rsid w:val="2ED7364E"/>
    <w:rsid w:val="2EDC0C65"/>
    <w:rsid w:val="2EDC6EB7"/>
    <w:rsid w:val="2EE10029"/>
    <w:rsid w:val="2EE95130"/>
    <w:rsid w:val="2EEB0EA8"/>
    <w:rsid w:val="2EEF6BEA"/>
    <w:rsid w:val="2EF02962"/>
    <w:rsid w:val="2EF17594"/>
    <w:rsid w:val="2F00243A"/>
    <w:rsid w:val="2F025A79"/>
    <w:rsid w:val="2F0C46EC"/>
    <w:rsid w:val="2F126434"/>
    <w:rsid w:val="2F132180"/>
    <w:rsid w:val="2F146650"/>
    <w:rsid w:val="2F210D6D"/>
    <w:rsid w:val="2F236894"/>
    <w:rsid w:val="2F2919D0"/>
    <w:rsid w:val="2F2A282C"/>
    <w:rsid w:val="2F2D7712"/>
    <w:rsid w:val="2F302D5E"/>
    <w:rsid w:val="2F324D29"/>
    <w:rsid w:val="2F3565C7"/>
    <w:rsid w:val="2F364819"/>
    <w:rsid w:val="2F370591"/>
    <w:rsid w:val="2F3C5BA7"/>
    <w:rsid w:val="2F3E191F"/>
    <w:rsid w:val="2F3F2FA2"/>
    <w:rsid w:val="2F4058E6"/>
    <w:rsid w:val="2F41392E"/>
    <w:rsid w:val="2F414F6C"/>
    <w:rsid w:val="2F464330"/>
    <w:rsid w:val="2F4A2D72"/>
    <w:rsid w:val="2F4D3910"/>
    <w:rsid w:val="2F5051AF"/>
    <w:rsid w:val="2F522CD5"/>
    <w:rsid w:val="2F594063"/>
    <w:rsid w:val="2F5C1DA5"/>
    <w:rsid w:val="2F5C3122"/>
    <w:rsid w:val="2F6C2E99"/>
    <w:rsid w:val="2F7470EF"/>
    <w:rsid w:val="2F827A5E"/>
    <w:rsid w:val="2F912E6A"/>
    <w:rsid w:val="2F923A19"/>
    <w:rsid w:val="2F99570A"/>
    <w:rsid w:val="2FA06136"/>
    <w:rsid w:val="2FA12EAC"/>
    <w:rsid w:val="2FAA48BF"/>
    <w:rsid w:val="2FAB0637"/>
    <w:rsid w:val="2FAC4ADB"/>
    <w:rsid w:val="2FAD0853"/>
    <w:rsid w:val="2FB219C5"/>
    <w:rsid w:val="2FB67708"/>
    <w:rsid w:val="2FBC1D2B"/>
    <w:rsid w:val="2FBC45F2"/>
    <w:rsid w:val="2FC811E9"/>
    <w:rsid w:val="2FC949E6"/>
    <w:rsid w:val="2FCA6D0F"/>
    <w:rsid w:val="2FCB35A6"/>
    <w:rsid w:val="2FCF07C9"/>
    <w:rsid w:val="2FD656B4"/>
    <w:rsid w:val="2FDB53C0"/>
    <w:rsid w:val="2FE53EEE"/>
    <w:rsid w:val="2FF248C3"/>
    <w:rsid w:val="2FF3108F"/>
    <w:rsid w:val="2FF344B8"/>
    <w:rsid w:val="2FF40230"/>
    <w:rsid w:val="2FFE4C0B"/>
    <w:rsid w:val="3002294D"/>
    <w:rsid w:val="300264A9"/>
    <w:rsid w:val="3011493E"/>
    <w:rsid w:val="30131DC2"/>
    <w:rsid w:val="30182170"/>
    <w:rsid w:val="30184A37"/>
    <w:rsid w:val="301D6BAD"/>
    <w:rsid w:val="30204B81"/>
    <w:rsid w:val="30244B9F"/>
    <w:rsid w:val="302F1268"/>
    <w:rsid w:val="302F2517"/>
    <w:rsid w:val="303348B4"/>
    <w:rsid w:val="30337920"/>
    <w:rsid w:val="303453F9"/>
    <w:rsid w:val="303F76FD"/>
    <w:rsid w:val="30420F9B"/>
    <w:rsid w:val="305111DE"/>
    <w:rsid w:val="305D273A"/>
    <w:rsid w:val="305D4027"/>
    <w:rsid w:val="305D7B83"/>
    <w:rsid w:val="30601421"/>
    <w:rsid w:val="306058C5"/>
    <w:rsid w:val="306C1990"/>
    <w:rsid w:val="307153DD"/>
    <w:rsid w:val="307D1FD3"/>
    <w:rsid w:val="30801FAB"/>
    <w:rsid w:val="30830B7D"/>
    <w:rsid w:val="3086483E"/>
    <w:rsid w:val="30872E52"/>
    <w:rsid w:val="30874C00"/>
    <w:rsid w:val="308855D1"/>
    <w:rsid w:val="308B2942"/>
    <w:rsid w:val="308B46F0"/>
    <w:rsid w:val="308F7DEE"/>
    <w:rsid w:val="309612E7"/>
    <w:rsid w:val="309A2B85"/>
    <w:rsid w:val="309D4424"/>
    <w:rsid w:val="30A80D53"/>
    <w:rsid w:val="30A9101A"/>
    <w:rsid w:val="30A9726C"/>
    <w:rsid w:val="30AD0B0B"/>
    <w:rsid w:val="30B359F5"/>
    <w:rsid w:val="30B67293"/>
    <w:rsid w:val="30B80A53"/>
    <w:rsid w:val="30C45E54"/>
    <w:rsid w:val="30C47C02"/>
    <w:rsid w:val="30CF6683"/>
    <w:rsid w:val="30D6155F"/>
    <w:rsid w:val="30E43E01"/>
    <w:rsid w:val="30E67B79"/>
    <w:rsid w:val="30F009F7"/>
    <w:rsid w:val="30F5600E"/>
    <w:rsid w:val="30F73B34"/>
    <w:rsid w:val="30F878AC"/>
    <w:rsid w:val="30FA7AC8"/>
    <w:rsid w:val="30FE32FE"/>
    <w:rsid w:val="3102072B"/>
    <w:rsid w:val="3103697D"/>
    <w:rsid w:val="310B3A83"/>
    <w:rsid w:val="31132938"/>
    <w:rsid w:val="311961A0"/>
    <w:rsid w:val="311D7312"/>
    <w:rsid w:val="31265672"/>
    <w:rsid w:val="312839F7"/>
    <w:rsid w:val="31321010"/>
    <w:rsid w:val="313A7EC4"/>
    <w:rsid w:val="31402441"/>
    <w:rsid w:val="314174A5"/>
    <w:rsid w:val="31440D43"/>
    <w:rsid w:val="31476A7C"/>
    <w:rsid w:val="314A70F7"/>
    <w:rsid w:val="314D19A6"/>
    <w:rsid w:val="31554CFE"/>
    <w:rsid w:val="31576CC8"/>
    <w:rsid w:val="315A40C3"/>
    <w:rsid w:val="31603DCF"/>
    <w:rsid w:val="316B3526"/>
    <w:rsid w:val="316F4012"/>
    <w:rsid w:val="317038E6"/>
    <w:rsid w:val="31745184"/>
    <w:rsid w:val="317E24A7"/>
    <w:rsid w:val="317F1D7B"/>
    <w:rsid w:val="31812575"/>
    <w:rsid w:val="318178A1"/>
    <w:rsid w:val="31834F09"/>
    <w:rsid w:val="31864EB8"/>
    <w:rsid w:val="31886E82"/>
    <w:rsid w:val="318B24CE"/>
    <w:rsid w:val="318C34DD"/>
    <w:rsid w:val="3192358B"/>
    <w:rsid w:val="31927D00"/>
    <w:rsid w:val="319C7200"/>
    <w:rsid w:val="319E0249"/>
    <w:rsid w:val="31A87524"/>
    <w:rsid w:val="31AA329C"/>
    <w:rsid w:val="31AB491E"/>
    <w:rsid w:val="31AD0696"/>
    <w:rsid w:val="31AE76A3"/>
    <w:rsid w:val="31AF440F"/>
    <w:rsid w:val="31B95877"/>
    <w:rsid w:val="31C205E6"/>
    <w:rsid w:val="31C82C7F"/>
    <w:rsid w:val="31CD0D39"/>
    <w:rsid w:val="31D10829"/>
    <w:rsid w:val="31D420C7"/>
    <w:rsid w:val="31D82DA0"/>
    <w:rsid w:val="31EB11BF"/>
    <w:rsid w:val="31F03846"/>
    <w:rsid w:val="31F15893"/>
    <w:rsid w:val="31F2254D"/>
    <w:rsid w:val="31F300EE"/>
    <w:rsid w:val="320329AC"/>
    <w:rsid w:val="3203475A"/>
    <w:rsid w:val="320B677E"/>
    <w:rsid w:val="320D5288"/>
    <w:rsid w:val="320F28B0"/>
    <w:rsid w:val="32130E41"/>
    <w:rsid w:val="32144BB9"/>
    <w:rsid w:val="321A2D0F"/>
    <w:rsid w:val="32230959"/>
    <w:rsid w:val="3223322E"/>
    <w:rsid w:val="32233775"/>
    <w:rsid w:val="322E7A29"/>
    <w:rsid w:val="32340DB8"/>
    <w:rsid w:val="3239017C"/>
    <w:rsid w:val="323B2146"/>
    <w:rsid w:val="324A2ACB"/>
    <w:rsid w:val="32502792"/>
    <w:rsid w:val="325356E2"/>
    <w:rsid w:val="32543208"/>
    <w:rsid w:val="325A6A70"/>
    <w:rsid w:val="325B4596"/>
    <w:rsid w:val="325B5E1C"/>
    <w:rsid w:val="325B6344"/>
    <w:rsid w:val="3260395B"/>
    <w:rsid w:val="3264169D"/>
    <w:rsid w:val="3264344B"/>
    <w:rsid w:val="32653C91"/>
    <w:rsid w:val="32696CB3"/>
    <w:rsid w:val="326B46FA"/>
    <w:rsid w:val="32717916"/>
    <w:rsid w:val="32732014"/>
    <w:rsid w:val="327360D5"/>
    <w:rsid w:val="327B2543"/>
    <w:rsid w:val="327F64D7"/>
    <w:rsid w:val="32805DAB"/>
    <w:rsid w:val="3283636F"/>
    <w:rsid w:val="3284589B"/>
    <w:rsid w:val="3287538B"/>
    <w:rsid w:val="3291620A"/>
    <w:rsid w:val="32917FB8"/>
    <w:rsid w:val="32967772"/>
    <w:rsid w:val="329B0E37"/>
    <w:rsid w:val="329F26D5"/>
    <w:rsid w:val="32AC7161"/>
    <w:rsid w:val="32B37F2E"/>
    <w:rsid w:val="32B53CA7"/>
    <w:rsid w:val="32B67A1F"/>
    <w:rsid w:val="32BC3B2E"/>
    <w:rsid w:val="32C0264B"/>
    <w:rsid w:val="32D0288E"/>
    <w:rsid w:val="32D272F2"/>
    <w:rsid w:val="32D3237F"/>
    <w:rsid w:val="32D54349"/>
    <w:rsid w:val="32D66E37"/>
    <w:rsid w:val="32DC1AA8"/>
    <w:rsid w:val="32DD0992"/>
    <w:rsid w:val="32DD4FAB"/>
    <w:rsid w:val="32DF6F75"/>
    <w:rsid w:val="32E93950"/>
    <w:rsid w:val="32EE0F67"/>
    <w:rsid w:val="32F04CDF"/>
    <w:rsid w:val="32F72511"/>
    <w:rsid w:val="32FF0DF3"/>
    <w:rsid w:val="3301513E"/>
    <w:rsid w:val="33096785"/>
    <w:rsid w:val="330C763F"/>
    <w:rsid w:val="330E785B"/>
    <w:rsid w:val="3317670F"/>
    <w:rsid w:val="33180DAC"/>
    <w:rsid w:val="33182487"/>
    <w:rsid w:val="331B66F2"/>
    <w:rsid w:val="33203425"/>
    <w:rsid w:val="332130EA"/>
    <w:rsid w:val="332300F4"/>
    <w:rsid w:val="33233A9D"/>
    <w:rsid w:val="33264BA4"/>
    <w:rsid w:val="33276F01"/>
    <w:rsid w:val="332B21BB"/>
    <w:rsid w:val="333077D1"/>
    <w:rsid w:val="333C6ED8"/>
    <w:rsid w:val="33541711"/>
    <w:rsid w:val="33557238"/>
    <w:rsid w:val="3358616F"/>
    <w:rsid w:val="33586728"/>
    <w:rsid w:val="335C2374"/>
    <w:rsid w:val="335E60EC"/>
    <w:rsid w:val="3361798A"/>
    <w:rsid w:val="336254B1"/>
    <w:rsid w:val="33633703"/>
    <w:rsid w:val="336449CE"/>
    <w:rsid w:val="336456CD"/>
    <w:rsid w:val="336A2681"/>
    <w:rsid w:val="336B60FB"/>
    <w:rsid w:val="33751688"/>
    <w:rsid w:val="337A7C1E"/>
    <w:rsid w:val="3381627F"/>
    <w:rsid w:val="338E62A6"/>
    <w:rsid w:val="338F274A"/>
    <w:rsid w:val="339147B5"/>
    <w:rsid w:val="33945FB2"/>
    <w:rsid w:val="33963EB7"/>
    <w:rsid w:val="33983272"/>
    <w:rsid w:val="33995376"/>
    <w:rsid w:val="339A10EE"/>
    <w:rsid w:val="339C09C3"/>
    <w:rsid w:val="339C4E66"/>
    <w:rsid w:val="339E473B"/>
    <w:rsid w:val="33A03224"/>
    <w:rsid w:val="33A1247D"/>
    <w:rsid w:val="33B2468A"/>
    <w:rsid w:val="33B64797"/>
    <w:rsid w:val="33B91574"/>
    <w:rsid w:val="33BA52ED"/>
    <w:rsid w:val="33BE336B"/>
    <w:rsid w:val="33C02A0F"/>
    <w:rsid w:val="33C10E62"/>
    <w:rsid w:val="33C30645"/>
    <w:rsid w:val="33C71857"/>
    <w:rsid w:val="33CA19D4"/>
    <w:rsid w:val="33D22636"/>
    <w:rsid w:val="33D60378"/>
    <w:rsid w:val="33E17F12"/>
    <w:rsid w:val="33E842E6"/>
    <w:rsid w:val="33F26834"/>
    <w:rsid w:val="33F407FF"/>
    <w:rsid w:val="33F425AD"/>
    <w:rsid w:val="33FB4C99"/>
    <w:rsid w:val="33FB4D82"/>
    <w:rsid w:val="340518DC"/>
    <w:rsid w:val="340C3D9A"/>
    <w:rsid w:val="340F73E6"/>
    <w:rsid w:val="3411315F"/>
    <w:rsid w:val="341449FD"/>
    <w:rsid w:val="341B5D8B"/>
    <w:rsid w:val="341C0C99"/>
    <w:rsid w:val="341C4358"/>
    <w:rsid w:val="341D5FA7"/>
    <w:rsid w:val="341E587B"/>
    <w:rsid w:val="34232E92"/>
    <w:rsid w:val="34254E5C"/>
    <w:rsid w:val="342B1D46"/>
    <w:rsid w:val="342D5ABF"/>
    <w:rsid w:val="343155AF"/>
    <w:rsid w:val="343432F1"/>
    <w:rsid w:val="34363308"/>
    <w:rsid w:val="343706EB"/>
    <w:rsid w:val="343B591B"/>
    <w:rsid w:val="344572AC"/>
    <w:rsid w:val="345D45F6"/>
    <w:rsid w:val="346E05B1"/>
    <w:rsid w:val="34711E4F"/>
    <w:rsid w:val="347656B7"/>
    <w:rsid w:val="34781430"/>
    <w:rsid w:val="347B2CCE"/>
    <w:rsid w:val="348576A9"/>
    <w:rsid w:val="34897199"/>
    <w:rsid w:val="348A10EC"/>
    <w:rsid w:val="348C4EDB"/>
    <w:rsid w:val="348D6F1C"/>
    <w:rsid w:val="348F0527"/>
    <w:rsid w:val="348F22D5"/>
    <w:rsid w:val="3491187F"/>
    <w:rsid w:val="34930017"/>
    <w:rsid w:val="34951ECC"/>
    <w:rsid w:val="34963664"/>
    <w:rsid w:val="349761A3"/>
    <w:rsid w:val="34980AC4"/>
    <w:rsid w:val="349D0E96"/>
    <w:rsid w:val="349D49F2"/>
    <w:rsid w:val="349E076A"/>
    <w:rsid w:val="34A114F5"/>
    <w:rsid w:val="34A43FD3"/>
    <w:rsid w:val="34A71D15"/>
    <w:rsid w:val="34A845B2"/>
    <w:rsid w:val="34AC10D9"/>
    <w:rsid w:val="34AD3D69"/>
    <w:rsid w:val="34AE3328"/>
    <w:rsid w:val="34B34216"/>
    <w:rsid w:val="34B91EE7"/>
    <w:rsid w:val="34B92969"/>
    <w:rsid w:val="34BE410B"/>
    <w:rsid w:val="34C93A39"/>
    <w:rsid w:val="34CA5108"/>
    <w:rsid w:val="34CC3529"/>
    <w:rsid w:val="34CD3B8D"/>
    <w:rsid w:val="34CF6B76"/>
    <w:rsid w:val="34D523DE"/>
    <w:rsid w:val="34D61600"/>
    <w:rsid w:val="34D66156"/>
    <w:rsid w:val="34D750C6"/>
    <w:rsid w:val="34D80120"/>
    <w:rsid w:val="34DB19BE"/>
    <w:rsid w:val="34DF14AF"/>
    <w:rsid w:val="34E22D4D"/>
    <w:rsid w:val="34E27C35"/>
    <w:rsid w:val="34E46AC5"/>
    <w:rsid w:val="34E70363"/>
    <w:rsid w:val="34FA0097"/>
    <w:rsid w:val="34FA1E45"/>
    <w:rsid w:val="34FA62E8"/>
    <w:rsid w:val="34FF680C"/>
    <w:rsid w:val="35040F15"/>
    <w:rsid w:val="350902DA"/>
    <w:rsid w:val="351A6043"/>
    <w:rsid w:val="351F3659"/>
    <w:rsid w:val="35204D95"/>
    <w:rsid w:val="352B46F4"/>
    <w:rsid w:val="352D221A"/>
    <w:rsid w:val="352D3CED"/>
    <w:rsid w:val="35357321"/>
    <w:rsid w:val="35366BF5"/>
    <w:rsid w:val="3538471B"/>
    <w:rsid w:val="35410481"/>
    <w:rsid w:val="354237EC"/>
    <w:rsid w:val="35431A3E"/>
    <w:rsid w:val="35470E02"/>
    <w:rsid w:val="35487054"/>
    <w:rsid w:val="35531555"/>
    <w:rsid w:val="35563A9D"/>
    <w:rsid w:val="3558300F"/>
    <w:rsid w:val="355E0625"/>
    <w:rsid w:val="35635C3C"/>
    <w:rsid w:val="356419B4"/>
    <w:rsid w:val="35650978"/>
    <w:rsid w:val="35690D78"/>
    <w:rsid w:val="3569521C"/>
    <w:rsid w:val="356D6ABA"/>
    <w:rsid w:val="35700359"/>
    <w:rsid w:val="3574669E"/>
    <w:rsid w:val="357778BD"/>
    <w:rsid w:val="3578720D"/>
    <w:rsid w:val="357A11D7"/>
    <w:rsid w:val="357C0AAC"/>
    <w:rsid w:val="357C7345"/>
    <w:rsid w:val="357F5240"/>
    <w:rsid w:val="357F67EE"/>
    <w:rsid w:val="358160C2"/>
    <w:rsid w:val="358362DE"/>
    <w:rsid w:val="358A766C"/>
    <w:rsid w:val="358D0F0B"/>
    <w:rsid w:val="358E5865"/>
    <w:rsid w:val="3592207D"/>
    <w:rsid w:val="359A5D39"/>
    <w:rsid w:val="359A7184"/>
    <w:rsid w:val="359C2CD9"/>
    <w:rsid w:val="359D0A22"/>
    <w:rsid w:val="359D295D"/>
    <w:rsid w:val="359F08EB"/>
    <w:rsid w:val="35A61FCC"/>
    <w:rsid w:val="35A7094F"/>
    <w:rsid w:val="35A818A1"/>
    <w:rsid w:val="35AD6EB7"/>
    <w:rsid w:val="35B93AAE"/>
    <w:rsid w:val="35C13A7B"/>
    <w:rsid w:val="35C30488"/>
    <w:rsid w:val="35C82100"/>
    <w:rsid w:val="35CA60DF"/>
    <w:rsid w:val="35CF507F"/>
    <w:rsid w:val="35D8035B"/>
    <w:rsid w:val="35D97CAC"/>
    <w:rsid w:val="35DA3A24"/>
    <w:rsid w:val="35DD4AE1"/>
    <w:rsid w:val="35EA1EB9"/>
    <w:rsid w:val="35F363F2"/>
    <w:rsid w:val="35F9334B"/>
    <w:rsid w:val="35FB40C6"/>
    <w:rsid w:val="35FC0EDD"/>
    <w:rsid w:val="35FF2E36"/>
    <w:rsid w:val="36015455"/>
    <w:rsid w:val="36017959"/>
    <w:rsid w:val="360A392E"/>
    <w:rsid w:val="360B1E2F"/>
    <w:rsid w:val="360B30D1"/>
    <w:rsid w:val="360F18B9"/>
    <w:rsid w:val="361B6516"/>
    <w:rsid w:val="36266C69"/>
    <w:rsid w:val="36286E2C"/>
    <w:rsid w:val="362B6A5C"/>
    <w:rsid w:val="362C7822"/>
    <w:rsid w:val="362F1FC2"/>
    <w:rsid w:val="36324D14"/>
    <w:rsid w:val="36343134"/>
    <w:rsid w:val="36392E40"/>
    <w:rsid w:val="363C1548"/>
    <w:rsid w:val="364020BF"/>
    <w:rsid w:val="36483084"/>
    <w:rsid w:val="36484E32"/>
    <w:rsid w:val="364C66D0"/>
    <w:rsid w:val="364C7FFC"/>
    <w:rsid w:val="364F22D7"/>
    <w:rsid w:val="36541A28"/>
    <w:rsid w:val="365437D6"/>
    <w:rsid w:val="365A1ADC"/>
    <w:rsid w:val="365E4655"/>
    <w:rsid w:val="36637EBD"/>
    <w:rsid w:val="36667DB3"/>
    <w:rsid w:val="366E2AEA"/>
    <w:rsid w:val="368C11C2"/>
    <w:rsid w:val="368E7A59"/>
    <w:rsid w:val="36910587"/>
    <w:rsid w:val="369260AD"/>
    <w:rsid w:val="36987753"/>
    <w:rsid w:val="369E04F7"/>
    <w:rsid w:val="369E719B"/>
    <w:rsid w:val="36AC023A"/>
    <w:rsid w:val="36AF6C5F"/>
    <w:rsid w:val="36B129D7"/>
    <w:rsid w:val="36B14785"/>
    <w:rsid w:val="36B94C78"/>
    <w:rsid w:val="36BD137C"/>
    <w:rsid w:val="36BD312A"/>
    <w:rsid w:val="36C142AC"/>
    <w:rsid w:val="36C22E36"/>
    <w:rsid w:val="36C528E1"/>
    <w:rsid w:val="36C66559"/>
    <w:rsid w:val="36C73FA8"/>
    <w:rsid w:val="36D14E27"/>
    <w:rsid w:val="36DD557A"/>
    <w:rsid w:val="36DF6832"/>
    <w:rsid w:val="36E27034"/>
    <w:rsid w:val="36E6514A"/>
    <w:rsid w:val="36EF34FF"/>
    <w:rsid w:val="36F6373C"/>
    <w:rsid w:val="36FD3E6E"/>
    <w:rsid w:val="370C5E5F"/>
    <w:rsid w:val="370E1FEA"/>
    <w:rsid w:val="371116C7"/>
    <w:rsid w:val="37165CDA"/>
    <w:rsid w:val="371A44DE"/>
    <w:rsid w:val="371E516A"/>
    <w:rsid w:val="372413FB"/>
    <w:rsid w:val="372431A9"/>
    <w:rsid w:val="372555C4"/>
    <w:rsid w:val="372633C5"/>
    <w:rsid w:val="37295A2E"/>
    <w:rsid w:val="372C02AF"/>
    <w:rsid w:val="37304231"/>
    <w:rsid w:val="37343C8E"/>
    <w:rsid w:val="373A29CC"/>
    <w:rsid w:val="373C4996"/>
    <w:rsid w:val="373D426B"/>
    <w:rsid w:val="37515F68"/>
    <w:rsid w:val="37531CE0"/>
    <w:rsid w:val="37533A8E"/>
    <w:rsid w:val="3756096A"/>
    <w:rsid w:val="375717D0"/>
    <w:rsid w:val="375722D7"/>
    <w:rsid w:val="3757272A"/>
    <w:rsid w:val="37582C85"/>
    <w:rsid w:val="375A306E"/>
    <w:rsid w:val="375A6BCB"/>
    <w:rsid w:val="375D490D"/>
    <w:rsid w:val="37644D2D"/>
    <w:rsid w:val="37695060"/>
    <w:rsid w:val="376B7F48"/>
    <w:rsid w:val="376C4B50"/>
    <w:rsid w:val="37704A8E"/>
    <w:rsid w:val="37712166"/>
    <w:rsid w:val="3779295A"/>
    <w:rsid w:val="377A101B"/>
    <w:rsid w:val="377C2FE5"/>
    <w:rsid w:val="377E4FAF"/>
    <w:rsid w:val="377F0D27"/>
    <w:rsid w:val="37817239"/>
    <w:rsid w:val="37887BDC"/>
    <w:rsid w:val="378B3228"/>
    <w:rsid w:val="378D51F2"/>
    <w:rsid w:val="37971171"/>
    <w:rsid w:val="37995591"/>
    <w:rsid w:val="37AB38CA"/>
    <w:rsid w:val="37AE6F16"/>
    <w:rsid w:val="37B45D65"/>
    <w:rsid w:val="37B87E49"/>
    <w:rsid w:val="37C46192"/>
    <w:rsid w:val="37C47584"/>
    <w:rsid w:val="37D13DAE"/>
    <w:rsid w:val="37D72911"/>
    <w:rsid w:val="37D83F93"/>
    <w:rsid w:val="37ED7A3F"/>
    <w:rsid w:val="37F05781"/>
    <w:rsid w:val="37F60FE9"/>
    <w:rsid w:val="37FB77DD"/>
    <w:rsid w:val="37FC2378"/>
    <w:rsid w:val="37FE1C4C"/>
    <w:rsid w:val="38001D4F"/>
    <w:rsid w:val="38097EDE"/>
    <w:rsid w:val="380A05F1"/>
    <w:rsid w:val="380A6843"/>
    <w:rsid w:val="38116670"/>
    <w:rsid w:val="381256F7"/>
    <w:rsid w:val="381551E7"/>
    <w:rsid w:val="38184EF1"/>
    <w:rsid w:val="381C6576"/>
    <w:rsid w:val="382216D7"/>
    <w:rsid w:val="38246312"/>
    <w:rsid w:val="38251072"/>
    <w:rsid w:val="38286CC9"/>
    <w:rsid w:val="383E5F98"/>
    <w:rsid w:val="384A0187"/>
    <w:rsid w:val="384D21C8"/>
    <w:rsid w:val="38514471"/>
    <w:rsid w:val="38517682"/>
    <w:rsid w:val="38563836"/>
    <w:rsid w:val="386046B4"/>
    <w:rsid w:val="38637D01"/>
    <w:rsid w:val="38651ADA"/>
    <w:rsid w:val="386B4E07"/>
    <w:rsid w:val="386C3059"/>
    <w:rsid w:val="38710670"/>
    <w:rsid w:val="38797524"/>
    <w:rsid w:val="388145BC"/>
    <w:rsid w:val="388365F5"/>
    <w:rsid w:val="388C36FB"/>
    <w:rsid w:val="388D3375"/>
    <w:rsid w:val="3894435E"/>
    <w:rsid w:val="38975BFC"/>
    <w:rsid w:val="38A722E3"/>
    <w:rsid w:val="38A81BB8"/>
    <w:rsid w:val="38AC5B4C"/>
    <w:rsid w:val="38B14F10"/>
    <w:rsid w:val="38B93DC5"/>
    <w:rsid w:val="38BB1A36"/>
    <w:rsid w:val="38C84008"/>
    <w:rsid w:val="38CD7650"/>
    <w:rsid w:val="38D34E86"/>
    <w:rsid w:val="38D97FC3"/>
    <w:rsid w:val="38E31684"/>
    <w:rsid w:val="38E83CD0"/>
    <w:rsid w:val="38ED7B8D"/>
    <w:rsid w:val="38EF5796"/>
    <w:rsid w:val="38F82310"/>
    <w:rsid w:val="38F86E2C"/>
    <w:rsid w:val="38FF3ECD"/>
    <w:rsid w:val="39071686"/>
    <w:rsid w:val="390908A8"/>
    <w:rsid w:val="390A3C01"/>
    <w:rsid w:val="390D6F7F"/>
    <w:rsid w:val="390E6249"/>
    <w:rsid w:val="3914724D"/>
    <w:rsid w:val="39162FC5"/>
    <w:rsid w:val="39180AEB"/>
    <w:rsid w:val="391F631E"/>
    <w:rsid w:val="39203E44"/>
    <w:rsid w:val="39241B86"/>
    <w:rsid w:val="3926502D"/>
    <w:rsid w:val="392A081F"/>
    <w:rsid w:val="393022D9"/>
    <w:rsid w:val="3934169D"/>
    <w:rsid w:val="39385E8A"/>
    <w:rsid w:val="393C1634"/>
    <w:rsid w:val="393C265E"/>
    <w:rsid w:val="393D49F6"/>
    <w:rsid w:val="393D67A4"/>
    <w:rsid w:val="39446403"/>
    <w:rsid w:val="394F122B"/>
    <w:rsid w:val="39504729"/>
    <w:rsid w:val="39534219"/>
    <w:rsid w:val="3954623F"/>
    <w:rsid w:val="39565AB7"/>
    <w:rsid w:val="395A55A8"/>
    <w:rsid w:val="395B4E7C"/>
    <w:rsid w:val="395C1320"/>
    <w:rsid w:val="395C361A"/>
    <w:rsid w:val="395F496C"/>
    <w:rsid w:val="39616936"/>
    <w:rsid w:val="3962445C"/>
    <w:rsid w:val="3964010B"/>
    <w:rsid w:val="396E2E01"/>
    <w:rsid w:val="396F26D5"/>
    <w:rsid w:val="39777F08"/>
    <w:rsid w:val="397D4DF2"/>
    <w:rsid w:val="398268AC"/>
    <w:rsid w:val="398A630E"/>
    <w:rsid w:val="398E0DAD"/>
    <w:rsid w:val="39A5561C"/>
    <w:rsid w:val="39AD53FB"/>
    <w:rsid w:val="39B34CB8"/>
    <w:rsid w:val="39B453DD"/>
    <w:rsid w:val="39B52A0B"/>
    <w:rsid w:val="39BA1BA2"/>
    <w:rsid w:val="39C1661B"/>
    <w:rsid w:val="39CD3FCC"/>
    <w:rsid w:val="39CD5D7A"/>
    <w:rsid w:val="39D72754"/>
    <w:rsid w:val="39D80A90"/>
    <w:rsid w:val="39DF3CFF"/>
    <w:rsid w:val="39F50E2C"/>
    <w:rsid w:val="39F838A2"/>
    <w:rsid w:val="39F94DC1"/>
    <w:rsid w:val="39FE1DE4"/>
    <w:rsid w:val="39FF7EFD"/>
    <w:rsid w:val="3A00614F"/>
    <w:rsid w:val="3A023E13"/>
    <w:rsid w:val="3A033549"/>
    <w:rsid w:val="3A045513"/>
    <w:rsid w:val="3A0472C2"/>
    <w:rsid w:val="3A190FBF"/>
    <w:rsid w:val="3A1E4827"/>
    <w:rsid w:val="3A1E65D5"/>
    <w:rsid w:val="3A200A3A"/>
    <w:rsid w:val="3A2E20C4"/>
    <w:rsid w:val="3A306308"/>
    <w:rsid w:val="3A361470"/>
    <w:rsid w:val="3A3A2CE3"/>
    <w:rsid w:val="3A4311E6"/>
    <w:rsid w:val="3A445910"/>
    <w:rsid w:val="3A461688"/>
    <w:rsid w:val="3A4B3142"/>
    <w:rsid w:val="3A4D6EBA"/>
    <w:rsid w:val="3A5340DD"/>
    <w:rsid w:val="3A577D39"/>
    <w:rsid w:val="3A59108B"/>
    <w:rsid w:val="3A60140C"/>
    <w:rsid w:val="3A612966"/>
    <w:rsid w:val="3A6164C2"/>
    <w:rsid w:val="3A6366DE"/>
    <w:rsid w:val="3A687850"/>
    <w:rsid w:val="3A695377"/>
    <w:rsid w:val="3A6A2511"/>
    <w:rsid w:val="3A712BA9"/>
    <w:rsid w:val="3A8148F1"/>
    <w:rsid w:val="3A816B64"/>
    <w:rsid w:val="3A8C0A4A"/>
    <w:rsid w:val="3A920D71"/>
    <w:rsid w:val="3A93618F"/>
    <w:rsid w:val="3A955B1C"/>
    <w:rsid w:val="3A96260F"/>
    <w:rsid w:val="3A9656E4"/>
    <w:rsid w:val="3A9C399E"/>
    <w:rsid w:val="3A9E7264"/>
    <w:rsid w:val="3AA765CB"/>
    <w:rsid w:val="3AA82343"/>
    <w:rsid w:val="3AAA7E69"/>
    <w:rsid w:val="3AAD5BAB"/>
    <w:rsid w:val="3AB17449"/>
    <w:rsid w:val="3AB450EE"/>
    <w:rsid w:val="3ABC7B9C"/>
    <w:rsid w:val="3AC53FE9"/>
    <w:rsid w:val="3AC54CA3"/>
    <w:rsid w:val="3ACA050B"/>
    <w:rsid w:val="3ACF5B21"/>
    <w:rsid w:val="3ADC6C51"/>
    <w:rsid w:val="3ADF3C25"/>
    <w:rsid w:val="3ADF5717"/>
    <w:rsid w:val="3AE50EA1"/>
    <w:rsid w:val="3AEA295B"/>
    <w:rsid w:val="3AEA64B7"/>
    <w:rsid w:val="3AEC63AA"/>
    <w:rsid w:val="3AF17846"/>
    <w:rsid w:val="3AF235BE"/>
    <w:rsid w:val="3AF410E4"/>
    <w:rsid w:val="3AF85078"/>
    <w:rsid w:val="3B0276ED"/>
    <w:rsid w:val="3B0641BF"/>
    <w:rsid w:val="3B07350D"/>
    <w:rsid w:val="3B077069"/>
    <w:rsid w:val="3B087CE3"/>
    <w:rsid w:val="3B0E664A"/>
    <w:rsid w:val="3B124C99"/>
    <w:rsid w:val="3B15244D"/>
    <w:rsid w:val="3B183024"/>
    <w:rsid w:val="3B1A10A7"/>
    <w:rsid w:val="3B225C51"/>
    <w:rsid w:val="3B255741"/>
    <w:rsid w:val="3B331C0C"/>
    <w:rsid w:val="3B343BD6"/>
    <w:rsid w:val="3B345984"/>
    <w:rsid w:val="3B3616FD"/>
    <w:rsid w:val="3B365BA1"/>
    <w:rsid w:val="3B3911ED"/>
    <w:rsid w:val="3B3A1B15"/>
    <w:rsid w:val="3B3B4F65"/>
    <w:rsid w:val="3B440C05"/>
    <w:rsid w:val="3B445EBA"/>
    <w:rsid w:val="3B471B5C"/>
    <w:rsid w:val="3B4F2582"/>
    <w:rsid w:val="3B5322AF"/>
    <w:rsid w:val="3B554279"/>
    <w:rsid w:val="3B590718"/>
    <w:rsid w:val="3B602C1D"/>
    <w:rsid w:val="3B620744"/>
    <w:rsid w:val="3B64626A"/>
    <w:rsid w:val="3B6801AB"/>
    <w:rsid w:val="3B6A53DF"/>
    <w:rsid w:val="3B732951"/>
    <w:rsid w:val="3B7641EF"/>
    <w:rsid w:val="3B765F9D"/>
    <w:rsid w:val="3B8033E1"/>
    <w:rsid w:val="3B81506E"/>
    <w:rsid w:val="3B8775E7"/>
    <w:rsid w:val="3B8A37F6"/>
    <w:rsid w:val="3B9052B1"/>
    <w:rsid w:val="3B9231F7"/>
    <w:rsid w:val="3B9528C7"/>
    <w:rsid w:val="3B9C3FD8"/>
    <w:rsid w:val="3BAF539E"/>
    <w:rsid w:val="3BB17E26"/>
    <w:rsid w:val="3BB70A8F"/>
    <w:rsid w:val="3BB963C4"/>
    <w:rsid w:val="3BBA232E"/>
    <w:rsid w:val="3BBB7E54"/>
    <w:rsid w:val="3BBF16F2"/>
    <w:rsid w:val="3BC073E4"/>
    <w:rsid w:val="3BC1546A"/>
    <w:rsid w:val="3BC47F82"/>
    <w:rsid w:val="3BC96A15"/>
    <w:rsid w:val="3BCB62E9"/>
    <w:rsid w:val="3BCE5DD9"/>
    <w:rsid w:val="3BD333EF"/>
    <w:rsid w:val="3BD827B4"/>
    <w:rsid w:val="3BDB4669"/>
    <w:rsid w:val="3BE70C49"/>
    <w:rsid w:val="3BF423D8"/>
    <w:rsid w:val="3BF45FB4"/>
    <w:rsid w:val="3BF66DD4"/>
    <w:rsid w:val="3BF910A8"/>
    <w:rsid w:val="3C0417FB"/>
    <w:rsid w:val="3C055B26"/>
    <w:rsid w:val="3C0637C5"/>
    <w:rsid w:val="3C074E47"/>
    <w:rsid w:val="3C090BBF"/>
    <w:rsid w:val="3C0F5501"/>
    <w:rsid w:val="3C1063F2"/>
    <w:rsid w:val="3C1D466B"/>
    <w:rsid w:val="3C1E3FFF"/>
    <w:rsid w:val="3C233F85"/>
    <w:rsid w:val="3C270B87"/>
    <w:rsid w:val="3C294385"/>
    <w:rsid w:val="3C3025F0"/>
    <w:rsid w:val="3C3178A8"/>
    <w:rsid w:val="3C3C2D43"/>
    <w:rsid w:val="3C406CD7"/>
    <w:rsid w:val="3C430575"/>
    <w:rsid w:val="3C4A1903"/>
    <w:rsid w:val="3C4B11D8"/>
    <w:rsid w:val="3C4B567C"/>
    <w:rsid w:val="3C522566"/>
    <w:rsid w:val="3C577B7C"/>
    <w:rsid w:val="3C6D73A0"/>
    <w:rsid w:val="3C6E4EC6"/>
    <w:rsid w:val="3C6F136A"/>
    <w:rsid w:val="3C700C3E"/>
    <w:rsid w:val="3C7249B6"/>
    <w:rsid w:val="3C74072E"/>
    <w:rsid w:val="3C8C573F"/>
    <w:rsid w:val="3C8D17F0"/>
    <w:rsid w:val="3C925059"/>
    <w:rsid w:val="3C926E07"/>
    <w:rsid w:val="3C940DD1"/>
    <w:rsid w:val="3C942B7F"/>
    <w:rsid w:val="3C9B2D3F"/>
    <w:rsid w:val="3C9E57AB"/>
    <w:rsid w:val="3CA1704A"/>
    <w:rsid w:val="3CAA05F4"/>
    <w:rsid w:val="3CAB1C76"/>
    <w:rsid w:val="3CAD3C40"/>
    <w:rsid w:val="3CB3794A"/>
    <w:rsid w:val="3CB43221"/>
    <w:rsid w:val="3CB44FCF"/>
    <w:rsid w:val="3CBA07BD"/>
    <w:rsid w:val="3CBC1920"/>
    <w:rsid w:val="3CBE19AA"/>
    <w:rsid w:val="3CBF00C1"/>
    <w:rsid w:val="3CC05722"/>
    <w:rsid w:val="3CC25EAD"/>
    <w:rsid w:val="3CD14346"/>
    <w:rsid w:val="3CD37937"/>
    <w:rsid w:val="3CDE28E0"/>
    <w:rsid w:val="3CE82ECA"/>
    <w:rsid w:val="3CF41773"/>
    <w:rsid w:val="3CF61143"/>
    <w:rsid w:val="3CFE449C"/>
    <w:rsid w:val="3D0218AD"/>
    <w:rsid w:val="3D0A2E41"/>
    <w:rsid w:val="3D0A4BEF"/>
    <w:rsid w:val="3D0F66A9"/>
    <w:rsid w:val="3D121CF5"/>
    <w:rsid w:val="3D145A6E"/>
    <w:rsid w:val="3D150BFD"/>
    <w:rsid w:val="3D1B504E"/>
    <w:rsid w:val="3D1F1F85"/>
    <w:rsid w:val="3D235CB1"/>
    <w:rsid w:val="3D251A29"/>
    <w:rsid w:val="3D2757A1"/>
    <w:rsid w:val="3D2A5291"/>
    <w:rsid w:val="3D2E4D81"/>
    <w:rsid w:val="3D2F4655"/>
    <w:rsid w:val="3D31661F"/>
    <w:rsid w:val="3D317896"/>
    <w:rsid w:val="3D324146"/>
    <w:rsid w:val="3D385DCB"/>
    <w:rsid w:val="3D3879AE"/>
    <w:rsid w:val="3D4661FC"/>
    <w:rsid w:val="3D477BF1"/>
    <w:rsid w:val="3D4F6AA6"/>
    <w:rsid w:val="3D516CC2"/>
    <w:rsid w:val="3D566086"/>
    <w:rsid w:val="3D572A5B"/>
    <w:rsid w:val="3D595B76"/>
    <w:rsid w:val="3D5A3DC8"/>
    <w:rsid w:val="3D610E5E"/>
    <w:rsid w:val="3D676AF8"/>
    <w:rsid w:val="3D695DB9"/>
    <w:rsid w:val="3D6E1446"/>
    <w:rsid w:val="3D6E1622"/>
    <w:rsid w:val="3D7604D6"/>
    <w:rsid w:val="3D7F55DD"/>
    <w:rsid w:val="3D842BF3"/>
    <w:rsid w:val="3D871138"/>
    <w:rsid w:val="3D8B21D4"/>
    <w:rsid w:val="3D8E16F8"/>
    <w:rsid w:val="3D8F1598"/>
    <w:rsid w:val="3D913562"/>
    <w:rsid w:val="3D921364"/>
    <w:rsid w:val="3D934BE4"/>
    <w:rsid w:val="3D940218"/>
    <w:rsid w:val="3D94095C"/>
    <w:rsid w:val="3D954E00"/>
    <w:rsid w:val="3D9D5A63"/>
    <w:rsid w:val="3DA1393C"/>
    <w:rsid w:val="3DA908AC"/>
    <w:rsid w:val="3DA93929"/>
    <w:rsid w:val="3DAC5CA6"/>
    <w:rsid w:val="3DAE7C70"/>
    <w:rsid w:val="3DB17760"/>
    <w:rsid w:val="3DB43B5D"/>
    <w:rsid w:val="3DB62D0F"/>
    <w:rsid w:val="3DB66B25"/>
    <w:rsid w:val="3DB72FC9"/>
    <w:rsid w:val="3DB833E8"/>
    <w:rsid w:val="3DBD6105"/>
    <w:rsid w:val="3DC513DA"/>
    <w:rsid w:val="3DC54FBA"/>
    <w:rsid w:val="3DC76F84"/>
    <w:rsid w:val="3DCB002B"/>
    <w:rsid w:val="3DCE0312"/>
    <w:rsid w:val="3DD27E02"/>
    <w:rsid w:val="3DD82F3F"/>
    <w:rsid w:val="3DDD3277"/>
    <w:rsid w:val="3DDF42CD"/>
    <w:rsid w:val="3DE03BA2"/>
    <w:rsid w:val="3DEA1923"/>
    <w:rsid w:val="3DEF482D"/>
    <w:rsid w:val="3DF134AE"/>
    <w:rsid w:val="3DF23649"/>
    <w:rsid w:val="3DF338D5"/>
    <w:rsid w:val="3DF53AF1"/>
    <w:rsid w:val="3DF5589F"/>
    <w:rsid w:val="3DFC435A"/>
    <w:rsid w:val="3E067AAC"/>
    <w:rsid w:val="3E077380"/>
    <w:rsid w:val="3E0B50C2"/>
    <w:rsid w:val="3E0B6E71"/>
    <w:rsid w:val="3E10681A"/>
    <w:rsid w:val="3E147414"/>
    <w:rsid w:val="3E1513CE"/>
    <w:rsid w:val="3E172DC5"/>
    <w:rsid w:val="3E1A5226"/>
    <w:rsid w:val="3E1C2E2C"/>
    <w:rsid w:val="3E1D4DF6"/>
    <w:rsid w:val="3E21403E"/>
    <w:rsid w:val="3E2E7003"/>
    <w:rsid w:val="3E3363C7"/>
    <w:rsid w:val="3E353902"/>
    <w:rsid w:val="3E391C30"/>
    <w:rsid w:val="3E3E1A84"/>
    <w:rsid w:val="3E42660A"/>
    <w:rsid w:val="3E432AAE"/>
    <w:rsid w:val="3E491747"/>
    <w:rsid w:val="3E5527E2"/>
    <w:rsid w:val="3E554590"/>
    <w:rsid w:val="3E5C591E"/>
    <w:rsid w:val="3E5C76CC"/>
    <w:rsid w:val="3E5E04B0"/>
    <w:rsid w:val="3E5E3444"/>
    <w:rsid w:val="3E6141C5"/>
    <w:rsid w:val="3E66679D"/>
    <w:rsid w:val="3E6E11AD"/>
    <w:rsid w:val="3E742C68"/>
    <w:rsid w:val="3E7569E0"/>
    <w:rsid w:val="3E817133"/>
    <w:rsid w:val="3E8804C1"/>
    <w:rsid w:val="3E886713"/>
    <w:rsid w:val="3E8E35FE"/>
    <w:rsid w:val="3E8F1850"/>
    <w:rsid w:val="3E8F7AA2"/>
    <w:rsid w:val="3E90381A"/>
    <w:rsid w:val="3E94330A"/>
    <w:rsid w:val="3E952BDE"/>
    <w:rsid w:val="3E9A1FA2"/>
    <w:rsid w:val="3E9B4698"/>
    <w:rsid w:val="3E9C3F6D"/>
    <w:rsid w:val="3E9C6B71"/>
    <w:rsid w:val="3EA90437"/>
    <w:rsid w:val="3EAB41B0"/>
    <w:rsid w:val="3EAD7F28"/>
    <w:rsid w:val="3EAF565D"/>
    <w:rsid w:val="3EB23790"/>
    <w:rsid w:val="3EB43064"/>
    <w:rsid w:val="3EBE2135"/>
    <w:rsid w:val="3EC15757"/>
    <w:rsid w:val="3EC3599D"/>
    <w:rsid w:val="3EC51715"/>
    <w:rsid w:val="3EC55271"/>
    <w:rsid w:val="3EC60FE9"/>
    <w:rsid w:val="3ECF4342"/>
    <w:rsid w:val="3ED03C16"/>
    <w:rsid w:val="3ED1739E"/>
    <w:rsid w:val="3ED656D0"/>
    <w:rsid w:val="3ED731F7"/>
    <w:rsid w:val="3ED75B3E"/>
    <w:rsid w:val="3ED84AC3"/>
    <w:rsid w:val="3EE002FD"/>
    <w:rsid w:val="3EE020AB"/>
    <w:rsid w:val="3EE5578E"/>
    <w:rsid w:val="3EE83856"/>
    <w:rsid w:val="3EF21DDE"/>
    <w:rsid w:val="3EFE69D5"/>
    <w:rsid w:val="3F0062A9"/>
    <w:rsid w:val="3F057D64"/>
    <w:rsid w:val="3F1A33BE"/>
    <w:rsid w:val="3F1C176C"/>
    <w:rsid w:val="3F283A52"/>
    <w:rsid w:val="3F312C16"/>
    <w:rsid w:val="3F3953BF"/>
    <w:rsid w:val="3F3C12AC"/>
    <w:rsid w:val="3F3E3276"/>
    <w:rsid w:val="3F3E6DD2"/>
    <w:rsid w:val="3F400D9C"/>
    <w:rsid w:val="3F424B14"/>
    <w:rsid w:val="3F486480"/>
    <w:rsid w:val="3F4A39D4"/>
    <w:rsid w:val="3F4E170B"/>
    <w:rsid w:val="3F542A99"/>
    <w:rsid w:val="3F556BF6"/>
    <w:rsid w:val="3F5605BF"/>
    <w:rsid w:val="3F584880"/>
    <w:rsid w:val="3F60143E"/>
    <w:rsid w:val="3F604F9A"/>
    <w:rsid w:val="3F663C97"/>
    <w:rsid w:val="3F6A7BC7"/>
    <w:rsid w:val="3F6E5909"/>
    <w:rsid w:val="3F710F55"/>
    <w:rsid w:val="3F7556C8"/>
    <w:rsid w:val="3F7E3672"/>
    <w:rsid w:val="3F80388E"/>
    <w:rsid w:val="3F84512C"/>
    <w:rsid w:val="3F9133A5"/>
    <w:rsid w:val="3F9409DE"/>
    <w:rsid w:val="3F964E60"/>
    <w:rsid w:val="3F982986"/>
    <w:rsid w:val="3FA27361"/>
    <w:rsid w:val="3FA330D9"/>
    <w:rsid w:val="3FA550A3"/>
    <w:rsid w:val="3FA56E51"/>
    <w:rsid w:val="3FA806EF"/>
    <w:rsid w:val="3FA927D6"/>
    <w:rsid w:val="3FB6105E"/>
    <w:rsid w:val="3FB928FC"/>
    <w:rsid w:val="3FBC288A"/>
    <w:rsid w:val="3FC01EDD"/>
    <w:rsid w:val="3FC217B1"/>
    <w:rsid w:val="3FC419CD"/>
    <w:rsid w:val="3FC512A1"/>
    <w:rsid w:val="3FD6525C"/>
    <w:rsid w:val="3FDA2830"/>
    <w:rsid w:val="3FDD2A8F"/>
    <w:rsid w:val="3FF213FE"/>
    <w:rsid w:val="3FF2594D"/>
    <w:rsid w:val="3FF628DC"/>
    <w:rsid w:val="3FF83425"/>
    <w:rsid w:val="3FFD6D5A"/>
    <w:rsid w:val="3FFF2A05"/>
    <w:rsid w:val="40093884"/>
    <w:rsid w:val="40094AB4"/>
    <w:rsid w:val="400B13AA"/>
    <w:rsid w:val="400C5122"/>
    <w:rsid w:val="4010076E"/>
    <w:rsid w:val="40112738"/>
    <w:rsid w:val="4012098A"/>
    <w:rsid w:val="40120BBF"/>
    <w:rsid w:val="401A15ED"/>
    <w:rsid w:val="402522D0"/>
    <w:rsid w:val="402661E4"/>
    <w:rsid w:val="40275AB8"/>
    <w:rsid w:val="40316936"/>
    <w:rsid w:val="40381A73"/>
    <w:rsid w:val="40387CC5"/>
    <w:rsid w:val="403A38E1"/>
    <w:rsid w:val="403A57EB"/>
    <w:rsid w:val="403C469F"/>
    <w:rsid w:val="403F1053"/>
    <w:rsid w:val="403F6921"/>
    <w:rsid w:val="40403CEE"/>
    <w:rsid w:val="4047615A"/>
    <w:rsid w:val="40534AFF"/>
    <w:rsid w:val="40580367"/>
    <w:rsid w:val="40656A62"/>
    <w:rsid w:val="406B009A"/>
    <w:rsid w:val="406B6672"/>
    <w:rsid w:val="406E7B8B"/>
    <w:rsid w:val="407451A1"/>
    <w:rsid w:val="407526A4"/>
    <w:rsid w:val="40753D8A"/>
    <w:rsid w:val="40786454"/>
    <w:rsid w:val="407927B7"/>
    <w:rsid w:val="407D392A"/>
    <w:rsid w:val="4093314D"/>
    <w:rsid w:val="40933F35"/>
    <w:rsid w:val="409436EA"/>
    <w:rsid w:val="409842FD"/>
    <w:rsid w:val="40A8309D"/>
    <w:rsid w:val="40A9471F"/>
    <w:rsid w:val="40AB0497"/>
    <w:rsid w:val="40AF1C68"/>
    <w:rsid w:val="40AF61D9"/>
    <w:rsid w:val="40B05AAD"/>
    <w:rsid w:val="40B5544A"/>
    <w:rsid w:val="40BC26A4"/>
    <w:rsid w:val="40C1308E"/>
    <w:rsid w:val="40C52A5E"/>
    <w:rsid w:val="40C95D80"/>
    <w:rsid w:val="40CD48B1"/>
    <w:rsid w:val="40D668AA"/>
    <w:rsid w:val="40D72D76"/>
    <w:rsid w:val="40D82ED1"/>
    <w:rsid w:val="40DA6FCE"/>
    <w:rsid w:val="40DF1EEB"/>
    <w:rsid w:val="40E65973"/>
    <w:rsid w:val="40E67721"/>
    <w:rsid w:val="40E85E90"/>
    <w:rsid w:val="40E95699"/>
    <w:rsid w:val="40EC5ED8"/>
    <w:rsid w:val="40EF4827"/>
    <w:rsid w:val="40F260C6"/>
    <w:rsid w:val="40F7192E"/>
    <w:rsid w:val="40F94117"/>
    <w:rsid w:val="40FE0CCC"/>
    <w:rsid w:val="41032081"/>
    <w:rsid w:val="41047ED9"/>
    <w:rsid w:val="4105229D"/>
    <w:rsid w:val="4105404B"/>
    <w:rsid w:val="41061B71"/>
    <w:rsid w:val="410A1661"/>
    <w:rsid w:val="410C0680"/>
    <w:rsid w:val="410C28BC"/>
    <w:rsid w:val="410D1152"/>
    <w:rsid w:val="410E3FFA"/>
    <w:rsid w:val="4110479E"/>
    <w:rsid w:val="41151DB4"/>
    <w:rsid w:val="41202F4F"/>
    <w:rsid w:val="41232723"/>
    <w:rsid w:val="41263FC1"/>
    <w:rsid w:val="41281AE7"/>
    <w:rsid w:val="413D1A37"/>
    <w:rsid w:val="41410DFB"/>
    <w:rsid w:val="41464D70"/>
    <w:rsid w:val="41483F38"/>
    <w:rsid w:val="414C2C82"/>
    <w:rsid w:val="414D59F2"/>
    <w:rsid w:val="414F52C6"/>
    <w:rsid w:val="41517290"/>
    <w:rsid w:val="41566655"/>
    <w:rsid w:val="415C79E3"/>
    <w:rsid w:val="415D2778"/>
    <w:rsid w:val="415D3E87"/>
    <w:rsid w:val="415E19AD"/>
    <w:rsid w:val="41626732"/>
    <w:rsid w:val="41633FB5"/>
    <w:rsid w:val="41656898"/>
    <w:rsid w:val="416845DA"/>
    <w:rsid w:val="41696777"/>
    <w:rsid w:val="416F0EAD"/>
    <w:rsid w:val="41700A00"/>
    <w:rsid w:val="4171348E"/>
    <w:rsid w:val="41744D2D"/>
    <w:rsid w:val="41754614"/>
    <w:rsid w:val="417B60BB"/>
    <w:rsid w:val="41807B75"/>
    <w:rsid w:val="418A5AB5"/>
    <w:rsid w:val="418B091F"/>
    <w:rsid w:val="418D4040"/>
    <w:rsid w:val="418D5DEE"/>
    <w:rsid w:val="4194717D"/>
    <w:rsid w:val="41986C6D"/>
    <w:rsid w:val="41994793"/>
    <w:rsid w:val="419B49AF"/>
    <w:rsid w:val="41A5138A"/>
    <w:rsid w:val="41A73354"/>
    <w:rsid w:val="41B15F81"/>
    <w:rsid w:val="41B4781F"/>
    <w:rsid w:val="41B919A4"/>
    <w:rsid w:val="41BB6E00"/>
    <w:rsid w:val="41BD2B78"/>
    <w:rsid w:val="41C04416"/>
    <w:rsid w:val="41CA7043"/>
    <w:rsid w:val="41CA785D"/>
    <w:rsid w:val="41D614EA"/>
    <w:rsid w:val="41D61543"/>
    <w:rsid w:val="41D8350E"/>
    <w:rsid w:val="41E43F89"/>
    <w:rsid w:val="41EB174A"/>
    <w:rsid w:val="41EE4ADF"/>
    <w:rsid w:val="41EF0857"/>
    <w:rsid w:val="41F145CF"/>
    <w:rsid w:val="41F66F56"/>
    <w:rsid w:val="41F97455"/>
    <w:rsid w:val="41FE0FCB"/>
    <w:rsid w:val="420C765B"/>
    <w:rsid w:val="420C7CEA"/>
    <w:rsid w:val="42132798"/>
    <w:rsid w:val="42154762"/>
    <w:rsid w:val="42164036"/>
    <w:rsid w:val="42177E0D"/>
    <w:rsid w:val="42187DAE"/>
    <w:rsid w:val="421A1D78"/>
    <w:rsid w:val="421D3616"/>
    <w:rsid w:val="42213A90"/>
    <w:rsid w:val="42233A5A"/>
    <w:rsid w:val="422624CB"/>
    <w:rsid w:val="42276243"/>
    <w:rsid w:val="42291FBB"/>
    <w:rsid w:val="422A188F"/>
    <w:rsid w:val="422B0891"/>
    <w:rsid w:val="42336996"/>
    <w:rsid w:val="423B189D"/>
    <w:rsid w:val="424010B3"/>
    <w:rsid w:val="42443F14"/>
    <w:rsid w:val="42450E81"/>
    <w:rsid w:val="42470693"/>
    <w:rsid w:val="42477E9E"/>
    <w:rsid w:val="424E1A22"/>
    <w:rsid w:val="42507548"/>
    <w:rsid w:val="425A03C6"/>
    <w:rsid w:val="425F778B"/>
    <w:rsid w:val="42672AE3"/>
    <w:rsid w:val="426D74C6"/>
    <w:rsid w:val="42756FAE"/>
    <w:rsid w:val="42813BA5"/>
    <w:rsid w:val="42814504"/>
    <w:rsid w:val="428611BC"/>
    <w:rsid w:val="4286740D"/>
    <w:rsid w:val="428B6FB3"/>
    <w:rsid w:val="428E1E1E"/>
    <w:rsid w:val="428E62C2"/>
    <w:rsid w:val="42927B60"/>
    <w:rsid w:val="429A4C67"/>
    <w:rsid w:val="429C278D"/>
    <w:rsid w:val="42BA0E65"/>
    <w:rsid w:val="42BA2C13"/>
    <w:rsid w:val="42BE04AF"/>
    <w:rsid w:val="42C52AB7"/>
    <w:rsid w:val="42C87EB5"/>
    <w:rsid w:val="42CD0B98"/>
    <w:rsid w:val="42D24401"/>
    <w:rsid w:val="42D33CD5"/>
    <w:rsid w:val="42D44F28"/>
    <w:rsid w:val="42DE2DA6"/>
    <w:rsid w:val="42E12896"/>
    <w:rsid w:val="42E3216A"/>
    <w:rsid w:val="42E36B0E"/>
    <w:rsid w:val="42E859D2"/>
    <w:rsid w:val="42EC309B"/>
    <w:rsid w:val="42EE2A85"/>
    <w:rsid w:val="42EE5221"/>
    <w:rsid w:val="42F15FC1"/>
    <w:rsid w:val="42F425C9"/>
    <w:rsid w:val="42F44377"/>
    <w:rsid w:val="42F66EFB"/>
    <w:rsid w:val="42F779C3"/>
    <w:rsid w:val="42FE51F6"/>
    <w:rsid w:val="431515CC"/>
    <w:rsid w:val="43193DDE"/>
    <w:rsid w:val="432128FF"/>
    <w:rsid w:val="43273100"/>
    <w:rsid w:val="433230F1"/>
    <w:rsid w:val="43326C4D"/>
    <w:rsid w:val="4335501B"/>
    <w:rsid w:val="4335673E"/>
    <w:rsid w:val="433E55F2"/>
    <w:rsid w:val="43421586"/>
    <w:rsid w:val="43454EAD"/>
    <w:rsid w:val="434D1CD9"/>
    <w:rsid w:val="43537184"/>
    <w:rsid w:val="435532E0"/>
    <w:rsid w:val="4359348E"/>
    <w:rsid w:val="435E7A42"/>
    <w:rsid w:val="436A4639"/>
    <w:rsid w:val="436D260D"/>
    <w:rsid w:val="43713007"/>
    <w:rsid w:val="437159C8"/>
    <w:rsid w:val="43721740"/>
    <w:rsid w:val="437466E4"/>
    <w:rsid w:val="43776B4B"/>
    <w:rsid w:val="43793E2A"/>
    <w:rsid w:val="4384354A"/>
    <w:rsid w:val="4386786A"/>
    <w:rsid w:val="43882D11"/>
    <w:rsid w:val="438E5395"/>
    <w:rsid w:val="43923B90"/>
    <w:rsid w:val="43943464"/>
    <w:rsid w:val="43943488"/>
    <w:rsid w:val="43986193"/>
    <w:rsid w:val="4399036C"/>
    <w:rsid w:val="439E0787"/>
    <w:rsid w:val="43A07D60"/>
    <w:rsid w:val="43A51B15"/>
    <w:rsid w:val="43AC6A00"/>
    <w:rsid w:val="43B6787E"/>
    <w:rsid w:val="43B9111D"/>
    <w:rsid w:val="43B92ECB"/>
    <w:rsid w:val="43C31F9B"/>
    <w:rsid w:val="43D30430"/>
    <w:rsid w:val="43D9356D"/>
    <w:rsid w:val="43DD305D"/>
    <w:rsid w:val="43DD6773"/>
    <w:rsid w:val="43DE6DD5"/>
    <w:rsid w:val="43E07DA4"/>
    <w:rsid w:val="43E443EC"/>
    <w:rsid w:val="43E72417"/>
    <w:rsid w:val="43EE7018"/>
    <w:rsid w:val="43F5039A"/>
    <w:rsid w:val="43F839F3"/>
    <w:rsid w:val="43FA3C0F"/>
    <w:rsid w:val="43FC2ACB"/>
    <w:rsid w:val="43FE4D82"/>
    <w:rsid w:val="440415BB"/>
    <w:rsid w:val="44055A2D"/>
    <w:rsid w:val="44071E88"/>
    <w:rsid w:val="440E76BA"/>
    <w:rsid w:val="4416031D"/>
    <w:rsid w:val="44170B63"/>
    <w:rsid w:val="44186102"/>
    <w:rsid w:val="44266B52"/>
    <w:rsid w:val="442B1C63"/>
    <w:rsid w:val="443332EB"/>
    <w:rsid w:val="44337121"/>
    <w:rsid w:val="443469F5"/>
    <w:rsid w:val="443609BF"/>
    <w:rsid w:val="443A225E"/>
    <w:rsid w:val="443F72CB"/>
    <w:rsid w:val="44472BCC"/>
    <w:rsid w:val="44496945"/>
    <w:rsid w:val="444A10A1"/>
    <w:rsid w:val="444A2031"/>
    <w:rsid w:val="4451216B"/>
    <w:rsid w:val="44565FEF"/>
    <w:rsid w:val="44586B88"/>
    <w:rsid w:val="44592B81"/>
    <w:rsid w:val="445D419E"/>
    <w:rsid w:val="445D5F4C"/>
    <w:rsid w:val="446134BD"/>
    <w:rsid w:val="44646CB7"/>
    <w:rsid w:val="44666B20"/>
    <w:rsid w:val="44670B79"/>
    <w:rsid w:val="446A7138"/>
    <w:rsid w:val="446B0669"/>
    <w:rsid w:val="44703ED1"/>
    <w:rsid w:val="447D039C"/>
    <w:rsid w:val="448259B3"/>
    <w:rsid w:val="4487121B"/>
    <w:rsid w:val="4491620A"/>
    <w:rsid w:val="44983428"/>
    <w:rsid w:val="449A0F4E"/>
    <w:rsid w:val="449D0A3E"/>
    <w:rsid w:val="449D459A"/>
    <w:rsid w:val="449E0454"/>
    <w:rsid w:val="44A21BB1"/>
    <w:rsid w:val="44A818BD"/>
    <w:rsid w:val="44AD6CF5"/>
    <w:rsid w:val="44AF5449"/>
    <w:rsid w:val="44B6565C"/>
    <w:rsid w:val="44BC2C73"/>
    <w:rsid w:val="44C46BB0"/>
    <w:rsid w:val="44C85ABB"/>
    <w:rsid w:val="44C90BB5"/>
    <w:rsid w:val="44CD30D2"/>
    <w:rsid w:val="44CE4B11"/>
    <w:rsid w:val="44D34460"/>
    <w:rsid w:val="44D3620E"/>
    <w:rsid w:val="44D53472"/>
    <w:rsid w:val="44DE708D"/>
    <w:rsid w:val="44DF2AD6"/>
    <w:rsid w:val="44F3065E"/>
    <w:rsid w:val="44F543D6"/>
    <w:rsid w:val="44F56185"/>
    <w:rsid w:val="44FE355A"/>
    <w:rsid w:val="44FF7003"/>
    <w:rsid w:val="450665E4"/>
    <w:rsid w:val="4508410A"/>
    <w:rsid w:val="450A60D4"/>
    <w:rsid w:val="450B4230"/>
    <w:rsid w:val="450C3C4E"/>
    <w:rsid w:val="450F36EA"/>
    <w:rsid w:val="45166D46"/>
    <w:rsid w:val="4517434D"/>
    <w:rsid w:val="452B1BA6"/>
    <w:rsid w:val="452D1DC2"/>
    <w:rsid w:val="45314E85"/>
    <w:rsid w:val="45350C77"/>
    <w:rsid w:val="4537679D"/>
    <w:rsid w:val="453C0257"/>
    <w:rsid w:val="453C2005"/>
    <w:rsid w:val="453C51A9"/>
    <w:rsid w:val="4545710C"/>
    <w:rsid w:val="45486BFC"/>
    <w:rsid w:val="45506C72"/>
    <w:rsid w:val="45561319"/>
    <w:rsid w:val="455C4456"/>
    <w:rsid w:val="45633BC2"/>
    <w:rsid w:val="4565155C"/>
    <w:rsid w:val="45660E30"/>
    <w:rsid w:val="45667082"/>
    <w:rsid w:val="4568708C"/>
    <w:rsid w:val="456A0921"/>
    <w:rsid w:val="456A6B72"/>
    <w:rsid w:val="457277D5"/>
    <w:rsid w:val="458E2F8D"/>
    <w:rsid w:val="458F65D9"/>
    <w:rsid w:val="45915A95"/>
    <w:rsid w:val="45921C25"/>
    <w:rsid w:val="45943BEF"/>
    <w:rsid w:val="45967968"/>
    <w:rsid w:val="45997458"/>
    <w:rsid w:val="459B4F7E"/>
    <w:rsid w:val="459B6D2C"/>
    <w:rsid w:val="459D0017"/>
    <w:rsid w:val="459E05CA"/>
    <w:rsid w:val="459E681C"/>
    <w:rsid w:val="45A2525D"/>
    <w:rsid w:val="45A51959"/>
    <w:rsid w:val="45AF2F03"/>
    <w:rsid w:val="45BB5620"/>
    <w:rsid w:val="45C945BA"/>
    <w:rsid w:val="45D91C54"/>
    <w:rsid w:val="45DD5596"/>
    <w:rsid w:val="45E06E35"/>
    <w:rsid w:val="45E306D3"/>
    <w:rsid w:val="45E34BAB"/>
    <w:rsid w:val="45E6269F"/>
    <w:rsid w:val="45E701C3"/>
    <w:rsid w:val="45EE1552"/>
    <w:rsid w:val="45EF0E26"/>
    <w:rsid w:val="45F355D7"/>
    <w:rsid w:val="45F3589E"/>
    <w:rsid w:val="45F4468E"/>
    <w:rsid w:val="45F47CCC"/>
    <w:rsid w:val="45F60B58"/>
    <w:rsid w:val="45FE550D"/>
    <w:rsid w:val="46027484"/>
    <w:rsid w:val="460348D1"/>
    <w:rsid w:val="4605689B"/>
    <w:rsid w:val="4614088C"/>
    <w:rsid w:val="461940F5"/>
    <w:rsid w:val="461B2DDC"/>
    <w:rsid w:val="461B561D"/>
    <w:rsid w:val="461F7D3A"/>
    <w:rsid w:val="46205483"/>
    <w:rsid w:val="46284338"/>
    <w:rsid w:val="462C5BD6"/>
    <w:rsid w:val="462F56C6"/>
    <w:rsid w:val="46316596"/>
    <w:rsid w:val="46326F64"/>
    <w:rsid w:val="46354B39"/>
    <w:rsid w:val="46362EF9"/>
    <w:rsid w:val="463B22BD"/>
    <w:rsid w:val="463B752C"/>
    <w:rsid w:val="463C6585"/>
    <w:rsid w:val="463D7DE3"/>
    <w:rsid w:val="463F7FFF"/>
    <w:rsid w:val="46401681"/>
    <w:rsid w:val="46407175"/>
    <w:rsid w:val="465313B5"/>
    <w:rsid w:val="4654527A"/>
    <w:rsid w:val="46572CEA"/>
    <w:rsid w:val="465E4B3A"/>
    <w:rsid w:val="465F5FAB"/>
    <w:rsid w:val="46603AD2"/>
    <w:rsid w:val="46623CEE"/>
    <w:rsid w:val="46671304"/>
    <w:rsid w:val="4669507C"/>
    <w:rsid w:val="467303C8"/>
    <w:rsid w:val="4674757D"/>
    <w:rsid w:val="467F445C"/>
    <w:rsid w:val="4686391A"/>
    <w:rsid w:val="46893028"/>
    <w:rsid w:val="468C0D6B"/>
    <w:rsid w:val="4691012F"/>
    <w:rsid w:val="46911EDD"/>
    <w:rsid w:val="469A5235"/>
    <w:rsid w:val="469D6AD4"/>
    <w:rsid w:val="46A460B4"/>
    <w:rsid w:val="46A80C8F"/>
    <w:rsid w:val="46A82829"/>
    <w:rsid w:val="46B1432D"/>
    <w:rsid w:val="46BD7176"/>
    <w:rsid w:val="46BF6A4A"/>
    <w:rsid w:val="46C01DCF"/>
    <w:rsid w:val="46C40504"/>
    <w:rsid w:val="46C73B51"/>
    <w:rsid w:val="46CA5A4D"/>
    <w:rsid w:val="46CD42F1"/>
    <w:rsid w:val="46D22C21"/>
    <w:rsid w:val="46D36999"/>
    <w:rsid w:val="46E841F3"/>
    <w:rsid w:val="46EA5779"/>
    <w:rsid w:val="46F32B98"/>
    <w:rsid w:val="46F54B62"/>
    <w:rsid w:val="46F6241C"/>
    <w:rsid w:val="46FF32EA"/>
    <w:rsid w:val="47022DDB"/>
    <w:rsid w:val="470628CB"/>
    <w:rsid w:val="470C1AE3"/>
    <w:rsid w:val="47136D96"/>
    <w:rsid w:val="47203553"/>
    <w:rsid w:val="47224D0F"/>
    <w:rsid w:val="47230AB1"/>
    <w:rsid w:val="472471F5"/>
    <w:rsid w:val="472610A4"/>
    <w:rsid w:val="47280A93"/>
    <w:rsid w:val="4735222F"/>
    <w:rsid w:val="47356D0C"/>
    <w:rsid w:val="47411B55"/>
    <w:rsid w:val="47456DDE"/>
    <w:rsid w:val="474B29D4"/>
    <w:rsid w:val="474D4056"/>
    <w:rsid w:val="474E2404"/>
    <w:rsid w:val="47525B10"/>
    <w:rsid w:val="475573AE"/>
    <w:rsid w:val="475831BF"/>
    <w:rsid w:val="47592085"/>
    <w:rsid w:val="47613FA5"/>
    <w:rsid w:val="47655843"/>
    <w:rsid w:val="476615BC"/>
    <w:rsid w:val="4770243A"/>
    <w:rsid w:val="477535AD"/>
    <w:rsid w:val="47767A51"/>
    <w:rsid w:val="477737C9"/>
    <w:rsid w:val="477D598D"/>
    <w:rsid w:val="477F442B"/>
    <w:rsid w:val="477F61D9"/>
    <w:rsid w:val="4780267D"/>
    <w:rsid w:val="478163F5"/>
    <w:rsid w:val="47855EE6"/>
    <w:rsid w:val="47900CBB"/>
    <w:rsid w:val="4791660D"/>
    <w:rsid w:val="479559FD"/>
    <w:rsid w:val="47972E7A"/>
    <w:rsid w:val="479A3013"/>
    <w:rsid w:val="479C6D8B"/>
    <w:rsid w:val="47B6609F"/>
    <w:rsid w:val="47B70069"/>
    <w:rsid w:val="47BC567F"/>
    <w:rsid w:val="47C42C4B"/>
    <w:rsid w:val="47C6205A"/>
    <w:rsid w:val="47C71588"/>
    <w:rsid w:val="47C77D95"/>
    <w:rsid w:val="47C87B80"/>
    <w:rsid w:val="47CA1B4A"/>
    <w:rsid w:val="47CD5197"/>
    <w:rsid w:val="47CD7BFF"/>
    <w:rsid w:val="47D31E1A"/>
    <w:rsid w:val="47D74267"/>
    <w:rsid w:val="47DA5134"/>
    <w:rsid w:val="47E114CB"/>
    <w:rsid w:val="47E26E94"/>
    <w:rsid w:val="47EA3F9B"/>
    <w:rsid w:val="47EF7803"/>
    <w:rsid w:val="47F70466"/>
    <w:rsid w:val="47F72214"/>
    <w:rsid w:val="47F92430"/>
    <w:rsid w:val="47FD3CCE"/>
    <w:rsid w:val="48013092"/>
    <w:rsid w:val="48082673"/>
    <w:rsid w:val="48085719"/>
    <w:rsid w:val="480A63EB"/>
    <w:rsid w:val="481334F1"/>
    <w:rsid w:val="481903DC"/>
    <w:rsid w:val="48246391"/>
    <w:rsid w:val="482C1B9B"/>
    <w:rsid w:val="48313978"/>
    <w:rsid w:val="48376AB4"/>
    <w:rsid w:val="48377221"/>
    <w:rsid w:val="483B06FE"/>
    <w:rsid w:val="483D40CA"/>
    <w:rsid w:val="483E7E42"/>
    <w:rsid w:val="484216E1"/>
    <w:rsid w:val="48484C47"/>
    <w:rsid w:val="484C07B1"/>
    <w:rsid w:val="484C4A70"/>
    <w:rsid w:val="485338EE"/>
    <w:rsid w:val="48537D92"/>
    <w:rsid w:val="485B09F4"/>
    <w:rsid w:val="48651873"/>
    <w:rsid w:val="48657AC5"/>
    <w:rsid w:val="48667975"/>
    <w:rsid w:val="48674249"/>
    <w:rsid w:val="486E0837"/>
    <w:rsid w:val="486E2920"/>
    <w:rsid w:val="486F26F2"/>
    <w:rsid w:val="487D7DE5"/>
    <w:rsid w:val="488241D3"/>
    <w:rsid w:val="488F3E82"/>
    <w:rsid w:val="48A16554"/>
    <w:rsid w:val="48AE0F20"/>
    <w:rsid w:val="48AE294E"/>
    <w:rsid w:val="48AE3759"/>
    <w:rsid w:val="48C42A3E"/>
    <w:rsid w:val="48C642B7"/>
    <w:rsid w:val="48C72F1C"/>
    <w:rsid w:val="48CC544E"/>
    <w:rsid w:val="48CE566A"/>
    <w:rsid w:val="48D36555"/>
    <w:rsid w:val="48DB0E88"/>
    <w:rsid w:val="48E24C72"/>
    <w:rsid w:val="48E42798"/>
    <w:rsid w:val="48E622E2"/>
    <w:rsid w:val="48E924A4"/>
    <w:rsid w:val="48EE3617"/>
    <w:rsid w:val="48EE7ABB"/>
    <w:rsid w:val="48F31397"/>
    <w:rsid w:val="48F350D1"/>
    <w:rsid w:val="48F6071D"/>
    <w:rsid w:val="48F77029"/>
    <w:rsid w:val="48FD385A"/>
    <w:rsid w:val="49144E77"/>
    <w:rsid w:val="491863C9"/>
    <w:rsid w:val="491C63D6"/>
    <w:rsid w:val="491D3EFC"/>
    <w:rsid w:val="491D5CAA"/>
    <w:rsid w:val="491F1A22"/>
    <w:rsid w:val="491F6AB4"/>
    <w:rsid w:val="49267254"/>
    <w:rsid w:val="49284D7B"/>
    <w:rsid w:val="49325BF9"/>
    <w:rsid w:val="493D00FA"/>
    <w:rsid w:val="493D634C"/>
    <w:rsid w:val="493E459E"/>
    <w:rsid w:val="4948541D"/>
    <w:rsid w:val="49497D73"/>
    <w:rsid w:val="495D254A"/>
    <w:rsid w:val="49667651"/>
    <w:rsid w:val="49686252"/>
    <w:rsid w:val="496F29A9"/>
    <w:rsid w:val="49746212"/>
    <w:rsid w:val="49757894"/>
    <w:rsid w:val="4977360C"/>
    <w:rsid w:val="497955D6"/>
    <w:rsid w:val="497A30FC"/>
    <w:rsid w:val="497E2BEC"/>
    <w:rsid w:val="498018FC"/>
    <w:rsid w:val="49804BB7"/>
    <w:rsid w:val="49836455"/>
    <w:rsid w:val="49855FD9"/>
    <w:rsid w:val="498606C6"/>
    <w:rsid w:val="498F5898"/>
    <w:rsid w:val="4998010E"/>
    <w:rsid w:val="4999217F"/>
    <w:rsid w:val="499A379E"/>
    <w:rsid w:val="49A235A7"/>
    <w:rsid w:val="49A85EBB"/>
    <w:rsid w:val="49AB59AC"/>
    <w:rsid w:val="49AF08D0"/>
    <w:rsid w:val="49B93C25"/>
    <w:rsid w:val="49BF629A"/>
    <w:rsid w:val="49C167BA"/>
    <w:rsid w:val="49C16F7D"/>
    <w:rsid w:val="49C23377"/>
    <w:rsid w:val="49C83E68"/>
    <w:rsid w:val="49CB3958"/>
    <w:rsid w:val="49D56585"/>
    <w:rsid w:val="49D62A28"/>
    <w:rsid w:val="49D97E23"/>
    <w:rsid w:val="49DC7913"/>
    <w:rsid w:val="49DE18DD"/>
    <w:rsid w:val="49E30CA1"/>
    <w:rsid w:val="49E52C6C"/>
    <w:rsid w:val="49EE71F2"/>
    <w:rsid w:val="49F20EE5"/>
    <w:rsid w:val="49F7299F"/>
    <w:rsid w:val="49FC5DE1"/>
    <w:rsid w:val="49FD6207"/>
    <w:rsid w:val="4A051057"/>
    <w:rsid w:val="4A0550BC"/>
    <w:rsid w:val="4A0C5AE0"/>
    <w:rsid w:val="4A160FCB"/>
    <w:rsid w:val="4A190B67"/>
    <w:rsid w:val="4A1932A7"/>
    <w:rsid w:val="4A2117CA"/>
    <w:rsid w:val="4A2C089A"/>
    <w:rsid w:val="4A413C1A"/>
    <w:rsid w:val="4A4A15DE"/>
    <w:rsid w:val="4A4C4A99"/>
    <w:rsid w:val="4A4E6A63"/>
    <w:rsid w:val="4A510301"/>
    <w:rsid w:val="4A5A33C8"/>
    <w:rsid w:val="4A5B1180"/>
    <w:rsid w:val="4A5C0EAC"/>
    <w:rsid w:val="4A5F5CE1"/>
    <w:rsid w:val="4A62606A"/>
    <w:rsid w:val="4A631DE2"/>
    <w:rsid w:val="4A653DAC"/>
    <w:rsid w:val="4A6D58E4"/>
    <w:rsid w:val="4A730123"/>
    <w:rsid w:val="4A767978"/>
    <w:rsid w:val="4A7933B4"/>
    <w:rsid w:val="4A807238"/>
    <w:rsid w:val="4A821A00"/>
    <w:rsid w:val="4A873D23"/>
    <w:rsid w:val="4A9B77CE"/>
    <w:rsid w:val="4A9D70A2"/>
    <w:rsid w:val="4AA06CA1"/>
    <w:rsid w:val="4AA5064D"/>
    <w:rsid w:val="4AAE3DCD"/>
    <w:rsid w:val="4AB42918"/>
    <w:rsid w:val="4AB64608"/>
    <w:rsid w:val="4ABC6B72"/>
    <w:rsid w:val="4ABD14F2"/>
    <w:rsid w:val="4ABD5996"/>
    <w:rsid w:val="4ABD7744"/>
    <w:rsid w:val="4AC044FA"/>
    <w:rsid w:val="4AC40AD3"/>
    <w:rsid w:val="4AC7737B"/>
    <w:rsid w:val="4ACA1E61"/>
    <w:rsid w:val="4AD30D16"/>
    <w:rsid w:val="4AE01685"/>
    <w:rsid w:val="4AE178D7"/>
    <w:rsid w:val="4AE72885"/>
    <w:rsid w:val="4AF20941"/>
    <w:rsid w:val="4AF339B0"/>
    <w:rsid w:val="4AF62C56"/>
    <w:rsid w:val="4AFD3FE5"/>
    <w:rsid w:val="4B0233A9"/>
    <w:rsid w:val="4B045373"/>
    <w:rsid w:val="4B0D7838"/>
    <w:rsid w:val="4B101F6A"/>
    <w:rsid w:val="4B125CE2"/>
    <w:rsid w:val="4B1D6435"/>
    <w:rsid w:val="4B1F03FF"/>
    <w:rsid w:val="4B257098"/>
    <w:rsid w:val="4B294DDA"/>
    <w:rsid w:val="4B2A5D18"/>
    <w:rsid w:val="4B306168"/>
    <w:rsid w:val="4B31008D"/>
    <w:rsid w:val="4B35377F"/>
    <w:rsid w:val="4B38501D"/>
    <w:rsid w:val="4B39190C"/>
    <w:rsid w:val="4B3F0159"/>
    <w:rsid w:val="4B466E62"/>
    <w:rsid w:val="4B46773A"/>
    <w:rsid w:val="4B471525"/>
    <w:rsid w:val="4B4B4017"/>
    <w:rsid w:val="4B524331"/>
    <w:rsid w:val="4B531E57"/>
    <w:rsid w:val="4B565FA9"/>
    <w:rsid w:val="4B58746D"/>
    <w:rsid w:val="4B5A280F"/>
    <w:rsid w:val="4B5A4F93"/>
    <w:rsid w:val="4B616322"/>
    <w:rsid w:val="4B663938"/>
    <w:rsid w:val="4B674969"/>
    <w:rsid w:val="4B69167A"/>
    <w:rsid w:val="4B693428"/>
    <w:rsid w:val="4B775B45"/>
    <w:rsid w:val="4B785B6A"/>
    <w:rsid w:val="4B7A3887"/>
    <w:rsid w:val="4B8244EA"/>
    <w:rsid w:val="4B8262E8"/>
    <w:rsid w:val="4B920BD1"/>
    <w:rsid w:val="4B9C1A50"/>
    <w:rsid w:val="4B9D30D2"/>
    <w:rsid w:val="4BA10E14"/>
    <w:rsid w:val="4BAD5A0B"/>
    <w:rsid w:val="4BAD77B9"/>
    <w:rsid w:val="4BAF1783"/>
    <w:rsid w:val="4BAF3531"/>
    <w:rsid w:val="4BB01057"/>
    <w:rsid w:val="4BB57ADD"/>
    <w:rsid w:val="4BBA14EA"/>
    <w:rsid w:val="4BBA1ED6"/>
    <w:rsid w:val="4BBC79FC"/>
    <w:rsid w:val="4BC36FDC"/>
    <w:rsid w:val="4BC92119"/>
    <w:rsid w:val="4BC94047"/>
    <w:rsid w:val="4BC94C56"/>
    <w:rsid w:val="4BCB7C3F"/>
    <w:rsid w:val="4BD00E0E"/>
    <w:rsid w:val="4BD850D6"/>
    <w:rsid w:val="4BDC50A7"/>
    <w:rsid w:val="4BDF36EB"/>
    <w:rsid w:val="4BE551A5"/>
    <w:rsid w:val="4BED4059"/>
    <w:rsid w:val="4BF03B4A"/>
    <w:rsid w:val="4BF278C2"/>
    <w:rsid w:val="4BFA22D2"/>
    <w:rsid w:val="4C0513A3"/>
    <w:rsid w:val="4C0F4BC6"/>
    <w:rsid w:val="4C15535E"/>
    <w:rsid w:val="4C176DA8"/>
    <w:rsid w:val="4C177634"/>
    <w:rsid w:val="4C1930A0"/>
    <w:rsid w:val="4C201B69"/>
    <w:rsid w:val="4C207BF0"/>
    <w:rsid w:val="4C2832E3"/>
    <w:rsid w:val="4C2F01CE"/>
    <w:rsid w:val="4C352DFF"/>
    <w:rsid w:val="4C416153"/>
    <w:rsid w:val="4C4243A5"/>
    <w:rsid w:val="4C430E41"/>
    <w:rsid w:val="4C431ECB"/>
    <w:rsid w:val="4C433C79"/>
    <w:rsid w:val="4C4460A7"/>
    <w:rsid w:val="4C446A98"/>
    <w:rsid w:val="4C465518"/>
    <w:rsid w:val="4C55054E"/>
    <w:rsid w:val="4C5743A8"/>
    <w:rsid w:val="4C5A154C"/>
    <w:rsid w:val="4C5E6D05"/>
    <w:rsid w:val="4C602A7D"/>
    <w:rsid w:val="4C635CB7"/>
    <w:rsid w:val="4C65600C"/>
    <w:rsid w:val="4C673E0C"/>
    <w:rsid w:val="4C681932"/>
    <w:rsid w:val="4C6856E3"/>
    <w:rsid w:val="4C6A38FC"/>
    <w:rsid w:val="4C7622A1"/>
    <w:rsid w:val="4C793B3F"/>
    <w:rsid w:val="4C7B1665"/>
    <w:rsid w:val="4C7F7227"/>
    <w:rsid w:val="4C806C7C"/>
    <w:rsid w:val="4C8845CA"/>
    <w:rsid w:val="4C886982"/>
    <w:rsid w:val="4C9B1D07"/>
    <w:rsid w:val="4CA0731E"/>
    <w:rsid w:val="4CA243F8"/>
    <w:rsid w:val="4CA87F80"/>
    <w:rsid w:val="4CAD5597"/>
    <w:rsid w:val="4CAE3759"/>
    <w:rsid w:val="4CAF130F"/>
    <w:rsid w:val="4CB16E35"/>
    <w:rsid w:val="4CB30DFF"/>
    <w:rsid w:val="4CB71E91"/>
    <w:rsid w:val="4CBE1552"/>
    <w:rsid w:val="4CC052CA"/>
    <w:rsid w:val="4CC34DBA"/>
    <w:rsid w:val="4CD07C03"/>
    <w:rsid w:val="4CD27077"/>
    <w:rsid w:val="4CD53D41"/>
    <w:rsid w:val="4CD61836"/>
    <w:rsid w:val="4CD6689C"/>
    <w:rsid w:val="4CD73417"/>
    <w:rsid w:val="4CDD40CE"/>
    <w:rsid w:val="4CDD7C2A"/>
    <w:rsid w:val="4CE741F2"/>
    <w:rsid w:val="4CE8436B"/>
    <w:rsid w:val="4CE92A73"/>
    <w:rsid w:val="4CEA0599"/>
    <w:rsid w:val="4CEA2347"/>
    <w:rsid w:val="4CEE1E37"/>
    <w:rsid w:val="4CF03E01"/>
    <w:rsid w:val="4D0A4797"/>
    <w:rsid w:val="4D137AF0"/>
    <w:rsid w:val="4D1E7DDB"/>
    <w:rsid w:val="4D225F85"/>
    <w:rsid w:val="4D241CFD"/>
    <w:rsid w:val="4D245691"/>
    <w:rsid w:val="4D2A6BE7"/>
    <w:rsid w:val="4D302450"/>
    <w:rsid w:val="4D371A30"/>
    <w:rsid w:val="4D381304"/>
    <w:rsid w:val="4D3B375E"/>
    <w:rsid w:val="4D477799"/>
    <w:rsid w:val="4D4A4BA4"/>
    <w:rsid w:val="4D4A6F97"/>
    <w:rsid w:val="4D4F4B59"/>
    <w:rsid w:val="4D5808E6"/>
    <w:rsid w:val="4D583754"/>
    <w:rsid w:val="4D585BCC"/>
    <w:rsid w:val="4D5C424F"/>
    <w:rsid w:val="4D6245D3"/>
    <w:rsid w:val="4D640EB9"/>
    <w:rsid w:val="4D695962"/>
    <w:rsid w:val="4D6A3FBD"/>
    <w:rsid w:val="4D6C7200"/>
    <w:rsid w:val="4D6D58B3"/>
    <w:rsid w:val="4D714816"/>
    <w:rsid w:val="4D73233C"/>
    <w:rsid w:val="4D7367E0"/>
    <w:rsid w:val="4D754306"/>
    <w:rsid w:val="4D7C38E7"/>
    <w:rsid w:val="4D7C5695"/>
    <w:rsid w:val="4D7D31BB"/>
    <w:rsid w:val="4D8B3B2A"/>
    <w:rsid w:val="4D8C11B6"/>
    <w:rsid w:val="4D956757"/>
    <w:rsid w:val="4D986247"/>
    <w:rsid w:val="4D990A98"/>
    <w:rsid w:val="4D9A17D3"/>
    <w:rsid w:val="4D9A77FE"/>
    <w:rsid w:val="4D9E1AAF"/>
    <w:rsid w:val="4D9E60F4"/>
    <w:rsid w:val="4D9F75D5"/>
    <w:rsid w:val="4DA150FB"/>
    <w:rsid w:val="4DA22C22"/>
    <w:rsid w:val="4DA8648A"/>
    <w:rsid w:val="4DA951FF"/>
    <w:rsid w:val="4DAB1AD6"/>
    <w:rsid w:val="4DAD005E"/>
    <w:rsid w:val="4DB90697"/>
    <w:rsid w:val="4DBC3CE3"/>
    <w:rsid w:val="4DC112FA"/>
    <w:rsid w:val="4DC1691E"/>
    <w:rsid w:val="4DC4528E"/>
    <w:rsid w:val="4DCB03CA"/>
    <w:rsid w:val="4DCB3F26"/>
    <w:rsid w:val="4DCD321F"/>
    <w:rsid w:val="4DD3102D"/>
    <w:rsid w:val="4DD4222A"/>
    <w:rsid w:val="4DD76D6F"/>
    <w:rsid w:val="4DD86643"/>
    <w:rsid w:val="4DDD3E89"/>
    <w:rsid w:val="4DDD4ABE"/>
    <w:rsid w:val="4DE374C2"/>
    <w:rsid w:val="4DEA4CF4"/>
    <w:rsid w:val="4DEB281B"/>
    <w:rsid w:val="4DF07E31"/>
    <w:rsid w:val="4DF23A15"/>
    <w:rsid w:val="4DFF70B4"/>
    <w:rsid w:val="4E01203E"/>
    <w:rsid w:val="4E08517B"/>
    <w:rsid w:val="4E0B5AB9"/>
    <w:rsid w:val="4E0D257D"/>
    <w:rsid w:val="4E102281"/>
    <w:rsid w:val="4E110C7C"/>
    <w:rsid w:val="4E143B1F"/>
    <w:rsid w:val="4E165AE9"/>
    <w:rsid w:val="4E1A4EAE"/>
    <w:rsid w:val="4E1E5BE1"/>
    <w:rsid w:val="4E1E674C"/>
    <w:rsid w:val="4E353A96"/>
    <w:rsid w:val="4E3E2C7B"/>
    <w:rsid w:val="4E3F1694"/>
    <w:rsid w:val="4E3F63C0"/>
    <w:rsid w:val="4E402B66"/>
    <w:rsid w:val="4E41243B"/>
    <w:rsid w:val="4E42314D"/>
    <w:rsid w:val="4E434405"/>
    <w:rsid w:val="4E485577"/>
    <w:rsid w:val="4E4A12EF"/>
    <w:rsid w:val="4E4D2A0C"/>
    <w:rsid w:val="4E50518F"/>
    <w:rsid w:val="4E510B82"/>
    <w:rsid w:val="4E54216E"/>
    <w:rsid w:val="4E564138"/>
    <w:rsid w:val="4E5959D6"/>
    <w:rsid w:val="4E5C3732"/>
    <w:rsid w:val="4E5C54C6"/>
    <w:rsid w:val="4E5F1D9B"/>
    <w:rsid w:val="4E683E6B"/>
    <w:rsid w:val="4E6D76D3"/>
    <w:rsid w:val="4E796078"/>
    <w:rsid w:val="4E814A20"/>
    <w:rsid w:val="4E86609F"/>
    <w:rsid w:val="4E880069"/>
    <w:rsid w:val="4E8F13F8"/>
    <w:rsid w:val="4E9502E8"/>
    <w:rsid w:val="4E9904C8"/>
    <w:rsid w:val="4E992277"/>
    <w:rsid w:val="4E9D1D67"/>
    <w:rsid w:val="4EA604F0"/>
    <w:rsid w:val="4EAD5D22"/>
    <w:rsid w:val="4EB23158"/>
    <w:rsid w:val="4EB250E6"/>
    <w:rsid w:val="4EB86BA1"/>
    <w:rsid w:val="4EBD5F65"/>
    <w:rsid w:val="4EC362C3"/>
    <w:rsid w:val="4EC866B8"/>
    <w:rsid w:val="4EC95D9C"/>
    <w:rsid w:val="4ECE0172"/>
    <w:rsid w:val="4ED14FC0"/>
    <w:rsid w:val="4ED412BA"/>
    <w:rsid w:val="4EE2777A"/>
    <w:rsid w:val="4EEA4880"/>
    <w:rsid w:val="4EF56E5A"/>
    <w:rsid w:val="4EF63225"/>
    <w:rsid w:val="4F073684"/>
    <w:rsid w:val="4F0973FC"/>
    <w:rsid w:val="4F0A4F22"/>
    <w:rsid w:val="4F0B3CA6"/>
    <w:rsid w:val="4F155DA1"/>
    <w:rsid w:val="4F1638C7"/>
    <w:rsid w:val="4F1B2C8C"/>
    <w:rsid w:val="4F200EBB"/>
    <w:rsid w:val="4F253B0A"/>
    <w:rsid w:val="4F2729A6"/>
    <w:rsid w:val="4F272DEC"/>
    <w:rsid w:val="4F3705BB"/>
    <w:rsid w:val="4F375215"/>
    <w:rsid w:val="4F3B1580"/>
    <w:rsid w:val="4F3B332E"/>
    <w:rsid w:val="4F42646A"/>
    <w:rsid w:val="4F477F24"/>
    <w:rsid w:val="4F4F0BFE"/>
    <w:rsid w:val="4F525119"/>
    <w:rsid w:val="4F5368C9"/>
    <w:rsid w:val="4F563CC4"/>
    <w:rsid w:val="4F5A1A06"/>
    <w:rsid w:val="4F6F03A8"/>
    <w:rsid w:val="4F764366"/>
    <w:rsid w:val="4F7A72D5"/>
    <w:rsid w:val="4F7B197C"/>
    <w:rsid w:val="4F7E2D69"/>
    <w:rsid w:val="4F8503B4"/>
    <w:rsid w:val="4F876573"/>
    <w:rsid w:val="4F8F75CF"/>
    <w:rsid w:val="4F905428"/>
    <w:rsid w:val="4F980780"/>
    <w:rsid w:val="4F9E1EC0"/>
    <w:rsid w:val="4FA445A2"/>
    <w:rsid w:val="4FA47125"/>
    <w:rsid w:val="4FAB1C62"/>
    <w:rsid w:val="4FAE3601"/>
    <w:rsid w:val="4FB05ACA"/>
    <w:rsid w:val="4FB37368"/>
    <w:rsid w:val="4FB8497E"/>
    <w:rsid w:val="4FB9673C"/>
    <w:rsid w:val="4FBD0EDC"/>
    <w:rsid w:val="4FC275AB"/>
    <w:rsid w:val="4FC363DA"/>
    <w:rsid w:val="4FCA4B9F"/>
    <w:rsid w:val="4FCE5F50"/>
    <w:rsid w:val="4FCF1B50"/>
    <w:rsid w:val="4FDC6DA6"/>
    <w:rsid w:val="4FDF015D"/>
    <w:rsid w:val="4FE237A9"/>
    <w:rsid w:val="4FE63299"/>
    <w:rsid w:val="4FE90FDC"/>
    <w:rsid w:val="4FE945BA"/>
    <w:rsid w:val="4FED76F4"/>
    <w:rsid w:val="4FEF697B"/>
    <w:rsid w:val="4FF21C3E"/>
    <w:rsid w:val="4FFE4A87"/>
    <w:rsid w:val="50100316"/>
    <w:rsid w:val="50102C97"/>
    <w:rsid w:val="50106D9A"/>
    <w:rsid w:val="50120532"/>
    <w:rsid w:val="501442ED"/>
    <w:rsid w:val="50175B5A"/>
    <w:rsid w:val="5019541D"/>
    <w:rsid w:val="501A1195"/>
    <w:rsid w:val="5023004A"/>
    <w:rsid w:val="50245B70"/>
    <w:rsid w:val="502B2B6C"/>
    <w:rsid w:val="502B5150"/>
    <w:rsid w:val="502D0EC8"/>
    <w:rsid w:val="502D2C99"/>
    <w:rsid w:val="50302767"/>
    <w:rsid w:val="50375889"/>
    <w:rsid w:val="503F6FB7"/>
    <w:rsid w:val="504464B2"/>
    <w:rsid w:val="50461F8A"/>
    <w:rsid w:val="50493828"/>
    <w:rsid w:val="504B2D47"/>
    <w:rsid w:val="504B4ACC"/>
    <w:rsid w:val="504B57F2"/>
    <w:rsid w:val="505428F9"/>
    <w:rsid w:val="50597E6E"/>
    <w:rsid w:val="50610B72"/>
    <w:rsid w:val="506643DA"/>
    <w:rsid w:val="50746FFA"/>
    <w:rsid w:val="507E1724"/>
    <w:rsid w:val="50884351"/>
    <w:rsid w:val="508C2093"/>
    <w:rsid w:val="509251CF"/>
    <w:rsid w:val="50945154"/>
    <w:rsid w:val="5095081C"/>
    <w:rsid w:val="509B0528"/>
    <w:rsid w:val="509F054C"/>
    <w:rsid w:val="50A56CB1"/>
    <w:rsid w:val="50AD025B"/>
    <w:rsid w:val="50AF18DD"/>
    <w:rsid w:val="50AF7B2F"/>
    <w:rsid w:val="50B415EA"/>
    <w:rsid w:val="50B43398"/>
    <w:rsid w:val="50B45146"/>
    <w:rsid w:val="50B60EBE"/>
    <w:rsid w:val="50B909AE"/>
    <w:rsid w:val="50C11F5D"/>
    <w:rsid w:val="50C7131D"/>
    <w:rsid w:val="50CC6933"/>
    <w:rsid w:val="50CE7876"/>
    <w:rsid w:val="50D43A3A"/>
    <w:rsid w:val="50D61560"/>
    <w:rsid w:val="50D91050"/>
    <w:rsid w:val="50DD197E"/>
    <w:rsid w:val="50DE0415"/>
    <w:rsid w:val="50E53036"/>
    <w:rsid w:val="50E83041"/>
    <w:rsid w:val="50ED2406"/>
    <w:rsid w:val="50F34FF7"/>
    <w:rsid w:val="50F934A0"/>
    <w:rsid w:val="51022355"/>
    <w:rsid w:val="510720B3"/>
    <w:rsid w:val="510A120A"/>
    <w:rsid w:val="5112712D"/>
    <w:rsid w:val="51165E00"/>
    <w:rsid w:val="511B4D29"/>
    <w:rsid w:val="511C3B0A"/>
    <w:rsid w:val="511D4511"/>
    <w:rsid w:val="511E4CB5"/>
    <w:rsid w:val="51200A2D"/>
    <w:rsid w:val="512C73D2"/>
    <w:rsid w:val="512F6EC2"/>
    <w:rsid w:val="513004B1"/>
    <w:rsid w:val="51330760"/>
    <w:rsid w:val="5133250E"/>
    <w:rsid w:val="51385D77"/>
    <w:rsid w:val="513F7105"/>
    <w:rsid w:val="51416F08"/>
    <w:rsid w:val="51426BF5"/>
    <w:rsid w:val="51477D68"/>
    <w:rsid w:val="51493AE0"/>
    <w:rsid w:val="514B3CFC"/>
    <w:rsid w:val="514E7348"/>
    <w:rsid w:val="51536EE0"/>
    <w:rsid w:val="51542485"/>
    <w:rsid w:val="51546854"/>
    <w:rsid w:val="51551687"/>
    <w:rsid w:val="515801C7"/>
    <w:rsid w:val="51586419"/>
    <w:rsid w:val="515B3813"/>
    <w:rsid w:val="51612330"/>
    <w:rsid w:val="516632F1"/>
    <w:rsid w:val="517174DB"/>
    <w:rsid w:val="517B3CD2"/>
    <w:rsid w:val="51803134"/>
    <w:rsid w:val="51842D6A"/>
    <w:rsid w:val="5186233E"/>
    <w:rsid w:val="518B234A"/>
    <w:rsid w:val="518B70A2"/>
    <w:rsid w:val="51905BB3"/>
    <w:rsid w:val="5196525A"/>
    <w:rsid w:val="519D207E"/>
    <w:rsid w:val="519D3E2C"/>
    <w:rsid w:val="51A258E6"/>
    <w:rsid w:val="51A27694"/>
    <w:rsid w:val="51A927D1"/>
    <w:rsid w:val="51AE7DE7"/>
    <w:rsid w:val="51B34E7A"/>
    <w:rsid w:val="51BD2325"/>
    <w:rsid w:val="51C27D36"/>
    <w:rsid w:val="51CB0999"/>
    <w:rsid w:val="51D00ACA"/>
    <w:rsid w:val="51D30376"/>
    <w:rsid w:val="51D610EC"/>
    <w:rsid w:val="51DB6702"/>
    <w:rsid w:val="51DC0DF8"/>
    <w:rsid w:val="51E1579C"/>
    <w:rsid w:val="51E732F9"/>
    <w:rsid w:val="51EB103B"/>
    <w:rsid w:val="51F223CA"/>
    <w:rsid w:val="51F779E0"/>
    <w:rsid w:val="51FF6894"/>
    <w:rsid w:val="52020133"/>
    <w:rsid w:val="520D41CD"/>
    <w:rsid w:val="520D64F1"/>
    <w:rsid w:val="521265C8"/>
    <w:rsid w:val="52170A35"/>
    <w:rsid w:val="521A0616"/>
    <w:rsid w:val="521A36CE"/>
    <w:rsid w:val="521A547C"/>
    <w:rsid w:val="521D4F6D"/>
    <w:rsid w:val="521D6D1B"/>
    <w:rsid w:val="5221343F"/>
    <w:rsid w:val="5228116F"/>
    <w:rsid w:val="522B763A"/>
    <w:rsid w:val="523522B6"/>
    <w:rsid w:val="52354064"/>
    <w:rsid w:val="52383B54"/>
    <w:rsid w:val="52410C5B"/>
    <w:rsid w:val="52466271"/>
    <w:rsid w:val="5247502A"/>
    <w:rsid w:val="52481FEA"/>
    <w:rsid w:val="525070F0"/>
    <w:rsid w:val="52535C89"/>
    <w:rsid w:val="525F5585"/>
    <w:rsid w:val="52606646"/>
    <w:rsid w:val="52642B9B"/>
    <w:rsid w:val="526553D4"/>
    <w:rsid w:val="52662269"/>
    <w:rsid w:val="52707792"/>
    <w:rsid w:val="52721B97"/>
    <w:rsid w:val="52742DDF"/>
    <w:rsid w:val="52754DA9"/>
    <w:rsid w:val="5277467D"/>
    <w:rsid w:val="527A362B"/>
    <w:rsid w:val="527F36C2"/>
    <w:rsid w:val="528943B0"/>
    <w:rsid w:val="528B5B58"/>
    <w:rsid w:val="528E4E35"/>
    <w:rsid w:val="52954B38"/>
    <w:rsid w:val="52990A97"/>
    <w:rsid w:val="52A048D2"/>
    <w:rsid w:val="52A35472"/>
    <w:rsid w:val="52A5743C"/>
    <w:rsid w:val="52AA6800"/>
    <w:rsid w:val="52AD52B2"/>
    <w:rsid w:val="52C13B4A"/>
    <w:rsid w:val="52C5188C"/>
    <w:rsid w:val="52CC1D29"/>
    <w:rsid w:val="52D25D57"/>
    <w:rsid w:val="52D33E80"/>
    <w:rsid w:val="52D64DC6"/>
    <w:rsid w:val="52D7336D"/>
    <w:rsid w:val="52D96CF8"/>
    <w:rsid w:val="52E55A8A"/>
    <w:rsid w:val="52F61A46"/>
    <w:rsid w:val="53050450"/>
    <w:rsid w:val="53065A01"/>
    <w:rsid w:val="530B03CD"/>
    <w:rsid w:val="530C3017"/>
    <w:rsid w:val="531427A3"/>
    <w:rsid w:val="531719BC"/>
    <w:rsid w:val="53193986"/>
    <w:rsid w:val="53210083"/>
    <w:rsid w:val="53234805"/>
    <w:rsid w:val="53285977"/>
    <w:rsid w:val="532E7431"/>
    <w:rsid w:val="532F6D06"/>
    <w:rsid w:val="53310CD0"/>
    <w:rsid w:val="533407C0"/>
    <w:rsid w:val="53346A12"/>
    <w:rsid w:val="533E33EC"/>
    <w:rsid w:val="533F44DF"/>
    <w:rsid w:val="533F6EA0"/>
    <w:rsid w:val="53400F13"/>
    <w:rsid w:val="53446C55"/>
    <w:rsid w:val="534D3630"/>
    <w:rsid w:val="534F73A8"/>
    <w:rsid w:val="53513120"/>
    <w:rsid w:val="53563C96"/>
    <w:rsid w:val="53566988"/>
    <w:rsid w:val="535D6353"/>
    <w:rsid w:val="53644E8F"/>
    <w:rsid w:val="53672943"/>
    <w:rsid w:val="536C61AC"/>
    <w:rsid w:val="53740BBC"/>
    <w:rsid w:val="53764934"/>
    <w:rsid w:val="537E5666"/>
    <w:rsid w:val="53826598"/>
    <w:rsid w:val="53890B0C"/>
    <w:rsid w:val="538C5F06"/>
    <w:rsid w:val="538E6122"/>
    <w:rsid w:val="538F119C"/>
    <w:rsid w:val="538F59F6"/>
    <w:rsid w:val="5392337A"/>
    <w:rsid w:val="53942B34"/>
    <w:rsid w:val="53966D85"/>
    <w:rsid w:val="53A2229D"/>
    <w:rsid w:val="53A3337E"/>
    <w:rsid w:val="53A45945"/>
    <w:rsid w:val="53A56260"/>
    <w:rsid w:val="53A92F5C"/>
    <w:rsid w:val="53AB0A82"/>
    <w:rsid w:val="53B33E09"/>
    <w:rsid w:val="53BA6F17"/>
    <w:rsid w:val="53BB4A3D"/>
    <w:rsid w:val="53BC0116"/>
    <w:rsid w:val="53C25DCC"/>
    <w:rsid w:val="53C733E2"/>
    <w:rsid w:val="53CB5C3E"/>
    <w:rsid w:val="53D224B3"/>
    <w:rsid w:val="53D63625"/>
    <w:rsid w:val="53D77AC9"/>
    <w:rsid w:val="53DD49B3"/>
    <w:rsid w:val="53DE61DE"/>
    <w:rsid w:val="53E60D22"/>
    <w:rsid w:val="53E74ED5"/>
    <w:rsid w:val="53F04C61"/>
    <w:rsid w:val="53F51CFD"/>
    <w:rsid w:val="540262EE"/>
    <w:rsid w:val="54040192"/>
    <w:rsid w:val="54043FB8"/>
    <w:rsid w:val="540463E4"/>
    <w:rsid w:val="54047EF9"/>
    <w:rsid w:val="54071A30"/>
    <w:rsid w:val="54077C82"/>
    <w:rsid w:val="54181E8F"/>
    <w:rsid w:val="54256F44"/>
    <w:rsid w:val="5426635A"/>
    <w:rsid w:val="543C16DA"/>
    <w:rsid w:val="543D5452"/>
    <w:rsid w:val="543E18F6"/>
    <w:rsid w:val="543F11CA"/>
    <w:rsid w:val="54422A68"/>
    <w:rsid w:val="544B5DC1"/>
    <w:rsid w:val="545253A1"/>
    <w:rsid w:val="54596730"/>
    <w:rsid w:val="545A6004"/>
    <w:rsid w:val="545C624B"/>
    <w:rsid w:val="545C7FCE"/>
    <w:rsid w:val="545E3D46"/>
    <w:rsid w:val="54617393"/>
    <w:rsid w:val="54694499"/>
    <w:rsid w:val="546B0211"/>
    <w:rsid w:val="5472334E"/>
    <w:rsid w:val="54770964"/>
    <w:rsid w:val="54776BB6"/>
    <w:rsid w:val="547A0454"/>
    <w:rsid w:val="547E6196"/>
    <w:rsid w:val="547F1643"/>
    <w:rsid w:val="54866DF9"/>
    <w:rsid w:val="548F2152"/>
    <w:rsid w:val="549239F0"/>
    <w:rsid w:val="549332C4"/>
    <w:rsid w:val="549F7EBB"/>
    <w:rsid w:val="54A02118"/>
    <w:rsid w:val="54AF5068"/>
    <w:rsid w:val="54B24092"/>
    <w:rsid w:val="54B46054"/>
    <w:rsid w:val="54B716A8"/>
    <w:rsid w:val="54BC281B"/>
    <w:rsid w:val="54C16083"/>
    <w:rsid w:val="54C3004D"/>
    <w:rsid w:val="54C600BA"/>
    <w:rsid w:val="54C811C0"/>
    <w:rsid w:val="54C94F38"/>
    <w:rsid w:val="54CC5154"/>
    <w:rsid w:val="54CF69F2"/>
    <w:rsid w:val="54D77655"/>
    <w:rsid w:val="54DD329B"/>
    <w:rsid w:val="54F153B4"/>
    <w:rsid w:val="54F223EE"/>
    <w:rsid w:val="54F2623D"/>
    <w:rsid w:val="55006BAB"/>
    <w:rsid w:val="550541C2"/>
    <w:rsid w:val="55061CA9"/>
    <w:rsid w:val="55061CE8"/>
    <w:rsid w:val="550A7A2A"/>
    <w:rsid w:val="550D4D66"/>
    <w:rsid w:val="550F5041"/>
    <w:rsid w:val="551268DF"/>
    <w:rsid w:val="55175CA3"/>
    <w:rsid w:val="551B39E5"/>
    <w:rsid w:val="551D779F"/>
    <w:rsid w:val="551E5284"/>
    <w:rsid w:val="55254864"/>
    <w:rsid w:val="5527238A"/>
    <w:rsid w:val="552F7491"/>
    <w:rsid w:val="55306D65"/>
    <w:rsid w:val="55326F81"/>
    <w:rsid w:val="553D3F2D"/>
    <w:rsid w:val="553E0490"/>
    <w:rsid w:val="554F368F"/>
    <w:rsid w:val="55550088"/>
    <w:rsid w:val="55557852"/>
    <w:rsid w:val="555667CB"/>
    <w:rsid w:val="5559450E"/>
    <w:rsid w:val="55607E28"/>
    <w:rsid w:val="556233C2"/>
    <w:rsid w:val="5563538C"/>
    <w:rsid w:val="55672B46"/>
    <w:rsid w:val="55705593"/>
    <w:rsid w:val="55713605"/>
    <w:rsid w:val="55734575"/>
    <w:rsid w:val="55782BE6"/>
    <w:rsid w:val="5579591C"/>
    <w:rsid w:val="557B0928"/>
    <w:rsid w:val="557D4AFD"/>
    <w:rsid w:val="55841BAC"/>
    <w:rsid w:val="558C48E3"/>
    <w:rsid w:val="558F6181"/>
    <w:rsid w:val="55A25EB5"/>
    <w:rsid w:val="55A32FF3"/>
    <w:rsid w:val="55AE4859"/>
    <w:rsid w:val="55B0795F"/>
    <w:rsid w:val="55C0458D"/>
    <w:rsid w:val="55C20305"/>
    <w:rsid w:val="55CD4B1F"/>
    <w:rsid w:val="55D6790C"/>
    <w:rsid w:val="55DB4154"/>
    <w:rsid w:val="55DD6EED"/>
    <w:rsid w:val="55E1504F"/>
    <w:rsid w:val="55E738C7"/>
    <w:rsid w:val="55E77D6B"/>
    <w:rsid w:val="55E87337"/>
    <w:rsid w:val="55F34962"/>
    <w:rsid w:val="55F45FE4"/>
    <w:rsid w:val="55F466D7"/>
    <w:rsid w:val="55F85AD5"/>
    <w:rsid w:val="5604091D"/>
    <w:rsid w:val="56075848"/>
    <w:rsid w:val="561072C2"/>
    <w:rsid w:val="561623FF"/>
    <w:rsid w:val="5627460C"/>
    <w:rsid w:val="562960BC"/>
    <w:rsid w:val="562C3A54"/>
    <w:rsid w:val="5633546E"/>
    <w:rsid w:val="563B3C13"/>
    <w:rsid w:val="563E36FF"/>
    <w:rsid w:val="563F3703"/>
    <w:rsid w:val="564151D8"/>
    <w:rsid w:val="564175F1"/>
    <w:rsid w:val="56417C4B"/>
    <w:rsid w:val="56440D1A"/>
    <w:rsid w:val="564451BE"/>
    <w:rsid w:val="56496330"/>
    <w:rsid w:val="564B20A8"/>
    <w:rsid w:val="564B6ED4"/>
    <w:rsid w:val="56502273"/>
    <w:rsid w:val="56503B63"/>
    <w:rsid w:val="56570A4D"/>
    <w:rsid w:val="566040EB"/>
    <w:rsid w:val="566118CC"/>
    <w:rsid w:val="5664316A"/>
    <w:rsid w:val="56647D97"/>
    <w:rsid w:val="56665134"/>
    <w:rsid w:val="56694C24"/>
    <w:rsid w:val="566B62A7"/>
    <w:rsid w:val="566C201F"/>
    <w:rsid w:val="566D64C3"/>
    <w:rsid w:val="566E3FE9"/>
    <w:rsid w:val="566F62EF"/>
    <w:rsid w:val="56792E82"/>
    <w:rsid w:val="56813D1C"/>
    <w:rsid w:val="56861332"/>
    <w:rsid w:val="56890E23"/>
    <w:rsid w:val="5689534B"/>
    <w:rsid w:val="56900AED"/>
    <w:rsid w:val="569577C7"/>
    <w:rsid w:val="569752EE"/>
    <w:rsid w:val="569A4DDE"/>
    <w:rsid w:val="56A63783"/>
    <w:rsid w:val="56B55774"/>
    <w:rsid w:val="56BC6CDA"/>
    <w:rsid w:val="56C360E3"/>
    <w:rsid w:val="56D227CA"/>
    <w:rsid w:val="56D46542"/>
    <w:rsid w:val="56D7393C"/>
    <w:rsid w:val="56E524FD"/>
    <w:rsid w:val="56ED13B1"/>
    <w:rsid w:val="56F20776"/>
    <w:rsid w:val="56F444EE"/>
    <w:rsid w:val="56F47850"/>
    <w:rsid w:val="56F72230"/>
    <w:rsid w:val="56F7330C"/>
    <w:rsid w:val="56FD0000"/>
    <w:rsid w:val="56FE35BF"/>
    <w:rsid w:val="57081D47"/>
    <w:rsid w:val="57102608"/>
    <w:rsid w:val="57160908"/>
    <w:rsid w:val="571A005F"/>
    <w:rsid w:val="571C3A45"/>
    <w:rsid w:val="572172AD"/>
    <w:rsid w:val="572648C3"/>
    <w:rsid w:val="57272B15"/>
    <w:rsid w:val="57282ED4"/>
    <w:rsid w:val="572F3778"/>
    <w:rsid w:val="57405985"/>
    <w:rsid w:val="57432CFF"/>
    <w:rsid w:val="574472CC"/>
    <w:rsid w:val="575256B8"/>
    <w:rsid w:val="57546EDB"/>
    <w:rsid w:val="57566F57"/>
    <w:rsid w:val="575B631B"/>
    <w:rsid w:val="575D6537"/>
    <w:rsid w:val="575E5E0B"/>
    <w:rsid w:val="57636ED5"/>
    <w:rsid w:val="576B22D6"/>
    <w:rsid w:val="57713D91"/>
    <w:rsid w:val="57742FA3"/>
    <w:rsid w:val="5774562F"/>
    <w:rsid w:val="577E46FF"/>
    <w:rsid w:val="578566B5"/>
    <w:rsid w:val="5785783C"/>
    <w:rsid w:val="5789732C"/>
    <w:rsid w:val="578D1B23"/>
    <w:rsid w:val="57A024A6"/>
    <w:rsid w:val="57A10134"/>
    <w:rsid w:val="57A27CE8"/>
    <w:rsid w:val="57A44166"/>
    <w:rsid w:val="57B27F05"/>
    <w:rsid w:val="57B328E2"/>
    <w:rsid w:val="57B91294"/>
    <w:rsid w:val="57B95737"/>
    <w:rsid w:val="57C33EC0"/>
    <w:rsid w:val="57C57C38"/>
    <w:rsid w:val="57C77E54"/>
    <w:rsid w:val="57CA34A1"/>
    <w:rsid w:val="57D12A81"/>
    <w:rsid w:val="57E00F16"/>
    <w:rsid w:val="57E24C8E"/>
    <w:rsid w:val="57EE718F"/>
    <w:rsid w:val="57F02763"/>
    <w:rsid w:val="57F10A2D"/>
    <w:rsid w:val="5805272B"/>
    <w:rsid w:val="58136BF6"/>
    <w:rsid w:val="58160494"/>
    <w:rsid w:val="581A7F84"/>
    <w:rsid w:val="581C7EDC"/>
    <w:rsid w:val="581D1822"/>
    <w:rsid w:val="581D7A74"/>
    <w:rsid w:val="581F559B"/>
    <w:rsid w:val="582073EB"/>
    <w:rsid w:val="58257B78"/>
    <w:rsid w:val="5829466B"/>
    <w:rsid w:val="582B03E3"/>
    <w:rsid w:val="58304C11"/>
    <w:rsid w:val="5834531F"/>
    <w:rsid w:val="58360B36"/>
    <w:rsid w:val="583B614D"/>
    <w:rsid w:val="5842572D"/>
    <w:rsid w:val="584274DB"/>
    <w:rsid w:val="58456997"/>
    <w:rsid w:val="5846521D"/>
    <w:rsid w:val="58490869"/>
    <w:rsid w:val="584A41F8"/>
    <w:rsid w:val="584C5771"/>
    <w:rsid w:val="584E40D2"/>
    <w:rsid w:val="584E5E80"/>
    <w:rsid w:val="5855720E"/>
    <w:rsid w:val="585A65D3"/>
    <w:rsid w:val="58607961"/>
    <w:rsid w:val="5862192B"/>
    <w:rsid w:val="586236D9"/>
    <w:rsid w:val="58647451"/>
    <w:rsid w:val="586B07E0"/>
    <w:rsid w:val="586C6306"/>
    <w:rsid w:val="586E2300"/>
    <w:rsid w:val="5870229A"/>
    <w:rsid w:val="5875165E"/>
    <w:rsid w:val="587A4EC7"/>
    <w:rsid w:val="587E2954"/>
    <w:rsid w:val="58833922"/>
    <w:rsid w:val="5883579D"/>
    <w:rsid w:val="58883BC4"/>
    <w:rsid w:val="588C1901"/>
    <w:rsid w:val="58937D37"/>
    <w:rsid w:val="589715D5"/>
    <w:rsid w:val="589C308F"/>
    <w:rsid w:val="58A41F44"/>
    <w:rsid w:val="58AC2AE0"/>
    <w:rsid w:val="58AD0DF8"/>
    <w:rsid w:val="58AE691E"/>
    <w:rsid w:val="58B24661"/>
    <w:rsid w:val="58B50975"/>
    <w:rsid w:val="58B73A25"/>
    <w:rsid w:val="58BC17DB"/>
    <w:rsid w:val="58BF0B2C"/>
    <w:rsid w:val="58CD149A"/>
    <w:rsid w:val="58D07FAA"/>
    <w:rsid w:val="58D26AB1"/>
    <w:rsid w:val="58D35C1E"/>
    <w:rsid w:val="58D476E0"/>
    <w:rsid w:val="58DA3BB7"/>
    <w:rsid w:val="58DA5965"/>
    <w:rsid w:val="58DC3DDA"/>
    <w:rsid w:val="58DE5456"/>
    <w:rsid w:val="58F85DEC"/>
    <w:rsid w:val="590429E2"/>
    <w:rsid w:val="59097FF9"/>
    <w:rsid w:val="592B4413"/>
    <w:rsid w:val="593212FE"/>
    <w:rsid w:val="5932754F"/>
    <w:rsid w:val="593908DE"/>
    <w:rsid w:val="593F3679"/>
    <w:rsid w:val="594243CD"/>
    <w:rsid w:val="59457283"/>
    <w:rsid w:val="59492A03"/>
    <w:rsid w:val="594B23BF"/>
    <w:rsid w:val="594D6137"/>
    <w:rsid w:val="594E7882"/>
    <w:rsid w:val="59584F92"/>
    <w:rsid w:val="595A2602"/>
    <w:rsid w:val="59671525"/>
    <w:rsid w:val="59690710"/>
    <w:rsid w:val="596A669D"/>
    <w:rsid w:val="596D4A2C"/>
    <w:rsid w:val="59727F77"/>
    <w:rsid w:val="59747B68"/>
    <w:rsid w:val="597731B4"/>
    <w:rsid w:val="597B0EF6"/>
    <w:rsid w:val="597E09E7"/>
    <w:rsid w:val="597E215D"/>
    <w:rsid w:val="59851D75"/>
    <w:rsid w:val="59861649"/>
    <w:rsid w:val="598F6750"/>
    <w:rsid w:val="59970E63"/>
    <w:rsid w:val="59A26483"/>
    <w:rsid w:val="59AF58EE"/>
    <w:rsid w:val="59B2243E"/>
    <w:rsid w:val="59B26362"/>
    <w:rsid w:val="59B46F19"/>
    <w:rsid w:val="59B52CDE"/>
    <w:rsid w:val="59BE0DE3"/>
    <w:rsid w:val="59C02DAD"/>
    <w:rsid w:val="59CF1242"/>
    <w:rsid w:val="59D17F1B"/>
    <w:rsid w:val="59DD395F"/>
    <w:rsid w:val="59DE1485"/>
    <w:rsid w:val="59E52814"/>
    <w:rsid w:val="59F36CDF"/>
    <w:rsid w:val="59F5604A"/>
    <w:rsid w:val="59F5704C"/>
    <w:rsid w:val="59F82547"/>
    <w:rsid w:val="59FE7432"/>
    <w:rsid w:val="5A0116A6"/>
    <w:rsid w:val="5A025FF8"/>
    <w:rsid w:val="5A083F27"/>
    <w:rsid w:val="5A0C699F"/>
    <w:rsid w:val="5A0C7EBC"/>
    <w:rsid w:val="5A105AE3"/>
    <w:rsid w:val="5A113609"/>
    <w:rsid w:val="5A143253"/>
    <w:rsid w:val="5A174EA1"/>
    <w:rsid w:val="5A191F5F"/>
    <w:rsid w:val="5A1A1AF5"/>
    <w:rsid w:val="5A272E2C"/>
    <w:rsid w:val="5A292701"/>
    <w:rsid w:val="5A2A3236"/>
    <w:rsid w:val="5A2A6479"/>
    <w:rsid w:val="5A2C3F9F"/>
    <w:rsid w:val="5A2F3A8F"/>
    <w:rsid w:val="5A3612C1"/>
    <w:rsid w:val="5A36306F"/>
    <w:rsid w:val="5A4532B2"/>
    <w:rsid w:val="5A4C2893"/>
    <w:rsid w:val="5A4D79BC"/>
    <w:rsid w:val="5A53777D"/>
    <w:rsid w:val="5A544D62"/>
    <w:rsid w:val="5A5534F6"/>
    <w:rsid w:val="5A584D94"/>
    <w:rsid w:val="5A5A6D5E"/>
    <w:rsid w:val="5A5F6122"/>
    <w:rsid w:val="5A6032E5"/>
    <w:rsid w:val="5A663955"/>
    <w:rsid w:val="5A673229"/>
    <w:rsid w:val="5A690D4F"/>
    <w:rsid w:val="5A6B0F6B"/>
    <w:rsid w:val="5A6C083F"/>
    <w:rsid w:val="5A722EBF"/>
    <w:rsid w:val="5A731BCE"/>
    <w:rsid w:val="5A736072"/>
    <w:rsid w:val="5A7616BE"/>
    <w:rsid w:val="5A792AB2"/>
    <w:rsid w:val="5A7B0A82"/>
    <w:rsid w:val="5A8E07B6"/>
    <w:rsid w:val="5A932270"/>
    <w:rsid w:val="5A9658BC"/>
    <w:rsid w:val="5AA2037E"/>
    <w:rsid w:val="5AA224B3"/>
    <w:rsid w:val="5AA45E40"/>
    <w:rsid w:val="5AA61FA3"/>
    <w:rsid w:val="5AA65F0D"/>
    <w:rsid w:val="5AA9356E"/>
    <w:rsid w:val="5AAB1367"/>
    <w:rsid w:val="5AAB6002"/>
    <w:rsid w:val="5AB04BD0"/>
    <w:rsid w:val="5AB20948"/>
    <w:rsid w:val="5ABD72ED"/>
    <w:rsid w:val="5AC42429"/>
    <w:rsid w:val="5AC62645"/>
    <w:rsid w:val="5AC93EE4"/>
    <w:rsid w:val="5AD22D98"/>
    <w:rsid w:val="5AD308BE"/>
    <w:rsid w:val="5AD44AB6"/>
    <w:rsid w:val="5AD85ED5"/>
    <w:rsid w:val="5ADA39FB"/>
    <w:rsid w:val="5AE40D1D"/>
    <w:rsid w:val="5AE5729C"/>
    <w:rsid w:val="5AE64A95"/>
    <w:rsid w:val="5AE8437A"/>
    <w:rsid w:val="5AEE394A"/>
    <w:rsid w:val="5AEF428F"/>
    <w:rsid w:val="5AF67710"/>
    <w:rsid w:val="5AFC6067"/>
    <w:rsid w:val="5B062A42"/>
    <w:rsid w:val="5B0867BA"/>
    <w:rsid w:val="5B117268"/>
    <w:rsid w:val="5B13515F"/>
    <w:rsid w:val="5B174C4F"/>
    <w:rsid w:val="5B1F14E9"/>
    <w:rsid w:val="5B215ACE"/>
    <w:rsid w:val="5B24111A"/>
    <w:rsid w:val="5B2A6DFE"/>
    <w:rsid w:val="5B2F5BD6"/>
    <w:rsid w:val="5B313B2D"/>
    <w:rsid w:val="5B331092"/>
    <w:rsid w:val="5B3752F1"/>
    <w:rsid w:val="5B395EEC"/>
    <w:rsid w:val="5B3A26EB"/>
    <w:rsid w:val="5B3E042E"/>
    <w:rsid w:val="5B430FD1"/>
    <w:rsid w:val="5B4377F2"/>
    <w:rsid w:val="5B4A5024"/>
    <w:rsid w:val="5B4B66A7"/>
    <w:rsid w:val="5B4C1282"/>
    <w:rsid w:val="5B4D0671"/>
    <w:rsid w:val="5B4D20E9"/>
    <w:rsid w:val="5B5E287E"/>
    <w:rsid w:val="5B5F2152"/>
    <w:rsid w:val="5B61236E"/>
    <w:rsid w:val="5B661732"/>
    <w:rsid w:val="5B6A7E5A"/>
    <w:rsid w:val="5B7A551A"/>
    <w:rsid w:val="5B800A46"/>
    <w:rsid w:val="5B863B83"/>
    <w:rsid w:val="5B8A3673"/>
    <w:rsid w:val="5B8A5A75"/>
    <w:rsid w:val="5B8A7E0B"/>
    <w:rsid w:val="5B8F47E5"/>
    <w:rsid w:val="5B90055D"/>
    <w:rsid w:val="5B953DC6"/>
    <w:rsid w:val="5B955B74"/>
    <w:rsid w:val="5B97061F"/>
    <w:rsid w:val="5BA34735"/>
    <w:rsid w:val="5BA65FD3"/>
    <w:rsid w:val="5BA87F9D"/>
    <w:rsid w:val="5BA91948"/>
    <w:rsid w:val="5BAF30D9"/>
    <w:rsid w:val="5BB71F8E"/>
    <w:rsid w:val="5BBE0F32"/>
    <w:rsid w:val="5BBE156E"/>
    <w:rsid w:val="5BC621D1"/>
    <w:rsid w:val="5BCD17B1"/>
    <w:rsid w:val="5BCE7A03"/>
    <w:rsid w:val="5BD112A2"/>
    <w:rsid w:val="5BD13050"/>
    <w:rsid w:val="5BD42B40"/>
    <w:rsid w:val="5BD668B8"/>
    <w:rsid w:val="5BD87357"/>
    <w:rsid w:val="5BE508A9"/>
    <w:rsid w:val="5BEF1728"/>
    <w:rsid w:val="5BF136F2"/>
    <w:rsid w:val="5BF154A0"/>
    <w:rsid w:val="5BF94355"/>
    <w:rsid w:val="5BFB00CD"/>
    <w:rsid w:val="5C043425"/>
    <w:rsid w:val="5C074CC3"/>
    <w:rsid w:val="5C0E2FD3"/>
    <w:rsid w:val="5C0F1AD7"/>
    <w:rsid w:val="5C110814"/>
    <w:rsid w:val="5C125416"/>
    <w:rsid w:val="5C1C1489"/>
    <w:rsid w:val="5C1E200D"/>
    <w:rsid w:val="5C207D29"/>
    <w:rsid w:val="5C274245"/>
    <w:rsid w:val="5C2A2760"/>
    <w:rsid w:val="5C2A6C04"/>
    <w:rsid w:val="5C2F1CE3"/>
    <w:rsid w:val="5C3655A9"/>
    <w:rsid w:val="5C3830CF"/>
    <w:rsid w:val="5C392FF7"/>
    <w:rsid w:val="5C3E620B"/>
    <w:rsid w:val="5C401F83"/>
    <w:rsid w:val="5C403D31"/>
    <w:rsid w:val="5C446120"/>
    <w:rsid w:val="5C487FF6"/>
    <w:rsid w:val="5C49708A"/>
    <w:rsid w:val="5C4B1054"/>
    <w:rsid w:val="5C4C26D6"/>
    <w:rsid w:val="5C515F3F"/>
    <w:rsid w:val="5C5F68AD"/>
    <w:rsid w:val="5C702869"/>
    <w:rsid w:val="5C797243"/>
    <w:rsid w:val="5C7B08EC"/>
    <w:rsid w:val="5C7D31D8"/>
    <w:rsid w:val="5C8005D2"/>
    <w:rsid w:val="5C806824"/>
    <w:rsid w:val="5C814A76"/>
    <w:rsid w:val="5C841E70"/>
    <w:rsid w:val="5C846314"/>
    <w:rsid w:val="5C86208C"/>
    <w:rsid w:val="5C8C33F3"/>
    <w:rsid w:val="5C910A31"/>
    <w:rsid w:val="5C912AD3"/>
    <w:rsid w:val="5C930305"/>
    <w:rsid w:val="5C9B365E"/>
    <w:rsid w:val="5C9D2F32"/>
    <w:rsid w:val="5C9F4EFC"/>
    <w:rsid w:val="5CAD6132"/>
    <w:rsid w:val="5CB85FBE"/>
    <w:rsid w:val="5CBA37D5"/>
    <w:rsid w:val="5CBC0CD0"/>
    <w:rsid w:val="5CBC5AAE"/>
    <w:rsid w:val="5CC74453"/>
    <w:rsid w:val="5CC901CB"/>
    <w:rsid w:val="5CCA2272"/>
    <w:rsid w:val="5CD728E8"/>
    <w:rsid w:val="5CE943C9"/>
    <w:rsid w:val="5CEE7C31"/>
    <w:rsid w:val="5CF0225B"/>
    <w:rsid w:val="5CF36FF6"/>
    <w:rsid w:val="5CF772D0"/>
    <w:rsid w:val="5D02548B"/>
    <w:rsid w:val="5D0D6309"/>
    <w:rsid w:val="5D0E5BDE"/>
    <w:rsid w:val="5D131446"/>
    <w:rsid w:val="5D1458EA"/>
    <w:rsid w:val="5D261179"/>
    <w:rsid w:val="5D290C69"/>
    <w:rsid w:val="5D2B49C1"/>
    <w:rsid w:val="5D2C2DE7"/>
    <w:rsid w:val="5D2C3FDA"/>
    <w:rsid w:val="5D301FF8"/>
    <w:rsid w:val="5D3078A7"/>
    <w:rsid w:val="5D347D3A"/>
    <w:rsid w:val="5D3A6B95"/>
    <w:rsid w:val="5D3F63CF"/>
    <w:rsid w:val="5D3F6DF8"/>
    <w:rsid w:val="5D490595"/>
    <w:rsid w:val="5D4B5084"/>
    <w:rsid w:val="5D4D517E"/>
    <w:rsid w:val="5D4E0349"/>
    <w:rsid w:val="5D4E247E"/>
    <w:rsid w:val="5D537A94"/>
    <w:rsid w:val="5D5E0913"/>
    <w:rsid w:val="5D6323CD"/>
    <w:rsid w:val="5D663C6C"/>
    <w:rsid w:val="5D6D6DA8"/>
    <w:rsid w:val="5D6F6C11"/>
    <w:rsid w:val="5D704AEA"/>
    <w:rsid w:val="5D720862"/>
    <w:rsid w:val="5D722610"/>
    <w:rsid w:val="5D72765A"/>
    <w:rsid w:val="5D83037A"/>
    <w:rsid w:val="5D845EA0"/>
    <w:rsid w:val="5D8E72CD"/>
    <w:rsid w:val="5D914036"/>
    <w:rsid w:val="5D916C44"/>
    <w:rsid w:val="5D931564"/>
    <w:rsid w:val="5D99435E"/>
    <w:rsid w:val="5DA54794"/>
    <w:rsid w:val="5DAF5613"/>
    <w:rsid w:val="5DBC388C"/>
    <w:rsid w:val="5DC42740"/>
    <w:rsid w:val="5DC47A95"/>
    <w:rsid w:val="5DC82230"/>
    <w:rsid w:val="5DCA09A3"/>
    <w:rsid w:val="5DCA30CB"/>
    <w:rsid w:val="5DD80D6D"/>
    <w:rsid w:val="5DD92690"/>
    <w:rsid w:val="5DD9443E"/>
    <w:rsid w:val="5DE132F2"/>
    <w:rsid w:val="5DEA21A7"/>
    <w:rsid w:val="5DFB43B4"/>
    <w:rsid w:val="5DFC3365"/>
    <w:rsid w:val="5DFD06C9"/>
    <w:rsid w:val="5DFD224D"/>
    <w:rsid w:val="5E005E6E"/>
    <w:rsid w:val="5E012292"/>
    <w:rsid w:val="5E056FE1"/>
    <w:rsid w:val="5E08087F"/>
    <w:rsid w:val="5E13008D"/>
    <w:rsid w:val="5E134804"/>
    <w:rsid w:val="5E1C432A"/>
    <w:rsid w:val="5E1E4546"/>
    <w:rsid w:val="5E2376F0"/>
    <w:rsid w:val="5E24096A"/>
    <w:rsid w:val="5E2A4C99"/>
    <w:rsid w:val="5E2B3C63"/>
    <w:rsid w:val="5E2E29DB"/>
    <w:rsid w:val="5E2E7DDC"/>
    <w:rsid w:val="5E323267"/>
    <w:rsid w:val="5E391380"/>
    <w:rsid w:val="5E435D5B"/>
    <w:rsid w:val="5E437B09"/>
    <w:rsid w:val="5E4F4700"/>
    <w:rsid w:val="5E5341F0"/>
    <w:rsid w:val="5E543AC4"/>
    <w:rsid w:val="5E602469"/>
    <w:rsid w:val="5E624433"/>
    <w:rsid w:val="5E6C3504"/>
    <w:rsid w:val="5E70077B"/>
    <w:rsid w:val="5E710B1A"/>
    <w:rsid w:val="5E744166"/>
    <w:rsid w:val="5E7B138A"/>
    <w:rsid w:val="5E7E05A8"/>
    <w:rsid w:val="5E8343A9"/>
    <w:rsid w:val="5E8D407E"/>
    <w:rsid w:val="5E923538"/>
    <w:rsid w:val="5E9367AF"/>
    <w:rsid w:val="5E940365"/>
    <w:rsid w:val="5E945FB1"/>
    <w:rsid w:val="5E9842F9"/>
    <w:rsid w:val="5E9B16F3"/>
    <w:rsid w:val="5EA44A4C"/>
    <w:rsid w:val="5EA54320"/>
    <w:rsid w:val="5EB32EE1"/>
    <w:rsid w:val="5EB6477F"/>
    <w:rsid w:val="5EB654B8"/>
    <w:rsid w:val="5EB804F7"/>
    <w:rsid w:val="5EC41734"/>
    <w:rsid w:val="5EC647D8"/>
    <w:rsid w:val="5ECA3D86"/>
    <w:rsid w:val="5ECB022A"/>
    <w:rsid w:val="5ECE1AC8"/>
    <w:rsid w:val="5ED1434E"/>
    <w:rsid w:val="5ED46D7C"/>
    <w:rsid w:val="5EE237C6"/>
    <w:rsid w:val="5EE44E48"/>
    <w:rsid w:val="5EE578F7"/>
    <w:rsid w:val="5EEC01A1"/>
    <w:rsid w:val="5EF20CBE"/>
    <w:rsid w:val="5EF62DCD"/>
    <w:rsid w:val="5EF6690E"/>
    <w:rsid w:val="5EF744FF"/>
    <w:rsid w:val="5EF91B98"/>
    <w:rsid w:val="5EFA0BD9"/>
    <w:rsid w:val="5F092B01"/>
    <w:rsid w:val="5F0A5107"/>
    <w:rsid w:val="5F0D0843"/>
    <w:rsid w:val="5F1119B5"/>
    <w:rsid w:val="5F1C0A86"/>
    <w:rsid w:val="5F1F168D"/>
    <w:rsid w:val="5F221E14"/>
    <w:rsid w:val="5F277E42"/>
    <w:rsid w:val="5F285AE4"/>
    <w:rsid w:val="5F2931A3"/>
    <w:rsid w:val="5F2E2567"/>
    <w:rsid w:val="5F322057"/>
    <w:rsid w:val="5F35040D"/>
    <w:rsid w:val="5F3E6C4E"/>
    <w:rsid w:val="5F44577A"/>
    <w:rsid w:val="5F4E6765"/>
    <w:rsid w:val="5F5244A8"/>
    <w:rsid w:val="5F546603"/>
    <w:rsid w:val="5F5521EA"/>
    <w:rsid w:val="5F557AF4"/>
    <w:rsid w:val="5F5E109E"/>
    <w:rsid w:val="5F5F64D7"/>
    <w:rsid w:val="5F622211"/>
    <w:rsid w:val="5F683CCB"/>
    <w:rsid w:val="5F6B37BB"/>
    <w:rsid w:val="5F775CBC"/>
    <w:rsid w:val="5F7C7776"/>
    <w:rsid w:val="5F7F2DC3"/>
    <w:rsid w:val="5F811044"/>
    <w:rsid w:val="5F832A75"/>
    <w:rsid w:val="5F864151"/>
    <w:rsid w:val="5F88611B"/>
    <w:rsid w:val="5F8921D2"/>
    <w:rsid w:val="5F895777"/>
    <w:rsid w:val="5F8B3350"/>
    <w:rsid w:val="5F93061C"/>
    <w:rsid w:val="5F962316"/>
    <w:rsid w:val="5F981EAB"/>
    <w:rsid w:val="5F991742"/>
    <w:rsid w:val="5F9E149B"/>
    <w:rsid w:val="5FA016B7"/>
    <w:rsid w:val="5FA35EAE"/>
    <w:rsid w:val="5FA36AB1"/>
    <w:rsid w:val="5FA75A8E"/>
    <w:rsid w:val="5FA97E40"/>
    <w:rsid w:val="5FAB005C"/>
    <w:rsid w:val="5FAB3BB8"/>
    <w:rsid w:val="5FAF3284"/>
    <w:rsid w:val="5FC15189"/>
    <w:rsid w:val="5FC52ECB"/>
    <w:rsid w:val="5FCC24AC"/>
    <w:rsid w:val="5FCC2839"/>
    <w:rsid w:val="5FD96977"/>
    <w:rsid w:val="5FDC1FC3"/>
    <w:rsid w:val="5FDE21DF"/>
    <w:rsid w:val="5FE86BBA"/>
    <w:rsid w:val="5FED2422"/>
    <w:rsid w:val="5FF20664"/>
    <w:rsid w:val="5FF7504F"/>
    <w:rsid w:val="5FFF7C33"/>
    <w:rsid w:val="60065292"/>
    <w:rsid w:val="600B1271"/>
    <w:rsid w:val="600D4872"/>
    <w:rsid w:val="60116111"/>
    <w:rsid w:val="60121E89"/>
    <w:rsid w:val="601654D5"/>
    <w:rsid w:val="6017124D"/>
    <w:rsid w:val="60183580"/>
    <w:rsid w:val="60261490"/>
    <w:rsid w:val="602816AC"/>
    <w:rsid w:val="602F2A3B"/>
    <w:rsid w:val="602F6597"/>
    <w:rsid w:val="60310B6E"/>
    <w:rsid w:val="60351B3D"/>
    <w:rsid w:val="604557D9"/>
    <w:rsid w:val="604740BC"/>
    <w:rsid w:val="60477D84"/>
    <w:rsid w:val="6051650D"/>
    <w:rsid w:val="60516DAD"/>
    <w:rsid w:val="605361DC"/>
    <w:rsid w:val="60593313"/>
    <w:rsid w:val="605B55DE"/>
    <w:rsid w:val="606502A8"/>
    <w:rsid w:val="606821DE"/>
    <w:rsid w:val="606C77EB"/>
    <w:rsid w:val="606D5311"/>
    <w:rsid w:val="6074044E"/>
    <w:rsid w:val="607E751E"/>
    <w:rsid w:val="607F098D"/>
    <w:rsid w:val="6085265B"/>
    <w:rsid w:val="608A5EC3"/>
    <w:rsid w:val="608D150F"/>
    <w:rsid w:val="60917251"/>
    <w:rsid w:val="60A03FB7"/>
    <w:rsid w:val="60A2320D"/>
    <w:rsid w:val="60A90EDA"/>
    <w:rsid w:val="60B151FE"/>
    <w:rsid w:val="60B16A2C"/>
    <w:rsid w:val="60B8658C"/>
    <w:rsid w:val="60BB42CE"/>
    <w:rsid w:val="60BD3BA3"/>
    <w:rsid w:val="60C03693"/>
    <w:rsid w:val="60C2740B"/>
    <w:rsid w:val="60C34F31"/>
    <w:rsid w:val="60C413D5"/>
    <w:rsid w:val="60C50CA9"/>
    <w:rsid w:val="60C70EC5"/>
    <w:rsid w:val="60CC785D"/>
    <w:rsid w:val="60D4713E"/>
    <w:rsid w:val="60DA29A7"/>
    <w:rsid w:val="60DB671F"/>
    <w:rsid w:val="60E20F9A"/>
    <w:rsid w:val="60E43825"/>
    <w:rsid w:val="60F577E0"/>
    <w:rsid w:val="60FF240D"/>
    <w:rsid w:val="61016185"/>
    <w:rsid w:val="61077514"/>
    <w:rsid w:val="610B0DB2"/>
    <w:rsid w:val="61120392"/>
    <w:rsid w:val="6118702B"/>
    <w:rsid w:val="611C2FBF"/>
    <w:rsid w:val="61202EDB"/>
    <w:rsid w:val="61227EAA"/>
    <w:rsid w:val="6124191F"/>
    <w:rsid w:val="612511DF"/>
    <w:rsid w:val="61302209"/>
    <w:rsid w:val="613025C6"/>
    <w:rsid w:val="613227E3"/>
    <w:rsid w:val="613320B7"/>
    <w:rsid w:val="61357BDD"/>
    <w:rsid w:val="613A3445"/>
    <w:rsid w:val="613E2E8D"/>
    <w:rsid w:val="614147D4"/>
    <w:rsid w:val="61475B62"/>
    <w:rsid w:val="614844DF"/>
    <w:rsid w:val="614B11AE"/>
    <w:rsid w:val="6151078F"/>
    <w:rsid w:val="61573869"/>
    <w:rsid w:val="615A7643"/>
    <w:rsid w:val="61632C2C"/>
    <w:rsid w:val="61677FB2"/>
    <w:rsid w:val="6171096B"/>
    <w:rsid w:val="61750921"/>
    <w:rsid w:val="617C1CB0"/>
    <w:rsid w:val="617C3AF6"/>
    <w:rsid w:val="617F52FC"/>
    <w:rsid w:val="61930DA7"/>
    <w:rsid w:val="61970898"/>
    <w:rsid w:val="619D5782"/>
    <w:rsid w:val="61A30FEA"/>
    <w:rsid w:val="61A66D2D"/>
    <w:rsid w:val="61AD3F9D"/>
    <w:rsid w:val="61B054B5"/>
    <w:rsid w:val="61B158E9"/>
    <w:rsid w:val="61BD7BD2"/>
    <w:rsid w:val="61C827FF"/>
    <w:rsid w:val="61D405F2"/>
    <w:rsid w:val="61D70C94"/>
    <w:rsid w:val="61D94A0C"/>
    <w:rsid w:val="61DC6C34"/>
    <w:rsid w:val="61DE64C6"/>
    <w:rsid w:val="61DF7FF8"/>
    <w:rsid w:val="61E457C0"/>
    <w:rsid w:val="61F71336"/>
    <w:rsid w:val="61FA0D2D"/>
    <w:rsid w:val="61FA38FE"/>
    <w:rsid w:val="62005F5D"/>
    <w:rsid w:val="620121B5"/>
    <w:rsid w:val="62033520"/>
    <w:rsid w:val="620677CB"/>
    <w:rsid w:val="620A1069"/>
    <w:rsid w:val="620F042E"/>
    <w:rsid w:val="6211064A"/>
    <w:rsid w:val="62126170"/>
    <w:rsid w:val="62170D32"/>
    <w:rsid w:val="621C2B4B"/>
    <w:rsid w:val="621C40C6"/>
    <w:rsid w:val="622342CB"/>
    <w:rsid w:val="62261C1B"/>
    <w:rsid w:val="622B7232"/>
    <w:rsid w:val="622C2116"/>
    <w:rsid w:val="622D4D58"/>
    <w:rsid w:val="6231670D"/>
    <w:rsid w:val="62350B41"/>
    <w:rsid w:val="62383234"/>
    <w:rsid w:val="623936FD"/>
    <w:rsid w:val="623E51B7"/>
    <w:rsid w:val="624144DC"/>
    <w:rsid w:val="624520A2"/>
    <w:rsid w:val="6247406C"/>
    <w:rsid w:val="624A76B8"/>
    <w:rsid w:val="624B60B8"/>
    <w:rsid w:val="624D53FA"/>
    <w:rsid w:val="625247BE"/>
    <w:rsid w:val="62540537"/>
    <w:rsid w:val="625C73EB"/>
    <w:rsid w:val="62600B75"/>
    <w:rsid w:val="62614A02"/>
    <w:rsid w:val="626F35C2"/>
    <w:rsid w:val="627110E9"/>
    <w:rsid w:val="62715EB0"/>
    <w:rsid w:val="62740BD9"/>
    <w:rsid w:val="627961EF"/>
    <w:rsid w:val="627E55B4"/>
    <w:rsid w:val="62864468"/>
    <w:rsid w:val="628801E0"/>
    <w:rsid w:val="628E2720"/>
    <w:rsid w:val="62922E0D"/>
    <w:rsid w:val="629372B1"/>
    <w:rsid w:val="62943029"/>
    <w:rsid w:val="629628FD"/>
    <w:rsid w:val="629D1EDE"/>
    <w:rsid w:val="62A0537C"/>
    <w:rsid w:val="62A56FE4"/>
    <w:rsid w:val="62A74B0A"/>
    <w:rsid w:val="62AD7C47"/>
    <w:rsid w:val="62B114E5"/>
    <w:rsid w:val="62C40A68"/>
    <w:rsid w:val="62CE2FA5"/>
    <w:rsid w:val="62D376AD"/>
    <w:rsid w:val="62D64833"/>
    <w:rsid w:val="62DB5454"/>
    <w:rsid w:val="62DF7500"/>
    <w:rsid w:val="62E55633"/>
    <w:rsid w:val="62E56F5D"/>
    <w:rsid w:val="62E719AA"/>
    <w:rsid w:val="62F04EC6"/>
    <w:rsid w:val="62F31AFE"/>
    <w:rsid w:val="62F45876"/>
    <w:rsid w:val="62FD297C"/>
    <w:rsid w:val="630930CF"/>
    <w:rsid w:val="63097573"/>
    <w:rsid w:val="63146431"/>
    <w:rsid w:val="63155F18"/>
    <w:rsid w:val="631657EC"/>
    <w:rsid w:val="63212B0F"/>
    <w:rsid w:val="63247F09"/>
    <w:rsid w:val="63280FF6"/>
    <w:rsid w:val="632E0D88"/>
    <w:rsid w:val="63304B00"/>
    <w:rsid w:val="63350368"/>
    <w:rsid w:val="633640E0"/>
    <w:rsid w:val="63387E58"/>
    <w:rsid w:val="6339083A"/>
    <w:rsid w:val="633B16F7"/>
    <w:rsid w:val="633F4D43"/>
    <w:rsid w:val="63422A85"/>
    <w:rsid w:val="63442359"/>
    <w:rsid w:val="634C56B2"/>
    <w:rsid w:val="634F1D9E"/>
    <w:rsid w:val="635263D8"/>
    <w:rsid w:val="63531A7D"/>
    <w:rsid w:val="63583D36"/>
    <w:rsid w:val="635A1B7D"/>
    <w:rsid w:val="635D166D"/>
    <w:rsid w:val="635D341B"/>
    <w:rsid w:val="6361115D"/>
    <w:rsid w:val="63663566"/>
    <w:rsid w:val="63666773"/>
    <w:rsid w:val="63682DCB"/>
    <w:rsid w:val="63685ED2"/>
    <w:rsid w:val="636B1FDC"/>
    <w:rsid w:val="636B3D8A"/>
    <w:rsid w:val="63730E90"/>
    <w:rsid w:val="63750765"/>
    <w:rsid w:val="637F327F"/>
    <w:rsid w:val="637F5EFE"/>
    <w:rsid w:val="63860BC4"/>
    <w:rsid w:val="638C5AAE"/>
    <w:rsid w:val="638F2616"/>
    <w:rsid w:val="63987CAB"/>
    <w:rsid w:val="63A23524"/>
    <w:rsid w:val="63A92B04"/>
    <w:rsid w:val="63B15692"/>
    <w:rsid w:val="63B26818"/>
    <w:rsid w:val="63B514A9"/>
    <w:rsid w:val="63B53257"/>
    <w:rsid w:val="63B76FCF"/>
    <w:rsid w:val="63BA086D"/>
    <w:rsid w:val="63BB6421"/>
    <w:rsid w:val="63BD1AE0"/>
    <w:rsid w:val="63C65464"/>
    <w:rsid w:val="63C82F8A"/>
    <w:rsid w:val="63D17247"/>
    <w:rsid w:val="63D556A7"/>
    <w:rsid w:val="63D77E29"/>
    <w:rsid w:val="63DA184F"/>
    <w:rsid w:val="63DD630A"/>
    <w:rsid w:val="63E1404C"/>
    <w:rsid w:val="63E61662"/>
    <w:rsid w:val="63E73E74"/>
    <w:rsid w:val="63E91153"/>
    <w:rsid w:val="63E94CAF"/>
    <w:rsid w:val="63EB6C79"/>
    <w:rsid w:val="63F277E9"/>
    <w:rsid w:val="63F95441"/>
    <w:rsid w:val="63FF1670"/>
    <w:rsid w:val="63FF23D3"/>
    <w:rsid w:val="64047D3A"/>
    <w:rsid w:val="64055F8C"/>
    <w:rsid w:val="64061D04"/>
    <w:rsid w:val="640A35A3"/>
    <w:rsid w:val="640B2A07"/>
    <w:rsid w:val="640D22D6"/>
    <w:rsid w:val="640D4784"/>
    <w:rsid w:val="640F3F59"/>
    <w:rsid w:val="64104931"/>
    <w:rsid w:val="641425A0"/>
    <w:rsid w:val="6416019A"/>
    <w:rsid w:val="641712CE"/>
    <w:rsid w:val="64177A6E"/>
    <w:rsid w:val="641A130C"/>
    <w:rsid w:val="641F230D"/>
    <w:rsid w:val="64200E4F"/>
    <w:rsid w:val="6421798E"/>
    <w:rsid w:val="64283A29"/>
    <w:rsid w:val="642E49EA"/>
    <w:rsid w:val="642F3009"/>
    <w:rsid w:val="64354398"/>
    <w:rsid w:val="643C74D4"/>
    <w:rsid w:val="643E4FFA"/>
    <w:rsid w:val="643F390D"/>
    <w:rsid w:val="64437AD9"/>
    <w:rsid w:val="64462101"/>
    <w:rsid w:val="64494212"/>
    <w:rsid w:val="644A7E43"/>
    <w:rsid w:val="644E1643"/>
    <w:rsid w:val="64502F80"/>
    <w:rsid w:val="64515E31"/>
    <w:rsid w:val="645A5BAC"/>
    <w:rsid w:val="645A795A"/>
    <w:rsid w:val="645E569D"/>
    <w:rsid w:val="647153D0"/>
    <w:rsid w:val="64721148"/>
    <w:rsid w:val="64744F6F"/>
    <w:rsid w:val="64760C38"/>
    <w:rsid w:val="64763953"/>
    <w:rsid w:val="64803865"/>
    <w:rsid w:val="64835103"/>
    <w:rsid w:val="64857FA9"/>
    <w:rsid w:val="648669A1"/>
    <w:rsid w:val="648A46E4"/>
    <w:rsid w:val="64947310"/>
    <w:rsid w:val="649D65BE"/>
    <w:rsid w:val="649E018F"/>
    <w:rsid w:val="64A357A5"/>
    <w:rsid w:val="64A71A33"/>
    <w:rsid w:val="64AC28AC"/>
    <w:rsid w:val="64AD2180"/>
    <w:rsid w:val="64C00105"/>
    <w:rsid w:val="64C002CD"/>
    <w:rsid w:val="64C01EB3"/>
    <w:rsid w:val="64C37BF6"/>
    <w:rsid w:val="64D63485"/>
    <w:rsid w:val="64DB0A9B"/>
    <w:rsid w:val="64DB6CED"/>
    <w:rsid w:val="64E536C8"/>
    <w:rsid w:val="64E8140A"/>
    <w:rsid w:val="64EA5182"/>
    <w:rsid w:val="64EB5977"/>
    <w:rsid w:val="64EC081F"/>
    <w:rsid w:val="64F102BF"/>
    <w:rsid w:val="64F36A43"/>
    <w:rsid w:val="64F74395"/>
    <w:rsid w:val="64FC03CA"/>
    <w:rsid w:val="65053D6A"/>
    <w:rsid w:val="651F7CFD"/>
    <w:rsid w:val="652C0CB8"/>
    <w:rsid w:val="652F7039"/>
    <w:rsid w:val="65340DFB"/>
    <w:rsid w:val="65362175"/>
    <w:rsid w:val="653A1C66"/>
    <w:rsid w:val="653A1E7A"/>
    <w:rsid w:val="653B59DE"/>
    <w:rsid w:val="653F19D0"/>
    <w:rsid w:val="653F4261"/>
    <w:rsid w:val="6545060B"/>
    <w:rsid w:val="6545683A"/>
    <w:rsid w:val="65491EA9"/>
    <w:rsid w:val="654E5711"/>
    <w:rsid w:val="65524346"/>
    <w:rsid w:val="655B7E2E"/>
    <w:rsid w:val="655D5954"/>
    <w:rsid w:val="655E6EE4"/>
    <w:rsid w:val="65600494"/>
    <w:rsid w:val="65652A5B"/>
    <w:rsid w:val="65675C6E"/>
    <w:rsid w:val="6569582C"/>
    <w:rsid w:val="65750EF0"/>
    <w:rsid w:val="65766A16"/>
    <w:rsid w:val="657F0565"/>
    <w:rsid w:val="65847385"/>
    <w:rsid w:val="6589499B"/>
    <w:rsid w:val="658A426F"/>
    <w:rsid w:val="658E6328"/>
    <w:rsid w:val="65913850"/>
    <w:rsid w:val="6592787A"/>
    <w:rsid w:val="659642BC"/>
    <w:rsid w:val="65A96DEB"/>
    <w:rsid w:val="65AA7F0D"/>
    <w:rsid w:val="65B01F28"/>
    <w:rsid w:val="65B2547C"/>
    <w:rsid w:val="65B266FE"/>
    <w:rsid w:val="65B574C0"/>
    <w:rsid w:val="65B80DDC"/>
    <w:rsid w:val="65BC08CD"/>
    <w:rsid w:val="65BC6B1F"/>
    <w:rsid w:val="65BD2836"/>
    <w:rsid w:val="65C14BBC"/>
    <w:rsid w:val="65C459D3"/>
    <w:rsid w:val="65C77271"/>
    <w:rsid w:val="65CC211B"/>
    <w:rsid w:val="65CC6636"/>
    <w:rsid w:val="65CD2ADA"/>
    <w:rsid w:val="65CE23AE"/>
    <w:rsid w:val="65D5198E"/>
    <w:rsid w:val="65D774B5"/>
    <w:rsid w:val="65DC0F6F"/>
    <w:rsid w:val="65DC2D1D"/>
    <w:rsid w:val="65DE684E"/>
    <w:rsid w:val="65DF5450"/>
    <w:rsid w:val="65E47FE5"/>
    <w:rsid w:val="65F00576"/>
    <w:rsid w:val="65FA13F5"/>
    <w:rsid w:val="660109D5"/>
    <w:rsid w:val="6603588E"/>
    <w:rsid w:val="6604531C"/>
    <w:rsid w:val="660B3602"/>
    <w:rsid w:val="66172DB0"/>
    <w:rsid w:val="661B3B4A"/>
    <w:rsid w:val="662723A4"/>
    <w:rsid w:val="66280ED6"/>
    <w:rsid w:val="6628789A"/>
    <w:rsid w:val="66291CDA"/>
    <w:rsid w:val="662B0582"/>
    <w:rsid w:val="662C6BF1"/>
    <w:rsid w:val="663366B5"/>
    <w:rsid w:val="6635067F"/>
    <w:rsid w:val="66456B14"/>
    <w:rsid w:val="664851D1"/>
    <w:rsid w:val="66507267"/>
    <w:rsid w:val="6655523D"/>
    <w:rsid w:val="666B22F3"/>
    <w:rsid w:val="666F593F"/>
    <w:rsid w:val="66700141"/>
    <w:rsid w:val="6672364C"/>
    <w:rsid w:val="667473F9"/>
    <w:rsid w:val="66761C7D"/>
    <w:rsid w:val="66794A10"/>
    <w:rsid w:val="668718AC"/>
    <w:rsid w:val="668D04BB"/>
    <w:rsid w:val="669058B5"/>
    <w:rsid w:val="669453A6"/>
    <w:rsid w:val="669929BC"/>
    <w:rsid w:val="66AA2E1B"/>
    <w:rsid w:val="66AC783F"/>
    <w:rsid w:val="66AD290B"/>
    <w:rsid w:val="66B43C9A"/>
    <w:rsid w:val="66BB5028"/>
    <w:rsid w:val="66BD1969"/>
    <w:rsid w:val="66BE5B84"/>
    <w:rsid w:val="66C90863"/>
    <w:rsid w:val="66C947F9"/>
    <w:rsid w:val="66CE47A0"/>
    <w:rsid w:val="66D35BE1"/>
    <w:rsid w:val="66DC1BAE"/>
    <w:rsid w:val="66E300DB"/>
    <w:rsid w:val="66E3351B"/>
    <w:rsid w:val="66E75E1D"/>
    <w:rsid w:val="66F75934"/>
    <w:rsid w:val="670342D9"/>
    <w:rsid w:val="670646DE"/>
    <w:rsid w:val="67095D94"/>
    <w:rsid w:val="67112E9A"/>
    <w:rsid w:val="671275A7"/>
    <w:rsid w:val="671309C0"/>
    <w:rsid w:val="671B5AC7"/>
    <w:rsid w:val="671B7875"/>
    <w:rsid w:val="671C049D"/>
    <w:rsid w:val="671F55B7"/>
    <w:rsid w:val="67336D2D"/>
    <w:rsid w:val="67351F2C"/>
    <w:rsid w:val="67380715"/>
    <w:rsid w:val="673A09E8"/>
    <w:rsid w:val="673D0897"/>
    <w:rsid w:val="673D2CB7"/>
    <w:rsid w:val="673D3C8F"/>
    <w:rsid w:val="67403A84"/>
    <w:rsid w:val="67430B73"/>
    <w:rsid w:val="67434155"/>
    <w:rsid w:val="67486190"/>
    <w:rsid w:val="674A015A"/>
    <w:rsid w:val="674C5C80"/>
    <w:rsid w:val="67513297"/>
    <w:rsid w:val="6753700F"/>
    <w:rsid w:val="675B27E4"/>
    <w:rsid w:val="675E59B4"/>
    <w:rsid w:val="675F76DF"/>
    <w:rsid w:val="67674868"/>
    <w:rsid w:val="6769250E"/>
    <w:rsid w:val="676F196F"/>
    <w:rsid w:val="67705236"/>
    <w:rsid w:val="6773145F"/>
    <w:rsid w:val="67784CC7"/>
    <w:rsid w:val="677B47B7"/>
    <w:rsid w:val="677F6056"/>
    <w:rsid w:val="6787315C"/>
    <w:rsid w:val="67892A30"/>
    <w:rsid w:val="678A67A9"/>
    <w:rsid w:val="679118E5"/>
    <w:rsid w:val="67945332"/>
    <w:rsid w:val="67966EFB"/>
    <w:rsid w:val="679B09B6"/>
    <w:rsid w:val="679B334F"/>
    <w:rsid w:val="67AB6E4B"/>
    <w:rsid w:val="67AC2BC3"/>
    <w:rsid w:val="67AC4971"/>
    <w:rsid w:val="67B37AAD"/>
    <w:rsid w:val="67B51A77"/>
    <w:rsid w:val="67B6759E"/>
    <w:rsid w:val="67C27CF0"/>
    <w:rsid w:val="67C47F0C"/>
    <w:rsid w:val="67C73559"/>
    <w:rsid w:val="67CA5017"/>
    <w:rsid w:val="67DF42D7"/>
    <w:rsid w:val="67E17915"/>
    <w:rsid w:val="67E97973"/>
    <w:rsid w:val="67EB36EB"/>
    <w:rsid w:val="67F32B5E"/>
    <w:rsid w:val="67F87BB6"/>
    <w:rsid w:val="67FD51CC"/>
    <w:rsid w:val="67FF0F45"/>
    <w:rsid w:val="68071723"/>
    <w:rsid w:val="680B5B3B"/>
    <w:rsid w:val="68112A26"/>
    <w:rsid w:val="68142C42"/>
    <w:rsid w:val="6817628E"/>
    <w:rsid w:val="681D761D"/>
    <w:rsid w:val="68264723"/>
    <w:rsid w:val="682816DB"/>
    <w:rsid w:val="68297D70"/>
    <w:rsid w:val="682D2446"/>
    <w:rsid w:val="68307BE6"/>
    <w:rsid w:val="68330BEE"/>
    <w:rsid w:val="68420E31"/>
    <w:rsid w:val="68466B73"/>
    <w:rsid w:val="6855451E"/>
    <w:rsid w:val="68570D81"/>
    <w:rsid w:val="686B482C"/>
    <w:rsid w:val="687339C1"/>
    <w:rsid w:val="6874548F"/>
    <w:rsid w:val="68761A0D"/>
    <w:rsid w:val="687731D1"/>
    <w:rsid w:val="688356D2"/>
    <w:rsid w:val="6884144A"/>
    <w:rsid w:val="688431F8"/>
    <w:rsid w:val="688A2E98"/>
    <w:rsid w:val="6897117D"/>
    <w:rsid w:val="689C49E5"/>
    <w:rsid w:val="68A324B8"/>
    <w:rsid w:val="68A35D74"/>
    <w:rsid w:val="68A37B22"/>
    <w:rsid w:val="68A76C8B"/>
    <w:rsid w:val="68AB31C8"/>
    <w:rsid w:val="68B213DE"/>
    <w:rsid w:val="68B57855"/>
    <w:rsid w:val="68BB30BE"/>
    <w:rsid w:val="68BC67E4"/>
    <w:rsid w:val="68BE0BFC"/>
    <w:rsid w:val="68BE7D5D"/>
    <w:rsid w:val="68C77CB4"/>
    <w:rsid w:val="68D67EF7"/>
    <w:rsid w:val="68DB3760"/>
    <w:rsid w:val="68E1064A"/>
    <w:rsid w:val="68E5013A"/>
    <w:rsid w:val="68EC771B"/>
    <w:rsid w:val="68ED3493"/>
    <w:rsid w:val="68F4037D"/>
    <w:rsid w:val="68FF4E51"/>
    <w:rsid w:val="69081541"/>
    <w:rsid w:val="6908207B"/>
    <w:rsid w:val="690F3409"/>
    <w:rsid w:val="691300EE"/>
    <w:rsid w:val="69180510"/>
    <w:rsid w:val="691E53FA"/>
    <w:rsid w:val="692A3D9F"/>
    <w:rsid w:val="692E7D33"/>
    <w:rsid w:val="692F25A0"/>
    <w:rsid w:val="692F585A"/>
    <w:rsid w:val="69313380"/>
    <w:rsid w:val="69382960"/>
    <w:rsid w:val="693B7D5A"/>
    <w:rsid w:val="69401815"/>
    <w:rsid w:val="69407A67"/>
    <w:rsid w:val="69470DF5"/>
    <w:rsid w:val="694A61EF"/>
    <w:rsid w:val="694C640B"/>
    <w:rsid w:val="694F6515"/>
    <w:rsid w:val="695452C0"/>
    <w:rsid w:val="69561038"/>
    <w:rsid w:val="695C3D4C"/>
    <w:rsid w:val="696278F8"/>
    <w:rsid w:val="69674FF3"/>
    <w:rsid w:val="696B5066"/>
    <w:rsid w:val="6974195C"/>
    <w:rsid w:val="69747710"/>
    <w:rsid w:val="69750D65"/>
    <w:rsid w:val="69780FAF"/>
    <w:rsid w:val="69781B4C"/>
    <w:rsid w:val="698536CB"/>
    <w:rsid w:val="698711F2"/>
    <w:rsid w:val="698A6F34"/>
    <w:rsid w:val="698E432E"/>
    <w:rsid w:val="699102C2"/>
    <w:rsid w:val="699658D9"/>
    <w:rsid w:val="699723BA"/>
    <w:rsid w:val="699B4C9D"/>
    <w:rsid w:val="699B6A4B"/>
    <w:rsid w:val="699D116B"/>
    <w:rsid w:val="699F5212"/>
    <w:rsid w:val="69AA3132"/>
    <w:rsid w:val="69AE063C"/>
    <w:rsid w:val="69B01856"/>
    <w:rsid w:val="69B33D95"/>
    <w:rsid w:val="69B74954"/>
    <w:rsid w:val="69C04704"/>
    <w:rsid w:val="69C77840"/>
    <w:rsid w:val="69C9180A"/>
    <w:rsid w:val="69CC30A8"/>
    <w:rsid w:val="69D02B99"/>
    <w:rsid w:val="69D72179"/>
    <w:rsid w:val="69DD2C01"/>
    <w:rsid w:val="69E1611D"/>
    <w:rsid w:val="69E219E8"/>
    <w:rsid w:val="69E403F2"/>
    <w:rsid w:val="69E464FF"/>
    <w:rsid w:val="69EA352F"/>
    <w:rsid w:val="69EC374B"/>
    <w:rsid w:val="69F10D61"/>
    <w:rsid w:val="69F34AD9"/>
    <w:rsid w:val="69F543AD"/>
    <w:rsid w:val="69F66377"/>
    <w:rsid w:val="69FC398E"/>
    <w:rsid w:val="69FE0CAC"/>
    <w:rsid w:val="6A003904"/>
    <w:rsid w:val="6A0C16F7"/>
    <w:rsid w:val="6A154A4F"/>
    <w:rsid w:val="6A1707C7"/>
    <w:rsid w:val="6A1F58CE"/>
    <w:rsid w:val="6A2336AA"/>
    <w:rsid w:val="6A274783"/>
    <w:rsid w:val="6A290BB0"/>
    <w:rsid w:val="6A2E78BF"/>
    <w:rsid w:val="6A310DC4"/>
    <w:rsid w:val="6A36338D"/>
    <w:rsid w:val="6A3C022E"/>
    <w:rsid w:val="6A4175F2"/>
    <w:rsid w:val="6A425119"/>
    <w:rsid w:val="6A4415E9"/>
    <w:rsid w:val="6A45564A"/>
    <w:rsid w:val="6A470981"/>
    <w:rsid w:val="6A4B221F"/>
    <w:rsid w:val="6A4E3ABD"/>
    <w:rsid w:val="6A507835"/>
    <w:rsid w:val="6A5512F0"/>
    <w:rsid w:val="6A594CE9"/>
    <w:rsid w:val="6A5A4B58"/>
    <w:rsid w:val="6A5F5CCB"/>
    <w:rsid w:val="6A61001F"/>
    <w:rsid w:val="6A682DD1"/>
    <w:rsid w:val="6A6B3979"/>
    <w:rsid w:val="6A6B3E58"/>
    <w:rsid w:val="6A6E4160"/>
    <w:rsid w:val="6A830FEC"/>
    <w:rsid w:val="6A835E5D"/>
    <w:rsid w:val="6A8A71EB"/>
    <w:rsid w:val="6A8E65B0"/>
    <w:rsid w:val="6A957467"/>
    <w:rsid w:val="6A995680"/>
    <w:rsid w:val="6A9A0A7D"/>
    <w:rsid w:val="6A9B2E65"/>
    <w:rsid w:val="6A9F256B"/>
    <w:rsid w:val="6AA06A0F"/>
    <w:rsid w:val="6AA162E3"/>
    <w:rsid w:val="6AA3205B"/>
    <w:rsid w:val="6AA33E09"/>
    <w:rsid w:val="6AA70E28"/>
    <w:rsid w:val="6AAB53B4"/>
    <w:rsid w:val="6AB44268"/>
    <w:rsid w:val="6AB9362D"/>
    <w:rsid w:val="6ABA37A5"/>
    <w:rsid w:val="6ABF491E"/>
    <w:rsid w:val="6AC10733"/>
    <w:rsid w:val="6AC65D4A"/>
    <w:rsid w:val="6AD32F4D"/>
    <w:rsid w:val="6ADB7CDE"/>
    <w:rsid w:val="6ADE3093"/>
    <w:rsid w:val="6AE30540"/>
    <w:rsid w:val="6AE34B4E"/>
    <w:rsid w:val="6AE53247"/>
    <w:rsid w:val="6AEB57B0"/>
    <w:rsid w:val="6AF64881"/>
    <w:rsid w:val="6AF72426"/>
    <w:rsid w:val="6AFC79BD"/>
    <w:rsid w:val="6B03425A"/>
    <w:rsid w:val="6B0367D0"/>
    <w:rsid w:val="6B122F68"/>
    <w:rsid w:val="6B144D07"/>
    <w:rsid w:val="6B146AB5"/>
    <w:rsid w:val="6B1F3509"/>
    <w:rsid w:val="6B2018FE"/>
    <w:rsid w:val="6B253391"/>
    <w:rsid w:val="6B272C8C"/>
    <w:rsid w:val="6B376C47"/>
    <w:rsid w:val="6B3B6738"/>
    <w:rsid w:val="6B431148"/>
    <w:rsid w:val="6B43383E"/>
    <w:rsid w:val="6B43739A"/>
    <w:rsid w:val="6B476E8A"/>
    <w:rsid w:val="6B482C03"/>
    <w:rsid w:val="6B54424D"/>
    <w:rsid w:val="6B5A17A3"/>
    <w:rsid w:val="6B5B0B88"/>
    <w:rsid w:val="6B5D72DD"/>
    <w:rsid w:val="6B610780"/>
    <w:rsid w:val="6B637A3C"/>
    <w:rsid w:val="6B6537B4"/>
    <w:rsid w:val="6B6A2B79"/>
    <w:rsid w:val="6B7800FD"/>
    <w:rsid w:val="6B7830D2"/>
    <w:rsid w:val="6B7D28AC"/>
    <w:rsid w:val="6B7E03D2"/>
    <w:rsid w:val="6B824366"/>
    <w:rsid w:val="6B827EC3"/>
    <w:rsid w:val="6B8916E0"/>
    <w:rsid w:val="6B8A1377"/>
    <w:rsid w:val="6B8F25DF"/>
    <w:rsid w:val="6B8F5FFD"/>
    <w:rsid w:val="6B9428CC"/>
    <w:rsid w:val="6B945E48"/>
    <w:rsid w:val="6B96396E"/>
    <w:rsid w:val="6B967230"/>
    <w:rsid w:val="6B99345E"/>
    <w:rsid w:val="6B9A16B0"/>
    <w:rsid w:val="6B9A3FAC"/>
    <w:rsid w:val="6B9E0A74"/>
    <w:rsid w:val="6BA270DA"/>
    <w:rsid w:val="6BA44383"/>
    <w:rsid w:val="6BAF4A30"/>
    <w:rsid w:val="6BBA3B00"/>
    <w:rsid w:val="6BBD714D"/>
    <w:rsid w:val="6BC60322"/>
    <w:rsid w:val="6BC83EFB"/>
    <w:rsid w:val="6BCF210F"/>
    <w:rsid w:val="6BD02241"/>
    <w:rsid w:val="6BDB5825"/>
    <w:rsid w:val="6BEA5A68"/>
    <w:rsid w:val="6BEB43F3"/>
    <w:rsid w:val="6BFA214F"/>
    <w:rsid w:val="6BFF1513"/>
    <w:rsid w:val="6BFF59B7"/>
    <w:rsid w:val="6C0279BB"/>
    <w:rsid w:val="6C07486C"/>
    <w:rsid w:val="6C111246"/>
    <w:rsid w:val="6C154F17"/>
    <w:rsid w:val="6C16685D"/>
    <w:rsid w:val="6C1825D5"/>
    <w:rsid w:val="6C186A79"/>
    <w:rsid w:val="6C1D5E3D"/>
    <w:rsid w:val="6C335661"/>
    <w:rsid w:val="6C3513D9"/>
    <w:rsid w:val="6C382C77"/>
    <w:rsid w:val="6C3A079D"/>
    <w:rsid w:val="6C3A254B"/>
    <w:rsid w:val="6C3E2242"/>
    <w:rsid w:val="6C411B2C"/>
    <w:rsid w:val="6C445178"/>
    <w:rsid w:val="6C47110C"/>
    <w:rsid w:val="6C4B29AA"/>
    <w:rsid w:val="6C4B4758"/>
    <w:rsid w:val="6C4D263F"/>
    <w:rsid w:val="6C506213"/>
    <w:rsid w:val="6C5347AA"/>
    <w:rsid w:val="6C543A21"/>
    <w:rsid w:val="6C57134F"/>
    <w:rsid w:val="6C586E75"/>
    <w:rsid w:val="6C5A499B"/>
    <w:rsid w:val="6C5B60E0"/>
    <w:rsid w:val="6C5D01ED"/>
    <w:rsid w:val="6C5D2C8A"/>
    <w:rsid w:val="6C733CAF"/>
    <w:rsid w:val="6C7A78C6"/>
    <w:rsid w:val="6C8163CC"/>
    <w:rsid w:val="6C841A18"/>
    <w:rsid w:val="6C895281"/>
    <w:rsid w:val="6C997B2F"/>
    <w:rsid w:val="6CA34594"/>
    <w:rsid w:val="6CB105AA"/>
    <w:rsid w:val="6CB542C8"/>
    <w:rsid w:val="6CB57E24"/>
    <w:rsid w:val="6CB94F80"/>
    <w:rsid w:val="6CBB0C3F"/>
    <w:rsid w:val="6CBC7404"/>
    <w:rsid w:val="6CC14A1B"/>
    <w:rsid w:val="6CC85DA9"/>
    <w:rsid w:val="6CCB5899"/>
    <w:rsid w:val="6CCF5389"/>
    <w:rsid w:val="6CD24E7A"/>
    <w:rsid w:val="6CD36713"/>
    <w:rsid w:val="6CE32BE3"/>
    <w:rsid w:val="6CE349E0"/>
    <w:rsid w:val="6CE55E74"/>
    <w:rsid w:val="6CEF77DA"/>
    <w:rsid w:val="6CF05300"/>
    <w:rsid w:val="6CF92413"/>
    <w:rsid w:val="6CF941B4"/>
    <w:rsid w:val="6CFA1CDB"/>
    <w:rsid w:val="6CFA617E"/>
    <w:rsid w:val="6CFC5A53"/>
    <w:rsid w:val="6D0D4104"/>
    <w:rsid w:val="6D0D5EB2"/>
    <w:rsid w:val="6D0E5786"/>
    <w:rsid w:val="6D140FEE"/>
    <w:rsid w:val="6D177AD5"/>
    <w:rsid w:val="6D1D4308"/>
    <w:rsid w:val="6D1D4911"/>
    <w:rsid w:val="6D1F7993"/>
    <w:rsid w:val="6D205BE5"/>
    <w:rsid w:val="6D21195D"/>
    <w:rsid w:val="6D241539"/>
    <w:rsid w:val="6D282CEC"/>
    <w:rsid w:val="6D283D50"/>
    <w:rsid w:val="6D2854BA"/>
    <w:rsid w:val="6D2B6338"/>
    <w:rsid w:val="6D3451EC"/>
    <w:rsid w:val="6D366A87"/>
    <w:rsid w:val="6D374CDD"/>
    <w:rsid w:val="6D392803"/>
    <w:rsid w:val="6D3E42BD"/>
    <w:rsid w:val="6D452BB7"/>
    <w:rsid w:val="6D505D9E"/>
    <w:rsid w:val="6D53301E"/>
    <w:rsid w:val="6D561607"/>
    <w:rsid w:val="6D5E670D"/>
    <w:rsid w:val="6D66534A"/>
    <w:rsid w:val="6D6B4986"/>
    <w:rsid w:val="6D720EE9"/>
    <w:rsid w:val="6D747CDF"/>
    <w:rsid w:val="6D7952F5"/>
    <w:rsid w:val="6D7E58D8"/>
    <w:rsid w:val="6D855C11"/>
    <w:rsid w:val="6D9220F4"/>
    <w:rsid w:val="6D9B23AC"/>
    <w:rsid w:val="6D9D7236"/>
    <w:rsid w:val="6DB0234E"/>
    <w:rsid w:val="6DB1683D"/>
    <w:rsid w:val="6DB36FD5"/>
    <w:rsid w:val="6DB41F36"/>
    <w:rsid w:val="6DC36570"/>
    <w:rsid w:val="6DD35B5F"/>
    <w:rsid w:val="6DD4077E"/>
    <w:rsid w:val="6DD62E63"/>
    <w:rsid w:val="6DDA1E4B"/>
    <w:rsid w:val="6DDB1B0C"/>
    <w:rsid w:val="6DE94229"/>
    <w:rsid w:val="6DED0C6F"/>
    <w:rsid w:val="6DF7274A"/>
    <w:rsid w:val="6DFE2645"/>
    <w:rsid w:val="6E021177"/>
    <w:rsid w:val="6E0476F6"/>
    <w:rsid w:val="6E071C62"/>
    <w:rsid w:val="6E076DA5"/>
    <w:rsid w:val="6E0A5F70"/>
    <w:rsid w:val="6E105C5A"/>
    <w:rsid w:val="6E1119D2"/>
    <w:rsid w:val="6E176BAC"/>
    <w:rsid w:val="6E1D3ED3"/>
    <w:rsid w:val="6E201C15"/>
    <w:rsid w:val="6E22773B"/>
    <w:rsid w:val="6E2434B3"/>
    <w:rsid w:val="6E2711F5"/>
    <w:rsid w:val="6E2C05BA"/>
    <w:rsid w:val="6E2C22B2"/>
    <w:rsid w:val="6E2E60E0"/>
    <w:rsid w:val="6E4476B1"/>
    <w:rsid w:val="6E493F8C"/>
    <w:rsid w:val="6E4D6A7E"/>
    <w:rsid w:val="6E4E5192"/>
    <w:rsid w:val="6E587601"/>
    <w:rsid w:val="6E5D4B6C"/>
    <w:rsid w:val="6E5F44EB"/>
    <w:rsid w:val="6E625D89"/>
    <w:rsid w:val="6E647D53"/>
    <w:rsid w:val="6E6C4E5A"/>
    <w:rsid w:val="6E6D76E9"/>
    <w:rsid w:val="6E6F4DDD"/>
    <w:rsid w:val="6E700B4D"/>
    <w:rsid w:val="6E740BD2"/>
    <w:rsid w:val="6E755ABD"/>
    <w:rsid w:val="6E832D19"/>
    <w:rsid w:val="6E8403F6"/>
    <w:rsid w:val="6E8421A4"/>
    <w:rsid w:val="6E8E3022"/>
    <w:rsid w:val="6E8E6B7E"/>
    <w:rsid w:val="6E9323E7"/>
    <w:rsid w:val="6E9543B1"/>
    <w:rsid w:val="6E957F0D"/>
    <w:rsid w:val="6E963C85"/>
    <w:rsid w:val="6E9F6FDD"/>
    <w:rsid w:val="6EA039EE"/>
    <w:rsid w:val="6EA330EB"/>
    <w:rsid w:val="6EA840E4"/>
    <w:rsid w:val="6EAA3D90"/>
    <w:rsid w:val="6EAF31BB"/>
    <w:rsid w:val="6EC425A0"/>
    <w:rsid w:val="6EC6456A"/>
    <w:rsid w:val="6EC802E2"/>
    <w:rsid w:val="6EC95E08"/>
    <w:rsid w:val="6ECA28F1"/>
    <w:rsid w:val="6ECA57CB"/>
    <w:rsid w:val="6ED053E9"/>
    <w:rsid w:val="6ED50C51"/>
    <w:rsid w:val="6ED8604B"/>
    <w:rsid w:val="6EE40E94"/>
    <w:rsid w:val="6EE42C42"/>
    <w:rsid w:val="6EE53863"/>
    <w:rsid w:val="6EEE586F"/>
    <w:rsid w:val="6EEF1D88"/>
    <w:rsid w:val="6EF154D3"/>
    <w:rsid w:val="6EF415C9"/>
    <w:rsid w:val="6EF6287F"/>
    <w:rsid w:val="6EFD5AB2"/>
    <w:rsid w:val="6EFE75E5"/>
    <w:rsid w:val="6F084B83"/>
    <w:rsid w:val="6F0B4673"/>
    <w:rsid w:val="6F120CE7"/>
    <w:rsid w:val="6F173018"/>
    <w:rsid w:val="6F196D90"/>
    <w:rsid w:val="6F255735"/>
    <w:rsid w:val="6F26325B"/>
    <w:rsid w:val="6F2B0871"/>
    <w:rsid w:val="6F2B7282"/>
    <w:rsid w:val="6F301FF6"/>
    <w:rsid w:val="6F3922DD"/>
    <w:rsid w:val="6F3F460F"/>
    <w:rsid w:val="6F411E43"/>
    <w:rsid w:val="6F423F06"/>
    <w:rsid w:val="6F4940A8"/>
    <w:rsid w:val="6F4956C8"/>
    <w:rsid w:val="6F4B023D"/>
    <w:rsid w:val="6F505B38"/>
    <w:rsid w:val="6F547DC8"/>
    <w:rsid w:val="6F5B1156"/>
    <w:rsid w:val="6F5E47A3"/>
    <w:rsid w:val="6F5E47AE"/>
    <w:rsid w:val="6F6124E5"/>
    <w:rsid w:val="6F653D83"/>
    <w:rsid w:val="6F6A3147"/>
    <w:rsid w:val="6F6D21EC"/>
    <w:rsid w:val="6F7246F2"/>
    <w:rsid w:val="6F727FDC"/>
    <w:rsid w:val="6F7B5355"/>
    <w:rsid w:val="6F7C2F7F"/>
    <w:rsid w:val="6F8166E3"/>
    <w:rsid w:val="6F8545BB"/>
    <w:rsid w:val="6F9F024F"/>
    <w:rsid w:val="6FA978DF"/>
    <w:rsid w:val="6FAA3E8C"/>
    <w:rsid w:val="6FAF14A2"/>
    <w:rsid w:val="6FB42615"/>
    <w:rsid w:val="6FB767E8"/>
    <w:rsid w:val="6FBB39A3"/>
    <w:rsid w:val="6FC52A74"/>
    <w:rsid w:val="6FCA1E38"/>
    <w:rsid w:val="6FD607DD"/>
    <w:rsid w:val="6FE23626"/>
    <w:rsid w:val="6FE63CCB"/>
    <w:rsid w:val="6FE729EA"/>
    <w:rsid w:val="6FE74B3D"/>
    <w:rsid w:val="6FE80510"/>
    <w:rsid w:val="6FEC0000"/>
    <w:rsid w:val="6FEF7AF1"/>
    <w:rsid w:val="6FF45107"/>
    <w:rsid w:val="6FF46EB5"/>
    <w:rsid w:val="6FF72402"/>
    <w:rsid w:val="6FF9096F"/>
    <w:rsid w:val="70041D30"/>
    <w:rsid w:val="70057314"/>
    <w:rsid w:val="7009508A"/>
    <w:rsid w:val="700E441B"/>
    <w:rsid w:val="700E4B1F"/>
    <w:rsid w:val="700F7AA1"/>
    <w:rsid w:val="701025DA"/>
    <w:rsid w:val="701051AB"/>
    <w:rsid w:val="7018393D"/>
    <w:rsid w:val="7018538F"/>
    <w:rsid w:val="701D465E"/>
    <w:rsid w:val="701E512F"/>
    <w:rsid w:val="701F03D6"/>
    <w:rsid w:val="70213056"/>
    <w:rsid w:val="70227EC6"/>
    <w:rsid w:val="70313CD0"/>
    <w:rsid w:val="70384FF4"/>
    <w:rsid w:val="70390D6C"/>
    <w:rsid w:val="70393D95"/>
    <w:rsid w:val="70431BE8"/>
    <w:rsid w:val="70495453"/>
    <w:rsid w:val="70497892"/>
    <w:rsid w:val="704F058F"/>
    <w:rsid w:val="704F233D"/>
    <w:rsid w:val="70523676"/>
    <w:rsid w:val="7053007F"/>
    <w:rsid w:val="706202C3"/>
    <w:rsid w:val="70654352"/>
    <w:rsid w:val="706C7393"/>
    <w:rsid w:val="70785D38"/>
    <w:rsid w:val="707A560C"/>
    <w:rsid w:val="707B2A29"/>
    <w:rsid w:val="707D6EAA"/>
    <w:rsid w:val="708434E9"/>
    <w:rsid w:val="70871AD7"/>
    <w:rsid w:val="708E2E66"/>
    <w:rsid w:val="70903082"/>
    <w:rsid w:val="70910BA8"/>
    <w:rsid w:val="709B05DA"/>
    <w:rsid w:val="70A00D30"/>
    <w:rsid w:val="70A1703D"/>
    <w:rsid w:val="70B12FF8"/>
    <w:rsid w:val="70B2124A"/>
    <w:rsid w:val="70B70453"/>
    <w:rsid w:val="70B825D8"/>
    <w:rsid w:val="70B94304"/>
    <w:rsid w:val="70BB79D3"/>
    <w:rsid w:val="70BD199D"/>
    <w:rsid w:val="70C268FE"/>
    <w:rsid w:val="70C525FF"/>
    <w:rsid w:val="70CC2581"/>
    <w:rsid w:val="70D017F7"/>
    <w:rsid w:val="70D171F6"/>
    <w:rsid w:val="70D20BDD"/>
    <w:rsid w:val="70D36317"/>
    <w:rsid w:val="70D50A94"/>
    <w:rsid w:val="70D72A5F"/>
    <w:rsid w:val="70DC62C7"/>
    <w:rsid w:val="70E707C8"/>
    <w:rsid w:val="70E930EE"/>
    <w:rsid w:val="70F15536"/>
    <w:rsid w:val="70F27898"/>
    <w:rsid w:val="71093230"/>
    <w:rsid w:val="710B0D39"/>
    <w:rsid w:val="710E21F8"/>
    <w:rsid w:val="71121CE9"/>
    <w:rsid w:val="71193077"/>
    <w:rsid w:val="711B08FA"/>
    <w:rsid w:val="7120264E"/>
    <w:rsid w:val="71233EF6"/>
    <w:rsid w:val="712940E5"/>
    <w:rsid w:val="712F47EA"/>
    <w:rsid w:val="712F4EC1"/>
    <w:rsid w:val="71305C7A"/>
    <w:rsid w:val="71325EE7"/>
    <w:rsid w:val="713954C7"/>
    <w:rsid w:val="713C0B14"/>
    <w:rsid w:val="713F0604"/>
    <w:rsid w:val="714125CE"/>
    <w:rsid w:val="714516D2"/>
    <w:rsid w:val="714874B8"/>
    <w:rsid w:val="715220E5"/>
    <w:rsid w:val="715B3C16"/>
    <w:rsid w:val="715E64B8"/>
    <w:rsid w:val="715E6876"/>
    <w:rsid w:val="716F0EE9"/>
    <w:rsid w:val="717209D9"/>
    <w:rsid w:val="71762326"/>
    <w:rsid w:val="71775FF0"/>
    <w:rsid w:val="717C3606"/>
    <w:rsid w:val="718B55F7"/>
    <w:rsid w:val="71910B94"/>
    <w:rsid w:val="71927521"/>
    <w:rsid w:val="71970440"/>
    <w:rsid w:val="719E17CE"/>
    <w:rsid w:val="71A1306D"/>
    <w:rsid w:val="71A55DCD"/>
    <w:rsid w:val="71AA0173"/>
    <w:rsid w:val="71AC3EEB"/>
    <w:rsid w:val="71AC5951"/>
    <w:rsid w:val="71B33DA4"/>
    <w:rsid w:val="71B66B18"/>
    <w:rsid w:val="71B72890"/>
    <w:rsid w:val="71BC1C54"/>
    <w:rsid w:val="71BC7EA6"/>
    <w:rsid w:val="71C232C4"/>
    <w:rsid w:val="71C254BD"/>
    <w:rsid w:val="71C32FE3"/>
    <w:rsid w:val="71C8684B"/>
    <w:rsid w:val="71D62179"/>
    <w:rsid w:val="71D76A8E"/>
    <w:rsid w:val="71D84CE0"/>
    <w:rsid w:val="71DA3080"/>
    <w:rsid w:val="71E73B20"/>
    <w:rsid w:val="71ED1E0E"/>
    <w:rsid w:val="71F05487"/>
    <w:rsid w:val="71F475E4"/>
    <w:rsid w:val="71F66F14"/>
    <w:rsid w:val="71F87130"/>
    <w:rsid w:val="71FD75EA"/>
    <w:rsid w:val="72005FE5"/>
    <w:rsid w:val="72035AD5"/>
    <w:rsid w:val="720553A9"/>
    <w:rsid w:val="72077373"/>
    <w:rsid w:val="7209768E"/>
    <w:rsid w:val="72121874"/>
    <w:rsid w:val="72133F6A"/>
    <w:rsid w:val="72135D18"/>
    <w:rsid w:val="72161365"/>
    <w:rsid w:val="721970A7"/>
    <w:rsid w:val="721B16A0"/>
    <w:rsid w:val="721D4433"/>
    <w:rsid w:val="722213E2"/>
    <w:rsid w:val="722241AD"/>
    <w:rsid w:val="72233A82"/>
    <w:rsid w:val="72273572"/>
    <w:rsid w:val="722A6598"/>
    <w:rsid w:val="722F68B9"/>
    <w:rsid w:val="723143F0"/>
    <w:rsid w:val="72331F17"/>
    <w:rsid w:val="72353200"/>
    <w:rsid w:val="72386F23"/>
    <w:rsid w:val="723914F7"/>
    <w:rsid w:val="72395053"/>
    <w:rsid w:val="723B701D"/>
    <w:rsid w:val="723E2669"/>
    <w:rsid w:val="723E7568"/>
    <w:rsid w:val="723F12AE"/>
    <w:rsid w:val="724177ED"/>
    <w:rsid w:val="72472D75"/>
    <w:rsid w:val="7258197D"/>
    <w:rsid w:val="725A253A"/>
    <w:rsid w:val="725A69AF"/>
    <w:rsid w:val="725B1E56"/>
    <w:rsid w:val="725D6F93"/>
    <w:rsid w:val="72655E48"/>
    <w:rsid w:val="72671BC0"/>
    <w:rsid w:val="7269212E"/>
    <w:rsid w:val="727367B7"/>
    <w:rsid w:val="7275252F"/>
    <w:rsid w:val="727644F9"/>
    <w:rsid w:val="72766AE8"/>
    <w:rsid w:val="727D3192"/>
    <w:rsid w:val="727F5809"/>
    <w:rsid w:val="72872262"/>
    <w:rsid w:val="728C6641"/>
    <w:rsid w:val="7294672D"/>
    <w:rsid w:val="72964253"/>
    <w:rsid w:val="7298446F"/>
    <w:rsid w:val="729B5D0E"/>
    <w:rsid w:val="729E0259"/>
    <w:rsid w:val="72A5093A"/>
    <w:rsid w:val="72A746B3"/>
    <w:rsid w:val="72A9042B"/>
    <w:rsid w:val="72AA7CFF"/>
    <w:rsid w:val="72AE2B61"/>
    <w:rsid w:val="72AF08D5"/>
    <w:rsid w:val="72B26FA0"/>
    <w:rsid w:val="72B8066E"/>
    <w:rsid w:val="72BF7C4E"/>
    <w:rsid w:val="72C76B03"/>
    <w:rsid w:val="72D54D7C"/>
    <w:rsid w:val="72D62BD5"/>
    <w:rsid w:val="72D823D5"/>
    <w:rsid w:val="72DA6836"/>
    <w:rsid w:val="72E041B6"/>
    <w:rsid w:val="72E41463"/>
    <w:rsid w:val="72E70F53"/>
    <w:rsid w:val="72EE22E1"/>
    <w:rsid w:val="72F83160"/>
    <w:rsid w:val="72F84F0E"/>
    <w:rsid w:val="72FC2EFD"/>
    <w:rsid w:val="730833A3"/>
    <w:rsid w:val="730B69EF"/>
    <w:rsid w:val="730C2ECF"/>
    <w:rsid w:val="73116721"/>
    <w:rsid w:val="73155AC0"/>
    <w:rsid w:val="73261A7B"/>
    <w:rsid w:val="732949CF"/>
    <w:rsid w:val="732950C8"/>
    <w:rsid w:val="732B52E4"/>
    <w:rsid w:val="732C6966"/>
    <w:rsid w:val="733221CE"/>
    <w:rsid w:val="73357F10"/>
    <w:rsid w:val="733F0D8F"/>
    <w:rsid w:val="7342564E"/>
    <w:rsid w:val="73465C7A"/>
    <w:rsid w:val="73497518"/>
    <w:rsid w:val="734B14E2"/>
    <w:rsid w:val="7352461E"/>
    <w:rsid w:val="73556451"/>
    <w:rsid w:val="73585ACE"/>
    <w:rsid w:val="73591E51"/>
    <w:rsid w:val="735A1887"/>
    <w:rsid w:val="73634DF7"/>
    <w:rsid w:val="73747D8F"/>
    <w:rsid w:val="73774085"/>
    <w:rsid w:val="73845435"/>
    <w:rsid w:val="73933740"/>
    <w:rsid w:val="73944C37"/>
    <w:rsid w:val="73974727"/>
    <w:rsid w:val="739B4217"/>
    <w:rsid w:val="73A62BBC"/>
    <w:rsid w:val="73AA26AC"/>
    <w:rsid w:val="73AE4DAC"/>
    <w:rsid w:val="73B13A3B"/>
    <w:rsid w:val="73B2074D"/>
    <w:rsid w:val="73B250BD"/>
    <w:rsid w:val="73B426A9"/>
    <w:rsid w:val="73C11ECD"/>
    <w:rsid w:val="73C905E8"/>
    <w:rsid w:val="73CD1EF7"/>
    <w:rsid w:val="73CE2E42"/>
    <w:rsid w:val="73D47729"/>
    <w:rsid w:val="73D634A1"/>
    <w:rsid w:val="73DD4830"/>
    <w:rsid w:val="73E060CE"/>
    <w:rsid w:val="73E13BF4"/>
    <w:rsid w:val="73E3796C"/>
    <w:rsid w:val="73E84F83"/>
    <w:rsid w:val="73EA0CFB"/>
    <w:rsid w:val="73F2195D"/>
    <w:rsid w:val="73F27BAF"/>
    <w:rsid w:val="73FB4CB6"/>
    <w:rsid w:val="73FE6BD4"/>
    <w:rsid w:val="74051691"/>
    <w:rsid w:val="74072A13"/>
    <w:rsid w:val="74114085"/>
    <w:rsid w:val="74123DAE"/>
    <w:rsid w:val="74145D78"/>
    <w:rsid w:val="741C4C2C"/>
    <w:rsid w:val="741D7FA1"/>
    <w:rsid w:val="741E09A4"/>
    <w:rsid w:val="7423649A"/>
    <w:rsid w:val="74266358"/>
    <w:rsid w:val="742A559B"/>
    <w:rsid w:val="742C30C1"/>
    <w:rsid w:val="742C42E4"/>
    <w:rsid w:val="74393A30"/>
    <w:rsid w:val="743A5421"/>
    <w:rsid w:val="74424693"/>
    <w:rsid w:val="744B1485"/>
    <w:rsid w:val="744F5002"/>
    <w:rsid w:val="745A3D0B"/>
    <w:rsid w:val="745B5755"/>
    <w:rsid w:val="745E5245"/>
    <w:rsid w:val="74600FBD"/>
    <w:rsid w:val="7460720F"/>
    <w:rsid w:val="74692D9A"/>
    <w:rsid w:val="746A3BEA"/>
    <w:rsid w:val="746D05CC"/>
    <w:rsid w:val="746E36DA"/>
    <w:rsid w:val="7472484C"/>
    <w:rsid w:val="747D23FB"/>
    <w:rsid w:val="748007EC"/>
    <w:rsid w:val="74827185"/>
    <w:rsid w:val="74830E88"/>
    <w:rsid w:val="74842B8B"/>
    <w:rsid w:val="748922C2"/>
    <w:rsid w:val="748C0004"/>
    <w:rsid w:val="748D1686"/>
    <w:rsid w:val="748F53FE"/>
    <w:rsid w:val="74902AC7"/>
    <w:rsid w:val="7491298B"/>
    <w:rsid w:val="749173C8"/>
    <w:rsid w:val="74934EEE"/>
    <w:rsid w:val="74940C67"/>
    <w:rsid w:val="74956EB9"/>
    <w:rsid w:val="7499002B"/>
    <w:rsid w:val="74A56FEC"/>
    <w:rsid w:val="74A67FA2"/>
    <w:rsid w:val="74B17A6A"/>
    <w:rsid w:val="74B67BB8"/>
    <w:rsid w:val="74BA691F"/>
    <w:rsid w:val="74BF0599"/>
    <w:rsid w:val="74CA3F6B"/>
    <w:rsid w:val="74CB453C"/>
    <w:rsid w:val="74CE0851"/>
    <w:rsid w:val="74CF1C9F"/>
    <w:rsid w:val="74D86DA5"/>
    <w:rsid w:val="74DC4AE7"/>
    <w:rsid w:val="74DC6CFD"/>
    <w:rsid w:val="74DF1EA2"/>
    <w:rsid w:val="74E120FE"/>
    <w:rsid w:val="74E90FB2"/>
    <w:rsid w:val="74E923B9"/>
    <w:rsid w:val="74EC45FF"/>
    <w:rsid w:val="74EC52E3"/>
    <w:rsid w:val="74EE7BBC"/>
    <w:rsid w:val="74F6547D"/>
    <w:rsid w:val="74FF2584"/>
    <w:rsid w:val="750000AA"/>
    <w:rsid w:val="750C7987"/>
    <w:rsid w:val="750E6239"/>
    <w:rsid w:val="751224A6"/>
    <w:rsid w:val="75183646"/>
    <w:rsid w:val="751C1388"/>
    <w:rsid w:val="751D0C5C"/>
    <w:rsid w:val="751F49D4"/>
    <w:rsid w:val="75322959"/>
    <w:rsid w:val="75327179"/>
    <w:rsid w:val="753A35BC"/>
    <w:rsid w:val="7544268D"/>
    <w:rsid w:val="754B3A1B"/>
    <w:rsid w:val="754B57C9"/>
    <w:rsid w:val="754D1541"/>
    <w:rsid w:val="754D3A1B"/>
    <w:rsid w:val="754D7793"/>
    <w:rsid w:val="754E7067"/>
    <w:rsid w:val="75533AA2"/>
    <w:rsid w:val="75564CDF"/>
    <w:rsid w:val="755C4019"/>
    <w:rsid w:val="755C79D6"/>
    <w:rsid w:val="755F3023"/>
    <w:rsid w:val="75656DAA"/>
    <w:rsid w:val="75666069"/>
    <w:rsid w:val="75671ED7"/>
    <w:rsid w:val="75680129"/>
    <w:rsid w:val="75693EA1"/>
    <w:rsid w:val="756D1BE3"/>
    <w:rsid w:val="756E770A"/>
    <w:rsid w:val="757A4300"/>
    <w:rsid w:val="757F5473"/>
    <w:rsid w:val="75834F63"/>
    <w:rsid w:val="75884B36"/>
    <w:rsid w:val="758B3E18"/>
    <w:rsid w:val="759260CD"/>
    <w:rsid w:val="759654B8"/>
    <w:rsid w:val="759929D8"/>
    <w:rsid w:val="759A22AD"/>
    <w:rsid w:val="759E643F"/>
    <w:rsid w:val="75A60C51"/>
    <w:rsid w:val="75AA3119"/>
    <w:rsid w:val="75AB44BA"/>
    <w:rsid w:val="75AE7B06"/>
    <w:rsid w:val="75B07D22"/>
    <w:rsid w:val="75B275F6"/>
    <w:rsid w:val="75B55338"/>
    <w:rsid w:val="75BA64AB"/>
    <w:rsid w:val="75BE5F9B"/>
    <w:rsid w:val="75DC4056"/>
    <w:rsid w:val="75E73D34"/>
    <w:rsid w:val="75E74BF8"/>
    <w:rsid w:val="75ED4AD2"/>
    <w:rsid w:val="75EE4BD3"/>
    <w:rsid w:val="75F05AFA"/>
    <w:rsid w:val="75F06371"/>
    <w:rsid w:val="75F145C2"/>
    <w:rsid w:val="75F220E9"/>
    <w:rsid w:val="75F47C0F"/>
    <w:rsid w:val="75F53987"/>
    <w:rsid w:val="75F75951"/>
    <w:rsid w:val="75F776FF"/>
    <w:rsid w:val="75FE198A"/>
    <w:rsid w:val="75FF3AD1"/>
    <w:rsid w:val="760342F6"/>
    <w:rsid w:val="760F744C"/>
    <w:rsid w:val="7611709E"/>
    <w:rsid w:val="7614205F"/>
    <w:rsid w:val="76157B85"/>
    <w:rsid w:val="761A519B"/>
    <w:rsid w:val="761E4ABF"/>
    <w:rsid w:val="76200A04"/>
    <w:rsid w:val="762027B2"/>
    <w:rsid w:val="7625426C"/>
    <w:rsid w:val="762C4F8D"/>
    <w:rsid w:val="763146EA"/>
    <w:rsid w:val="76414336"/>
    <w:rsid w:val="76432269"/>
    <w:rsid w:val="764A782F"/>
    <w:rsid w:val="764B158B"/>
    <w:rsid w:val="76500BBD"/>
    <w:rsid w:val="765B7C8E"/>
    <w:rsid w:val="76613250"/>
    <w:rsid w:val="766823AB"/>
    <w:rsid w:val="766905FD"/>
    <w:rsid w:val="766F54E7"/>
    <w:rsid w:val="76780840"/>
    <w:rsid w:val="767B1E55"/>
    <w:rsid w:val="767D7C04"/>
    <w:rsid w:val="768369FF"/>
    <w:rsid w:val="768B22C3"/>
    <w:rsid w:val="768C42EB"/>
    <w:rsid w:val="769211D6"/>
    <w:rsid w:val="76966F18"/>
    <w:rsid w:val="76967512"/>
    <w:rsid w:val="769A4C1C"/>
    <w:rsid w:val="76A333E3"/>
    <w:rsid w:val="76AA651F"/>
    <w:rsid w:val="76AC2297"/>
    <w:rsid w:val="76AE2039"/>
    <w:rsid w:val="76B178AE"/>
    <w:rsid w:val="76B64EC4"/>
    <w:rsid w:val="76B850E0"/>
    <w:rsid w:val="76BB28DB"/>
    <w:rsid w:val="76BE0F8E"/>
    <w:rsid w:val="76C27D0D"/>
    <w:rsid w:val="76C56949"/>
    <w:rsid w:val="76DE441B"/>
    <w:rsid w:val="76E25CB9"/>
    <w:rsid w:val="76E47C83"/>
    <w:rsid w:val="76E97048"/>
    <w:rsid w:val="76F36118"/>
    <w:rsid w:val="76FD0D45"/>
    <w:rsid w:val="7706409E"/>
    <w:rsid w:val="770E2F52"/>
    <w:rsid w:val="771D3195"/>
    <w:rsid w:val="771D4F43"/>
    <w:rsid w:val="771F6F0D"/>
    <w:rsid w:val="772C162A"/>
    <w:rsid w:val="772C33D8"/>
    <w:rsid w:val="77311B44"/>
    <w:rsid w:val="7731279D"/>
    <w:rsid w:val="77332AA0"/>
    <w:rsid w:val="773C7ABF"/>
    <w:rsid w:val="77440722"/>
    <w:rsid w:val="7746449A"/>
    <w:rsid w:val="774921DC"/>
    <w:rsid w:val="774B6D57"/>
    <w:rsid w:val="774B7D02"/>
    <w:rsid w:val="774E334F"/>
    <w:rsid w:val="774E77F3"/>
    <w:rsid w:val="7750356B"/>
    <w:rsid w:val="77530965"/>
    <w:rsid w:val="77534E09"/>
    <w:rsid w:val="77585F7B"/>
    <w:rsid w:val="775A6197"/>
    <w:rsid w:val="77674410"/>
    <w:rsid w:val="776843DA"/>
    <w:rsid w:val="776C586E"/>
    <w:rsid w:val="776E39F1"/>
    <w:rsid w:val="776F42E7"/>
    <w:rsid w:val="7772528F"/>
    <w:rsid w:val="77737259"/>
    <w:rsid w:val="77770AF7"/>
    <w:rsid w:val="777728A5"/>
    <w:rsid w:val="77784870"/>
    <w:rsid w:val="777C7EBC"/>
    <w:rsid w:val="77822FF8"/>
    <w:rsid w:val="77862AE9"/>
    <w:rsid w:val="77903967"/>
    <w:rsid w:val="77935205"/>
    <w:rsid w:val="77962542"/>
    <w:rsid w:val="779A6594"/>
    <w:rsid w:val="779D6084"/>
    <w:rsid w:val="77A318EC"/>
    <w:rsid w:val="77A412B0"/>
    <w:rsid w:val="77B21B30"/>
    <w:rsid w:val="77B533CE"/>
    <w:rsid w:val="77B8776B"/>
    <w:rsid w:val="77BF249E"/>
    <w:rsid w:val="77C1298F"/>
    <w:rsid w:val="77CB50C8"/>
    <w:rsid w:val="77CD1357"/>
    <w:rsid w:val="77CD6969"/>
    <w:rsid w:val="77CE7524"/>
    <w:rsid w:val="77CF26E1"/>
    <w:rsid w:val="77D17A87"/>
    <w:rsid w:val="77D31AA6"/>
    <w:rsid w:val="77D777E8"/>
    <w:rsid w:val="77D870BC"/>
    <w:rsid w:val="77ED0DBA"/>
    <w:rsid w:val="77F65375"/>
    <w:rsid w:val="7803238B"/>
    <w:rsid w:val="78047EB1"/>
    <w:rsid w:val="78061E7B"/>
    <w:rsid w:val="780659D7"/>
    <w:rsid w:val="781258FD"/>
    <w:rsid w:val="78151CD1"/>
    <w:rsid w:val="781520BE"/>
    <w:rsid w:val="78177BE5"/>
    <w:rsid w:val="781C51FB"/>
    <w:rsid w:val="781E0018"/>
    <w:rsid w:val="781E2FBA"/>
    <w:rsid w:val="78283BA0"/>
    <w:rsid w:val="782D11B6"/>
    <w:rsid w:val="78340796"/>
    <w:rsid w:val="78395DAD"/>
    <w:rsid w:val="7839784B"/>
    <w:rsid w:val="7840538D"/>
    <w:rsid w:val="78434E7D"/>
    <w:rsid w:val="78463590"/>
    <w:rsid w:val="784D3606"/>
    <w:rsid w:val="784F3822"/>
    <w:rsid w:val="785030F6"/>
    <w:rsid w:val="78540E39"/>
    <w:rsid w:val="78554225"/>
    <w:rsid w:val="785D684A"/>
    <w:rsid w:val="7863107C"/>
    <w:rsid w:val="786372CE"/>
    <w:rsid w:val="787349EF"/>
    <w:rsid w:val="78745037"/>
    <w:rsid w:val="78746DE5"/>
    <w:rsid w:val="787E151D"/>
    <w:rsid w:val="787E7E0D"/>
    <w:rsid w:val="78807E39"/>
    <w:rsid w:val="78827754"/>
    <w:rsid w:val="78873930"/>
    <w:rsid w:val="788A485A"/>
    <w:rsid w:val="788C05D2"/>
    <w:rsid w:val="788F1E71"/>
    <w:rsid w:val="789021A1"/>
    <w:rsid w:val="78994A9D"/>
    <w:rsid w:val="789B0816"/>
    <w:rsid w:val="78A07BDA"/>
    <w:rsid w:val="78A14715"/>
    <w:rsid w:val="78A477E3"/>
    <w:rsid w:val="78A734CC"/>
    <w:rsid w:val="78A7540C"/>
    <w:rsid w:val="78AA2807"/>
    <w:rsid w:val="78AB7B6D"/>
    <w:rsid w:val="78AD22F7"/>
    <w:rsid w:val="78B10039"/>
    <w:rsid w:val="78B47B29"/>
    <w:rsid w:val="78B673FD"/>
    <w:rsid w:val="78BC253A"/>
    <w:rsid w:val="78C7785D"/>
    <w:rsid w:val="78DD2BDC"/>
    <w:rsid w:val="78E92E12"/>
    <w:rsid w:val="78EF0B61"/>
    <w:rsid w:val="78FB3062"/>
    <w:rsid w:val="78FC1C7D"/>
    <w:rsid w:val="78FD502C"/>
    <w:rsid w:val="78FF0F43"/>
    <w:rsid w:val="79053EE1"/>
    <w:rsid w:val="7908577F"/>
    <w:rsid w:val="79091C23"/>
    <w:rsid w:val="790E0FE8"/>
    <w:rsid w:val="790F6B0E"/>
    <w:rsid w:val="79226841"/>
    <w:rsid w:val="792702FB"/>
    <w:rsid w:val="792A3948"/>
    <w:rsid w:val="792C76C0"/>
    <w:rsid w:val="792D18AB"/>
    <w:rsid w:val="793622EC"/>
    <w:rsid w:val="793B5B55"/>
    <w:rsid w:val="793D41C6"/>
    <w:rsid w:val="793F7A76"/>
    <w:rsid w:val="794013BD"/>
    <w:rsid w:val="79437415"/>
    <w:rsid w:val="794964C4"/>
    <w:rsid w:val="794A3E22"/>
    <w:rsid w:val="794B3FEA"/>
    <w:rsid w:val="79621333"/>
    <w:rsid w:val="796926C2"/>
    <w:rsid w:val="796B468F"/>
    <w:rsid w:val="796E1A86"/>
    <w:rsid w:val="79817A0B"/>
    <w:rsid w:val="79825532"/>
    <w:rsid w:val="79863274"/>
    <w:rsid w:val="798E037A"/>
    <w:rsid w:val="798E3ED6"/>
    <w:rsid w:val="79927E6B"/>
    <w:rsid w:val="79992BCF"/>
    <w:rsid w:val="799A09A9"/>
    <w:rsid w:val="799A0ACD"/>
    <w:rsid w:val="799E680F"/>
    <w:rsid w:val="79A11E5C"/>
    <w:rsid w:val="79A2473D"/>
    <w:rsid w:val="79AE6327"/>
    <w:rsid w:val="79B24069"/>
    <w:rsid w:val="79B37DE1"/>
    <w:rsid w:val="79B778D1"/>
    <w:rsid w:val="79B853F7"/>
    <w:rsid w:val="79BC6C95"/>
    <w:rsid w:val="79C142AC"/>
    <w:rsid w:val="79C1605A"/>
    <w:rsid w:val="79CA518D"/>
    <w:rsid w:val="79D12015"/>
    <w:rsid w:val="79E85CDC"/>
    <w:rsid w:val="79E955B1"/>
    <w:rsid w:val="79ED4B6B"/>
    <w:rsid w:val="79ED4D77"/>
    <w:rsid w:val="79EF201E"/>
    <w:rsid w:val="79F92431"/>
    <w:rsid w:val="79FA106A"/>
    <w:rsid w:val="7A046E78"/>
    <w:rsid w:val="7A060F1E"/>
    <w:rsid w:val="7A1C7734"/>
    <w:rsid w:val="7A1C7BE9"/>
    <w:rsid w:val="7A2860D9"/>
    <w:rsid w:val="7A3031E0"/>
    <w:rsid w:val="7A304F8E"/>
    <w:rsid w:val="7A3E76AA"/>
    <w:rsid w:val="7A3F3423"/>
    <w:rsid w:val="7A4D5B40"/>
    <w:rsid w:val="7A5377EA"/>
    <w:rsid w:val="7A552C46"/>
    <w:rsid w:val="7A5670C2"/>
    <w:rsid w:val="7A57076C"/>
    <w:rsid w:val="7A5926DA"/>
    <w:rsid w:val="7A5A025C"/>
    <w:rsid w:val="7A5C72A7"/>
    <w:rsid w:val="7A633CF1"/>
    <w:rsid w:val="7A690FFE"/>
    <w:rsid w:val="7A6A04A0"/>
    <w:rsid w:val="7A7031E0"/>
    <w:rsid w:val="7A7948AA"/>
    <w:rsid w:val="7A7C6425"/>
    <w:rsid w:val="7A813A3B"/>
    <w:rsid w:val="7A815FE3"/>
    <w:rsid w:val="7A8B6960"/>
    <w:rsid w:val="7A8D66EA"/>
    <w:rsid w:val="7A925C48"/>
    <w:rsid w:val="7A950625"/>
    <w:rsid w:val="7A990D85"/>
    <w:rsid w:val="7A9F7EE5"/>
    <w:rsid w:val="7AA37E55"/>
    <w:rsid w:val="7AA8721A"/>
    <w:rsid w:val="7AAA5FA3"/>
    <w:rsid w:val="7AAF1560"/>
    <w:rsid w:val="7AB32BE0"/>
    <w:rsid w:val="7AB83901"/>
    <w:rsid w:val="7AB94028"/>
    <w:rsid w:val="7ABE2599"/>
    <w:rsid w:val="7AC34054"/>
    <w:rsid w:val="7AC56C31"/>
    <w:rsid w:val="7ACA53E2"/>
    <w:rsid w:val="7ACC115A"/>
    <w:rsid w:val="7ACD1E40"/>
    <w:rsid w:val="7ACE4ED2"/>
    <w:rsid w:val="7AD27B3B"/>
    <w:rsid w:val="7AD87AFF"/>
    <w:rsid w:val="7AD93877"/>
    <w:rsid w:val="7ADC7B9B"/>
    <w:rsid w:val="7ADE0E8D"/>
    <w:rsid w:val="7AE2097E"/>
    <w:rsid w:val="7AE5221C"/>
    <w:rsid w:val="7AE82F61"/>
    <w:rsid w:val="7AEC5358"/>
    <w:rsid w:val="7AF1626C"/>
    <w:rsid w:val="7AF81F4F"/>
    <w:rsid w:val="7B000E04"/>
    <w:rsid w:val="7B0326A2"/>
    <w:rsid w:val="7B05221A"/>
    <w:rsid w:val="7B0A1C83"/>
    <w:rsid w:val="7B0F7299"/>
    <w:rsid w:val="7B11514A"/>
    <w:rsid w:val="7B136D89"/>
    <w:rsid w:val="7B152B01"/>
    <w:rsid w:val="7B172452"/>
    <w:rsid w:val="7B1813CA"/>
    <w:rsid w:val="7B21235B"/>
    <w:rsid w:val="7B2F16E9"/>
    <w:rsid w:val="7B2F5245"/>
    <w:rsid w:val="7B323B25"/>
    <w:rsid w:val="7B3A2CDF"/>
    <w:rsid w:val="7B42141C"/>
    <w:rsid w:val="7B4464CB"/>
    <w:rsid w:val="7B454B2B"/>
    <w:rsid w:val="7B4554D0"/>
    <w:rsid w:val="7B455BC8"/>
    <w:rsid w:val="7B4A02D1"/>
    <w:rsid w:val="7B4F58E7"/>
    <w:rsid w:val="7B4F6A66"/>
    <w:rsid w:val="7B5250FA"/>
    <w:rsid w:val="7B5573A2"/>
    <w:rsid w:val="7B59284D"/>
    <w:rsid w:val="7B5A49B8"/>
    <w:rsid w:val="7B5B603A"/>
    <w:rsid w:val="7B5F1FCE"/>
    <w:rsid w:val="7B62561B"/>
    <w:rsid w:val="7B656EB9"/>
    <w:rsid w:val="7B66335D"/>
    <w:rsid w:val="7B67277C"/>
    <w:rsid w:val="7B6A2721"/>
    <w:rsid w:val="7B6E3FBF"/>
    <w:rsid w:val="7B752AC1"/>
    <w:rsid w:val="7B771C06"/>
    <w:rsid w:val="7B7833CA"/>
    <w:rsid w:val="7B7C6624"/>
    <w:rsid w:val="7B7D06A6"/>
    <w:rsid w:val="7B8B5655"/>
    <w:rsid w:val="7B9A6B62"/>
    <w:rsid w:val="7B9D6653"/>
    <w:rsid w:val="7BA113EE"/>
    <w:rsid w:val="7BA43B28"/>
    <w:rsid w:val="7BA45C33"/>
    <w:rsid w:val="7BAC4AE8"/>
    <w:rsid w:val="7BB0282A"/>
    <w:rsid w:val="7BB67714"/>
    <w:rsid w:val="7BB73BB8"/>
    <w:rsid w:val="7BB826BA"/>
    <w:rsid w:val="7BBC11CF"/>
    <w:rsid w:val="7BC843E7"/>
    <w:rsid w:val="7BD04C7A"/>
    <w:rsid w:val="7BD52290"/>
    <w:rsid w:val="7BD83B2F"/>
    <w:rsid w:val="7BD87FD6"/>
    <w:rsid w:val="7BDA3403"/>
    <w:rsid w:val="7BDC53CD"/>
    <w:rsid w:val="7BE73D72"/>
    <w:rsid w:val="7BE81FC4"/>
    <w:rsid w:val="7BF541E2"/>
    <w:rsid w:val="7BFC3B8D"/>
    <w:rsid w:val="7BFF0AD5"/>
    <w:rsid w:val="7C013085"/>
    <w:rsid w:val="7C025578"/>
    <w:rsid w:val="7C0641F8"/>
    <w:rsid w:val="7C08668B"/>
    <w:rsid w:val="7C0879AA"/>
    <w:rsid w:val="7C0B6494"/>
    <w:rsid w:val="7C0E1761"/>
    <w:rsid w:val="7C120DEF"/>
    <w:rsid w:val="7C15268D"/>
    <w:rsid w:val="7C16681D"/>
    <w:rsid w:val="7C174418"/>
    <w:rsid w:val="7C174657"/>
    <w:rsid w:val="7C2730B8"/>
    <w:rsid w:val="7C2D79D7"/>
    <w:rsid w:val="7C2E19A1"/>
    <w:rsid w:val="7C345209"/>
    <w:rsid w:val="7C3E7E36"/>
    <w:rsid w:val="7C43369E"/>
    <w:rsid w:val="7C442F72"/>
    <w:rsid w:val="7C482A62"/>
    <w:rsid w:val="7C4A1CE5"/>
    <w:rsid w:val="7C4E11E5"/>
    <w:rsid w:val="7C4F5F41"/>
    <w:rsid w:val="7C574A54"/>
    <w:rsid w:val="7C5A2796"/>
    <w:rsid w:val="7C5E2286"/>
    <w:rsid w:val="7C5F1B5A"/>
    <w:rsid w:val="7C6453C2"/>
    <w:rsid w:val="7C647378"/>
    <w:rsid w:val="7C684EB3"/>
    <w:rsid w:val="7C6B49A3"/>
    <w:rsid w:val="7C6D24C9"/>
    <w:rsid w:val="7C706666"/>
    <w:rsid w:val="7C7750F6"/>
    <w:rsid w:val="7C7F3FAA"/>
    <w:rsid w:val="7C8B294F"/>
    <w:rsid w:val="7C8F0BC0"/>
    <w:rsid w:val="7C9022C9"/>
    <w:rsid w:val="7C95557C"/>
    <w:rsid w:val="7C98391B"/>
    <w:rsid w:val="7C9C690A"/>
    <w:rsid w:val="7C9E08D4"/>
    <w:rsid w:val="7C9E2682"/>
    <w:rsid w:val="7CAF28C1"/>
    <w:rsid w:val="7CB00608"/>
    <w:rsid w:val="7CB77BE8"/>
    <w:rsid w:val="7CB93023"/>
    <w:rsid w:val="7CC3033B"/>
    <w:rsid w:val="7CCD11BA"/>
    <w:rsid w:val="7CCD4D16"/>
    <w:rsid w:val="7CCF4F32"/>
    <w:rsid w:val="7CD267D0"/>
    <w:rsid w:val="7CDB38D7"/>
    <w:rsid w:val="7CDC31AB"/>
    <w:rsid w:val="7CE21998"/>
    <w:rsid w:val="7CE331FC"/>
    <w:rsid w:val="7CE64029"/>
    <w:rsid w:val="7CEA1D6C"/>
    <w:rsid w:val="7CED360A"/>
    <w:rsid w:val="7CED61C1"/>
    <w:rsid w:val="7CED7166"/>
    <w:rsid w:val="7CEF2EDE"/>
    <w:rsid w:val="7CF84488"/>
    <w:rsid w:val="7CF93D5D"/>
    <w:rsid w:val="7CFB5D27"/>
    <w:rsid w:val="7CFC1270"/>
    <w:rsid w:val="7D0050EB"/>
    <w:rsid w:val="7D007775"/>
    <w:rsid w:val="7D0270B5"/>
    <w:rsid w:val="7D0D15B6"/>
    <w:rsid w:val="7D0D1CB9"/>
    <w:rsid w:val="7D100FEF"/>
    <w:rsid w:val="7D197F5B"/>
    <w:rsid w:val="7D2E5A5B"/>
    <w:rsid w:val="7D32101D"/>
    <w:rsid w:val="7D364FB1"/>
    <w:rsid w:val="7D3A2409"/>
    <w:rsid w:val="7D3E3E65"/>
    <w:rsid w:val="7D441CBC"/>
    <w:rsid w:val="7D453FFD"/>
    <w:rsid w:val="7D4623A8"/>
    <w:rsid w:val="7D496A0D"/>
    <w:rsid w:val="7D4C550D"/>
    <w:rsid w:val="7D4E157B"/>
    <w:rsid w:val="7D511DEB"/>
    <w:rsid w:val="7D5471E5"/>
    <w:rsid w:val="7D5477BD"/>
    <w:rsid w:val="7D5611AF"/>
    <w:rsid w:val="7D586CD5"/>
    <w:rsid w:val="7D6513F2"/>
    <w:rsid w:val="7D661446"/>
    <w:rsid w:val="7D6E10E2"/>
    <w:rsid w:val="7D755AD9"/>
    <w:rsid w:val="7D796C4C"/>
    <w:rsid w:val="7D7B0C16"/>
    <w:rsid w:val="7D7D673C"/>
    <w:rsid w:val="7D8201F6"/>
    <w:rsid w:val="7D821FA4"/>
    <w:rsid w:val="7D842AE0"/>
    <w:rsid w:val="7D876359"/>
    <w:rsid w:val="7D891584"/>
    <w:rsid w:val="7D8950E1"/>
    <w:rsid w:val="7D937D0D"/>
    <w:rsid w:val="7D9817C8"/>
    <w:rsid w:val="7D9A72EE"/>
    <w:rsid w:val="7DA0242A"/>
    <w:rsid w:val="7DA55C93"/>
    <w:rsid w:val="7DA64255"/>
    <w:rsid w:val="7DB06B11"/>
    <w:rsid w:val="7DB163E5"/>
    <w:rsid w:val="7DB3215D"/>
    <w:rsid w:val="7DB44FF6"/>
    <w:rsid w:val="7DB859C6"/>
    <w:rsid w:val="7DBC3708"/>
    <w:rsid w:val="7DBF4FA6"/>
    <w:rsid w:val="7DC12ACC"/>
    <w:rsid w:val="7DC223A1"/>
    <w:rsid w:val="7DC4436B"/>
    <w:rsid w:val="7DC97BD3"/>
    <w:rsid w:val="7DD02D0F"/>
    <w:rsid w:val="7DD722F0"/>
    <w:rsid w:val="7DE40569"/>
    <w:rsid w:val="7DE467BB"/>
    <w:rsid w:val="7DE95B7F"/>
    <w:rsid w:val="7DF34C50"/>
    <w:rsid w:val="7DF37B69"/>
    <w:rsid w:val="7DF52776"/>
    <w:rsid w:val="7DF764EE"/>
    <w:rsid w:val="7DF86912"/>
    <w:rsid w:val="7DFA7D8C"/>
    <w:rsid w:val="7DFC3B04"/>
    <w:rsid w:val="7DFD10C4"/>
    <w:rsid w:val="7E09024E"/>
    <w:rsid w:val="7E0B3D48"/>
    <w:rsid w:val="7E0E1A8A"/>
    <w:rsid w:val="7E0E6A8C"/>
    <w:rsid w:val="7E1A21DD"/>
    <w:rsid w:val="7E1E0B58"/>
    <w:rsid w:val="7E2B263C"/>
    <w:rsid w:val="7E310B05"/>
    <w:rsid w:val="7E357016"/>
    <w:rsid w:val="7E424159"/>
    <w:rsid w:val="7E434DF3"/>
    <w:rsid w:val="7E4436FD"/>
    <w:rsid w:val="7E447259"/>
    <w:rsid w:val="7E494870"/>
    <w:rsid w:val="7E4D25B2"/>
    <w:rsid w:val="7E5751DF"/>
    <w:rsid w:val="7E5F5E41"/>
    <w:rsid w:val="7E6D67B0"/>
    <w:rsid w:val="7E7044F2"/>
    <w:rsid w:val="7E725B75"/>
    <w:rsid w:val="7E8B3CD3"/>
    <w:rsid w:val="7E8D08E2"/>
    <w:rsid w:val="7E950CE7"/>
    <w:rsid w:val="7E9E4BBC"/>
    <w:rsid w:val="7EA40CFA"/>
    <w:rsid w:val="7EA90D5A"/>
    <w:rsid w:val="7EAB552B"/>
    <w:rsid w:val="7EAD3051"/>
    <w:rsid w:val="7EB048EF"/>
    <w:rsid w:val="7EB21FDA"/>
    <w:rsid w:val="7EB45671"/>
    <w:rsid w:val="7EB663A9"/>
    <w:rsid w:val="7EBE0DBA"/>
    <w:rsid w:val="7EC078D4"/>
    <w:rsid w:val="7EC62364"/>
    <w:rsid w:val="7EC87E8B"/>
    <w:rsid w:val="7ECA3C03"/>
    <w:rsid w:val="7ECD36F3"/>
    <w:rsid w:val="7ED607F9"/>
    <w:rsid w:val="7ED76320"/>
    <w:rsid w:val="7EDC1B88"/>
    <w:rsid w:val="7EE06F82"/>
    <w:rsid w:val="7EE97F4C"/>
    <w:rsid w:val="7EF2057B"/>
    <w:rsid w:val="7EF42A2E"/>
    <w:rsid w:val="7EF64A04"/>
    <w:rsid w:val="7EFB0260"/>
    <w:rsid w:val="7F0030A6"/>
    <w:rsid w:val="7F005876"/>
    <w:rsid w:val="7F0215EE"/>
    <w:rsid w:val="7F054C3B"/>
    <w:rsid w:val="7F080AB1"/>
    <w:rsid w:val="7F0B7D77"/>
    <w:rsid w:val="7F0F06E7"/>
    <w:rsid w:val="7F1D01D6"/>
    <w:rsid w:val="7F211349"/>
    <w:rsid w:val="7F2E23E3"/>
    <w:rsid w:val="7F3177DE"/>
    <w:rsid w:val="7F392B36"/>
    <w:rsid w:val="7F3948E4"/>
    <w:rsid w:val="7F3B065C"/>
    <w:rsid w:val="7F4339B5"/>
    <w:rsid w:val="7F477001"/>
    <w:rsid w:val="7F4F4108"/>
    <w:rsid w:val="7F511C2E"/>
    <w:rsid w:val="7F533BF8"/>
    <w:rsid w:val="7F54182C"/>
    <w:rsid w:val="7F544E27"/>
    <w:rsid w:val="7F565496"/>
    <w:rsid w:val="7F596D35"/>
    <w:rsid w:val="7F5B485B"/>
    <w:rsid w:val="7F5D4923"/>
    <w:rsid w:val="7F625BE9"/>
    <w:rsid w:val="7F651B7D"/>
    <w:rsid w:val="7F68347E"/>
    <w:rsid w:val="7F6C4CBA"/>
    <w:rsid w:val="7F765B38"/>
    <w:rsid w:val="7F7968F7"/>
    <w:rsid w:val="7F7B4EFD"/>
    <w:rsid w:val="7F7E49ED"/>
    <w:rsid w:val="7F7F5E47"/>
    <w:rsid w:val="7F800765"/>
    <w:rsid w:val="7F8042C1"/>
    <w:rsid w:val="7F8518D8"/>
    <w:rsid w:val="7F855D7C"/>
    <w:rsid w:val="7F871AF4"/>
    <w:rsid w:val="7F8C710A"/>
    <w:rsid w:val="7F961D37"/>
    <w:rsid w:val="7F983D01"/>
    <w:rsid w:val="7F991773"/>
    <w:rsid w:val="7FAF4BA7"/>
    <w:rsid w:val="7FB1091F"/>
    <w:rsid w:val="7FBA042D"/>
    <w:rsid w:val="7FC56EAA"/>
    <w:rsid w:val="7FEA0D19"/>
    <w:rsid w:val="7FEB2083"/>
    <w:rsid w:val="7FEC7BA9"/>
    <w:rsid w:val="7FF52F01"/>
    <w:rsid w:val="7FF627D5"/>
    <w:rsid w:val="7FF76C79"/>
    <w:rsid w:val="7FF81E76"/>
    <w:rsid w:val="7FFB603E"/>
    <w:rsid w:val="7FFD3B64"/>
    <w:rsid w:val="7FFE2C2E"/>
    <w:rsid w:val="7FFF5B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uiPriority="99" w:name="HTML Typewriter"/>
    <w:lsdException w:qFormat="1" w:uiPriority="99" w:semiHidden="0"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8"/>
    <w:qFormat/>
    <w:uiPriority w:val="9"/>
    <w:pPr>
      <w:keepNext/>
      <w:keepLines/>
      <w:spacing w:before="200" w:after="200" w:line="579" w:lineRule="auto"/>
      <w:jc w:val="center"/>
      <w:outlineLvl w:val="0"/>
    </w:pPr>
    <w:rPr>
      <w:b/>
      <w:bCs/>
      <w:kern w:val="44"/>
      <w:sz w:val="36"/>
      <w:szCs w:val="44"/>
    </w:rPr>
  </w:style>
  <w:style w:type="paragraph" w:styleId="3">
    <w:name w:val="heading 2"/>
    <w:basedOn w:val="1"/>
    <w:next w:val="1"/>
    <w:link w:val="59"/>
    <w:qFormat/>
    <w:uiPriority w:val="0"/>
    <w:pPr>
      <w:keepNext/>
      <w:keepLines/>
      <w:spacing w:before="260" w:after="260" w:line="416" w:lineRule="auto"/>
      <w:jc w:val="center"/>
      <w:outlineLvl w:val="1"/>
    </w:pPr>
    <w:rPr>
      <w:rFonts w:ascii="Arial" w:hAnsi="Arial" w:eastAsia="幼圆"/>
      <w:b/>
      <w:bCs/>
      <w:kern w:val="0"/>
      <w:sz w:val="44"/>
      <w:szCs w:val="44"/>
    </w:rPr>
  </w:style>
  <w:style w:type="paragraph" w:styleId="4">
    <w:name w:val="heading 3"/>
    <w:basedOn w:val="1"/>
    <w:next w:val="1"/>
    <w:qFormat/>
    <w:uiPriority w:val="9"/>
    <w:pPr>
      <w:keepNext/>
      <w:keepLines/>
      <w:spacing w:before="260" w:after="260" w:line="416" w:lineRule="auto"/>
      <w:outlineLvl w:val="2"/>
    </w:pPr>
    <w:rPr>
      <w:b/>
      <w:kern w:val="0"/>
      <w:sz w:val="32"/>
      <w:szCs w:val="20"/>
    </w:rPr>
  </w:style>
  <w:style w:type="paragraph" w:styleId="5">
    <w:name w:val="heading 4"/>
    <w:basedOn w:val="1"/>
    <w:next w:val="1"/>
    <w:qFormat/>
    <w:uiPriority w:val="9"/>
    <w:pPr>
      <w:spacing w:beforeLines="150" w:afterLines="150"/>
      <w:outlineLvl w:val="3"/>
    </w:pPr>
    <w:rPr>
      <w:rFonts w:ascii="宋体" w:hAnsi="宋体"/>
      <w:color w:val="000000"/>
      <w:sz w:val="24"/>
      <w:szCs w:val="28"/>
      <w:u w:val="single"/>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qFormat/>
    <w:uiPriority w:val="0"/>
    <w:pPr>
      <w:ind w:left="420" w:leftChars="200"/>
    </w:pPr>
  </w:style>
  <w:style w:type="paragraph" w:styleId="7">
    <w:name w:val="Normal Indent"/>
    <w:basedOn w:val="1"/>
    <w:link w:val="60"/>
    <w:qFormat/>
    <w:uiPriority w:val="0"/>
    <w:pPr>
      <w:ind w:firstLine="420"/>
    </w:pPr>
    <w:rPr>
      <w:kern w:val="0"/>
      <w:sz w:val="20"/>
      <w:szCs w:val="21"/>
    </w:rPr>
  </w:style>
  <w:style w:type="paragraph" w:styleId="8">
    <w:name w:val="Document Map"/>
    <w:basedOn w:val="1"/>
    <w:link w:val="61"/>
    <w:unhideWhenUsed/>
    <w:qFormat/>
    <w:uiPriority w:val="99"/>
    <w:rPr>
      <w:rFonts w:ascii="宋体"/>
      <w:sz w:val="18"/>
      <w:szCs w:val="18"/>
    </w:rPr>
  </w:style>
  <w:style w:type="paragraph" w:styleId="9">
    <w:name w:val="annotation text"/>
    <w:basedOn w:val="1"/>
    <w:link w:val="62"/>
    <w:unhideWhenUsed/>
    <w:qFormat/>
    <w:uiPriority w:val="99"/>
    <w:pPr>
      <w:jc w:val="left"/>
    </w:pPr>
  </w:style>
  <w:style w:type="paragraph" w:styleId="10">
    <w:name w:val="Body Text"/>
    <w:basedOn w:val="1"/>
    <w:unhideWhenUsed/>
    <w:qFormat/>
    <w:uiPriority w:val="99"/>
    <w:rPr>
      <w:rFonts w:ascii="楷体_GB2312" w:hAnsi="Arial" w:eastAsia="楷体_GB2312"/>
      <w:kern w:val="0"/>
      <w:sz w:val="28"/>
      <w:szCs w:val="28"/>
    </w:rPr>
  </w:style>
  <w:style w:type="paragraph" w:styleId="11">
    <w:name w:val="Body Text Indent"/>
    <w:basedOn w:val="1"/>
    <w:next w:val="12"/>
    <w:unhideWhenUsed/>
    <w:qFormat/>
    <w:uiPriority w:val="99"/>
    <w:pPr>
      <w:spacing w:line="400" w:lineRule="exact"/>
      <w:ind w:firstLine="540" w:firstLineChars="225"/>
    </w:pPr>
    <w:rPr>
      <w:sz w:val="24"/>
    </w:rPr>
  </w:style>
  <w:style w:type="paragraph" w:styleId="12">
    <w:name w:val="envelope return"/>
    <w:basedOn w:val="1"/>
    <w:unhideWhenUsed/>
    <w:qFormat/>
    <w:uiPriority w:val="99"/>
    <w:pPr>
      <w:snapToGrid w:val="0"/>
    </w:pPr>
    <w:rPr>
      <w:rFonts w:ascii="Arial" w:hAnsi="Arial"/>
    </w:rPr>
  </w:style>
  <w:style w:type="paragraph" w:styleId="13">
    <w:name w:val="List Bullet 2"/>
    <w:basedOn w:val="1"/>
    <w:unhideWhenUsed/>
    <w:qFormat/>
    <w:uiPriority w:val="99"/>
    <w:pPr>
      <w:numPr>
        <w:ilvl w:val="0"/>
        <w:numId w:val="1"/>
      </w:numPr>
    </w:pPr>
  </w:style>
  <w:style w:type="paragraph" w:styleId="14">
    <w:name w:val="Plain Text"/>
    <w:basedOn w:val="1"/>
    <w:link w:val="63"/>
    <w:qFormat/>
    <w:uiPriority w:val="0"/>
    <w:rPr>
      <w:rFonts w:ascii="宋体" w:hAnsi="Courier New"/>
      <w:kern w:val="0"/>
      <w:sz w:val="20"/>
      <w:szCs w:val="21"/>
    </w:rPr>
  </w:style>
  <w:style w:type="paragraph" w:styleId="15">
    <w:name w:val="toc 8"/>
    <w:basedOn w:val="1"/>
    <w:next w:val="1"/>
    <w:qFormat/>
    <w:uiPriority w:val="39"/>
    <w:pPr>
      <w:widowControl/>
      <w:overflowPunct w:val="0"/>
      <w:autoSpaceDE w:val="0"/>
      <w:autoSpaceDN w:val="0"/>
      <w:adjustRightInd w:val="0"/>
      <w:spacing w:line="360" w:lineRule="auto"/>
      <w:ind w:left="1960"/>
      <w:jc w:val="left"/>
      <w:textAlignment w:val="baseline"/>
    </w:pPr>
    <w:rPr>
      <w:kern w:val="0"/>
      <w:sz w:val="18"/>
      <w:szCs w:val="18"/>
    </w:rPr>
  </w:style>
  <w:style w:type="paragraph" w:styleId="16">
    <w:name w:val="Date"/>
    <w:basedOn w:val="1"/>
    <w:next w:val="1"/>
    <w:link w:val="64"/>
    <w:qFormat/>
    <w:uiPriority w:val="0"/>
    <w:rPr>
      <w:kern w:val="0"/>
      <w:sz w:val="24"/>
      <w:szCs w:val="20"/>
    </w:rPr>
  </w:style>
  <w:style w:type="paragraph" w:styleId="17">
    <w:name w:val="Body Text Indent 2"/>
    <w:basedOn w:val="1"/>
    <w:unhideWhenUsed/>
    <w:qFormat/>
    <w:uiPriority w:val="99"/>
    <w:pPr>
      <w:spacing w:line="520" w:lineRule="exact"/>
      <w:ind w:firstLine="510"/>
    </w:pPr>
    <w:rPr>
      <w:rFonts w:ascii="华文仿宋" w:eastAsia="华文仿宋"/>
      <w:sz w:val="28"/>
    </w:rPr>
  </w:style>
  <w:style w:type="paragraph" w:styleId="18">
    <w:name w:val="Balloon Text"/>
    <w:basedOn w:val="1"/>
    <w:link w:val="65"/>
    <w:unhideWhenUsed/>
    <w:qFormat/>
    <w:uiPriority w:val="99"/>
    <w:rPr>
      <w:kern w:val="0"/>
      <w:sz w:val="18"/>
      <w:szCs w:val="18"/>
    </w:rPr>
  </w:style>
  <w:style w:type="paragraph" w:styleId="19">
    <w:name w:val="footer"/>
    <w:basedOn w:val="1"/>
    <w:link w:val="66"/>
    <w:unhideWhenUsed/>
    <w:qFormat/>
    <w:uiPriority w:val="99"/>
    <w:pPr>
      <w:tabs>
        <w:tab w:val="center" w:pos="4153"/>
        <w:tab w:val="right" w:pos="8306"/>
      </w:tabs>
      <w:snapToGrid w:val="0"/>
      <w:jc w:val="left"/>
    </w:pPr>
    <w:rPr>
      <w:kern w:val="0"/>
      <w:sz w:val="18"/>
      <w:szCs w:val="18"/>
    </w:rPr>
  </w:style>
  <w:style w:type="paragraph" w:styleId="20">
    <w:name w:val="header"/>
    <w:basedOn w:val="1"/>
    <w:link w:val="6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unhideWhenUsed/>
    <w:qFormat/>
    <w:uiPriority w:val="39"/>
  </w:style>
  <w:style w:type="paragraph" w:styleId="22">
    <w:name w:val="toc 2"/>
    <w:basedOn w:val="1"/>
    <w:next w:val="1"/>
    <w:unhideWhenUsed/>
    <w:qFormat/>
    <w:uiPriority w:val="39"/>
    <w:pPr>
      <w:ind w:left="420" w:leftChars="200"/>
    </w:pPr>
  </w:style>
  <w:style w:type="paragraph" w:styleId="23">
    <w:name w:val="toc 9"/>
    <w:basedOn w:val="1"/>
    <w:next w:val="1"/>
    <w:qFormat/>
    <w:uiPriority w:val="0"/>
    <w:pPr>
      <w:ind w:left="3360" w:leftChars="1600"/>
    </w:pPr>
    <w:rPr>
      <w:rFonts w:ascii="Calibri" w:hAnsi="Calibri"/>
    </w:rPr>
  </w:style>
  <w:style w:type="paragraph" w:styleId="24">
    <w:name w:val="Body Text 2"/>
    <w:basedOn w:val="1"/>
    <w:qFormat/>
    <w:uiPriority w:val="0"/>
    <w:pPr>
      <w:spacing w:after="120" w:line="480" w:lineRule="auto"/>
    </w:pPr>
  </w:style>
  <w:style w:type="paragraph" w:styleId="2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6">
    <w:name w:val="Title"/>
    <w:basedOn w:val="1"/>
    <w:next w:val="1"/>
    <w:qFormat/>
    <w:uiPriority w:val="0"/>
    <w:pPr>
      <w:tabs>
        <w:tab w:val="left" w:pos="709"/>
        <w:tab w:val="left" w:pos="975"/>
        <w:tab w:val="left" w:pos="1418"/>
        <w:tab w:val="left" w:pos="2126"/>
        <w:tab w:val="left" w:pos="2835"/>
        <w:tab w:val="left" w:pos="3544"/>
        <w:tab w:val="left" w:pos="4253"/>
        <w:tab w:val="left" w:pos="4961"/>
        <w:tab w:val="left" w:pos="5670"/>
      </w:tabs>
      <w:adjustRightInd w:val="0"/>
      <w:snapToGrid w:val="0"/>
      <w:jc w:val="left"/>
      <w:outlineLvl w:val="0"/>
    </w:pPr>
    <w:rPr>
      <w:b/>
      <w:sz w:val="24"/>
      <w:szCs w:val="20"/>
    </w:rPr>
  </w:style>
  <w:style w:type="paragraph" w:styleId="27">
    <w:name w:val="annotation subject"/>
    <w:basedOn w:val="9"/>
    <w:next w:val="9"/>
    <w:link w:val="68"/>
    <w:unhideWhenUsed/>
    <w:qFormat/>
    <w:uiPriority w:val="99"/>
    <w:rPr>
      <w:b/>
      <w:bCs/>
    </w:rPr>
  </w:style>
  <w:style w:type="paragraph" w:styleId="28">
    <w:name w:val="Body Text First Indent"/>
    <w:basedOn w:val="10"/>
    <w:qFormat/>
    <w:uiPriority w:val="0"/>
    <w:pPr>
      <w:spacing w:before="100" w:after="100" w:line="360" w:lineRule="atLeast"/>
      <w:ind w:firstLine="425"/>
      <w:textAlignment w:val="baseline"/>
    </w:pPr>
    <w:rPr>
      <w:rFonts w:ascii="Times New Roman" w:hAnsi="Times New Roman" w:eastAsia="宋体"/>
    </w:rPr>
  </w:style>
  <w:style w:type="paragraph" w:styleId="29">
    <w:name w:val="Body Text First Indent 2"/>
    <w:basedOn w:val="11"/>
    <w:unhideWhenUsed/>
    <w:qFormat/>
    <w:uiPriority w:val="99"/>
    <w:pPr>
      <w:ind w:firstLine="420" w:firstLineChars="200"/>
    </w:pPr>
  </w:style>
  <w:style w:type="table" w:styleId="31">
    <w:name w:val="Table Grid"/>
    <w:basedOn w:val="30"/>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qFormat/>
    <w:uiPriority w:val="22"/>
    <w:rPr>
      <w:b/>
    </w:rPr>
  </w:style>
  <w:style w:type="character" w:styleId="34">
    <w:name w:val="page number"/>
    <w:unhideWhenUsed/>
    <w:qFormat/>
    <w:uiPriority w:val="99"/>
  </w:style>
  <w:style w:type="character" w:styleId="35">
    <w:name w:val="FollowedHyperlink"/>
    <w:unhideWhenUsed/>
    <w:qFormat/>
    <w:uiPriority w:val="99"/>
    <w:rPr>
      <w:color w:val="338DE6"/>
      <w:u w:val="none"/>
    </w:rPr>
  </w:style>
  <w:style w:type="character" w:styleId="36">
    <w:name w:val="Emphasis"/>
    <w:qFormat/>
    <w:uiPriority w:val="20"/>
  </w:style>
  <w:style w:type="character" w:styleId="37">
    <w:name w:val="HTML Definition"/>
    <w:unhideWhenUsed/>
    <w:qFormat/>
    <w:uiPriority w:val="99"/>
  </w:style>
  <w:style w:type="character" w:styleId="38">
    <w:name w:val="HTML Variable"/>
    <w:unhideWhenUsed/>
    <w:qFormat/>
    <w:uiPriority w:val="99"/>
  </w:style>
  <w:style w:type="character" w:styleId="39">
    <w:name w:val="Hyperlink"/>
    <w:basedOn w:val="32"/>
    <w:unhideWhenUsed/>
    <w:qFormat/>
    <w:uiPriority w:val="99"/>
    <w:rPr>
      <w:color w:val="338DE6"/>
      <w:u w:val="none"/>
    </w:rPr>
  </w:style>
  <w:style w:type="character" w:styleId="40">
    <w:name w:val="HTML Code"/>
    <w:unhideWhenUsed/>
    <w:qFormat/>
    <w:uiPriority w:val="99"/>
    <w:rPr>
      <w:rFonts w:hint="default" w:ascii="serif" w:hAnsi="serif" w:eastAsia="serif" w:cs="serif"/>
      <w:sz w:val="21"/>
      <w:szCs w:val="21"/>
    </w:rPr>
  </w:style>
  <w:style w:type="character" w:styleId="41">
    <w:name w:val="annotation reference"/>
    <w:unhideWhenUsed/>
    <w:qFormat/>
    <w:uiPriority w:val="99"/>
    <w:rPr>
      <w:sz w:val="21"/>
      <w:szCs w:val="21"/>
    </w:rPr>
  </w:style>
  <w:style w:type="character" w:styleId="42">
    <w:name w:val="HTML Cite"/>
    <w:unhideWhenUsed/>
    <w:qFormat/>
    <w:uiPriority w:val="99"/>
  </w:style>
  <w:style w:type="character" w:styleId="43">
    <w:name w:val="HTML Keyboard"/>
    <w:unhideWhenUsed/>
    <w:qFormat/>
    <w:uiPriority w:val="99"/>
    <w:rPr>
      <w:rFonts w:ascii="serif" w:hAnsi="serif" w:eastAsia="serif" w:cs="serif"/>
      <w:sz w:val="21"/>
      <w:szCs w:val="21"/>
    </w:rPr>
  </w:style>
  <w:style w:type="character" w:styleId="44">
    <w:name w:val="HTML Sample"/>
    <w:unhideWhenUsed/>
    <w:qFormat/>
    <w:uiPriority w:val="99"/>
    <w:rPr>
      <w:rFonts w:hint="default" w:ascii="serif" w:hAnsi="serif" w:eastAsia="serif" w:cs="serif"/>
      <w:sz w:val="21"/>
      <w:szCs w:val="21"/>
    </w:rPr>
  </w:style>
  <w:style w:type="paragraph" w:customStyle="1" w:styleId="45">
    <w:name w:val="标题 31"/>
    <w:basedOn w:val="46"/>
    <w:next w:val="46"/>
    <w:qFormat/>
    <w:uiPriority w:val="99"/>
    <w:pPr>
      <w:keepNext/>
      <w:keepLines/>
      <w:spacing w:before="260" w:after="260" w:line="416" w:lineRule="auto"/>
      <w:outlineLvl w:val="2"/>
    </w:pPr>
    <w:rPr>
      <w:b/>
      <w:bCs/>
      <w:sz w:val="32"/>
      <w:szCs w:val="32"/>
    </w:rPr>
  </w:style>
  <w:style w:type="paragraph" w:customStyle="1" w:styleId="46">
    <w:name w:val="正文1"/>
    <w:basedOn w:val="1"/>
    <w:next w:val="47"/>
    <w:qFormat/>
    <w:uiPriority w:val="0"/>
    <w:pPr>
      <w:spacing w:before="156"/>
      <w:ind w:firstLine="510" w:firstLineChars="200"/>
    </w:pPr>
    <w:rPr>
      <w:szCs w:val="20"/>
    </w:rPr>
  </w:style>
  <w:style w:type="paragraph" w:customStyle="1" w:styleId="47">
    <w:name w:val="正文文本1"/>
    <w:basedOn w:val="46"/>
    <w:next w:val="48"/>
    <w:qFormat/>
    <w:uiPriority w:val="0"/>
    <w:pPr>
      <w:spacing w:after="120"/>
    </w:pPr>
    <w:rPr>
      <w:lang w:eastAsia="en-US"/>
    </w:rPr>
  </w:style>
  <w:style w:type="paragraph" w:customStyle="1" w:styleId="48">
    <w:name w:val="目录 21"/>
    <w:basedOn w:val="1"/>
    <w:next w:val="1"/>
    <w:qFormat/>
    <w:uiPriority w:val="39"/>
    <w:pPr>
      <w:ind w:left="210"/>
      <w:jc w:val="left"/>
    </w:pPr>
    <w:rPr>
      <w:smallCaps/>
      <w:szCs w:val="24"/>
    </w:rPr>
  </w:style>
  <w:style w:type="paragraph" w:customStyle="1" w:styleId="49">
    <w:name w:val="正文（缩进）"/>
    <w:basedOn w:val="50"/>
    <w:next w:val="51"/>
    <w:qFormat/>
    <w:uiPriority w:val="0"/>
    <w:pPr>
      <w:ind w:firstLine="480" w:firstLineChars="200"/>
    </w:pPr>
  </w:style>
  <w:style w:type="paragraph" w:customStyle="1" w:styleId="50">
    <w:name w:val="正文_2_0"/>
    <w:next w:val="4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Char Char Char Char Char Char Char Char Char"/>
    <w:basedOn w:val="1"/>
    <w:next w:val="52"/>
    <w:qFormat/>
    <w:uiPriority w:val="0"/>
    <w:pPr>
      <w:ind w:left="360" w:firstLine="5784"/>
    </w:pPr>
  </w:style>
  <w:style w:type="paragraph" w:customStyle="1" w:styleId="52">
    <w:name w:val="正文文本 21"/>
    <w:basedOn w:val="1"/>
    <w:next w:val="53"/>
    <w:qFormat/>
    <w:uiPriority w:val="0"/>
    <w:pPr>
      <w:widowControl/>
      <w:autoSpaceDE w:val="0"/>
      <w:autoSpaceDN w:val="0"/>
      <w:ind w:left="720" w:firstLine="5680"/>
    </w:pPr>
  </w:style>
  <w:style w:type="paragraph" w:customStyle="1" w:styleId="53">
    <w:name w:val="默认段落字体 Para Char Char Char Char Char Char Char"/>
    <w:basedOn w:val="1"/>
    <w:next w:val="54"/>
    <w:qFormat/>
    <w:uiPriority w:val="0"/>
    <w:pPr>
      <w:ind w:firstLine="200" w:firstLineChars="200"/>
    </w:pPr>
    <w:rPr>
      <w:rFonts w:cs="Arial"/>
    </w:rPr>
  </w:style>
  <w:style w:type="paragraph" w:customStyle="1" w:styleId="54">
    <w:name w:val="样式 首行缩进:  2 字符"/>
    <w:basedOn w:val="1"/>
    <w:next w:val="55"/>
    <w:qFormat/>
    <w:uiPriority w:val="0"/>
    <w:pPr>
      <w:spacing w:line="360" w:lineRule="auto"/>
      <w:ind w:left="480" w:firstLine="5856"/>
    </w:pPr>
  </w:style>
  <w:style w:type="paragraph" w:customStyle="1" w:styleId="55">
    <w:name w:val="样式 段后: 0.25 行"/>
    <w:basedOn w:val="1"/>
    <w:next w:val="56"/>
    <w:qFormat/>
    <w:uiPriority w:val="0"/>
    <w:pPr>
      <w:widowControl/>
      <w:spacing w:line="300" w:lineRule="auto"/>
      <w:ind w:left="420" w:firstLine="5796"/>
    </w:pPr>
  </w:style>
  <w:style w:type="paragraph" w:customStyle="1" w:styleId="56">
    <w:name w:val="正文 New New New New New New New New New New New New New New"/>
    <w:next w:val="23"/>
    <w:qFormat/>
    <w:uiPriority w:val="0"/>
    <w:pPr>
      <w:widowControl w:val="0"/>
      <w:ind w:firstLine="2048"/>
      <w:jc w:val="both"/>
    </w:pPr>
    <w:rPr>
      <w:rFonts w:ascii="Calibri" w:hAnsi="Calibri" w:eastAsia="宋体" w:cs="Times New Roman"/>
      <w:lang w:val="en-US" w:eastAsia="zh-CN" w:bidi="ar-SA"/>
    </w:rPr>
  </w:style>
  <w:style w:type="paragraph" w:customStyle="1" w:styleId="57">
    <w:name w:val="Char Char Char Char Char"/>
    <w:basedOn w:val="1"/>
    <w:next w:val="1"/>
    <w:qFormat/>
    <w:uiPriority w:val="0"/>
    <w:pPr>
      <w:ind w:firstLine="5632"/>
    </w:pPr>
  </w:style>
  <w:style w:type="character" w:customStyle="1" w:styleId="58">
    <w:name w:val="标题 1 Char"/>
    <w:link w:val="2"/>
    <w:qFormat/>
    <w:uiPriority w:val="9"/>
    <w:rPr>
      <w:rFonts w:ascii="Times New Roman" w:hAnsi="Times New Roman" w:eastAsia="宋体"/>
      <w:b/>
      <w:bCs/>
      <w:kern w:val="44"/>
      <w:sz w:val="36"/>
      <w:szCs w:val="44"/>
    </w:rPr>
  </w:style>
  <w:style w:type="character" w:customStyle="1" w:styleId="59">
    <w:name w:val="标题 2 Char"/>
    <w:link w:val="3"/>
    <w:qFormat/>
    <w:uiPriority w:val="0"/>
    <w:rPr>
      <w:rFonts w:ascii="Arial" w:hAnsi="Arial" w:eastAsia="幼圆" w:cs="Times New Roman"/>
      <w:b/>
      <w:bCs/>
      <w:sz w:val="44"/>
      <w:szCs w:val="44"/>
    </w:rPr>
  </w:style>
  <w:style w:type="character" w:customStyle="1" w:styleId="60">
    <w:name w:val="正文缩进 Char"/>
    <w:link w:val="7"/>
    <w:qFormat/>
    <w:uiPriority w:val="0"/>
    <w:rPr>
      <w:rFonts w:ascii="Times New Roman" w:hAnsi="Times New Roman" w:eastAsia="宋体" w:cs="Times New Roman"/>
      <w:szCs w:val="21"/>
    </w:rPr>
  </w:style>
  <w:style w:type="character" w:customStyle="1" w:styleId="61">
    <w:name w:val="文档结构图 Char"/>
    <w:link w:val="8"/>
    <w:semiHidden/>
    <w:qFormat/>
    <w:uiPriority w:val="99"/>
    <w:rPr>
      <w:rFonts w:ascii="宋体"/>
      <w:kern w:val="2"/>
      <w:sz w:val="18"/>
      <w:szCs w:val="18"/>
    </w:rPr>
  </w:style>
  <w:style w:type="character" w:customStyle="1" w:styleId="62">
    <w:name w:val="批注文字 Char"/>
    <w:link w:val="9"/>
    <w:qFormat/>
    <w:uiPriority w:val="99"/>
    <w:rPr>
      <w:kern w:val="2"/>
      <w:sz w:val="21"/>
      <w:szCs w:val="22"/>
    </w:rPr>
  </w:style>
  <w:style w:type="character" w:customStyle="1" w:styleId="63">
    <w:name w:val="纯文本 Char"/>
    <w:link w:val="14"/>
    <w:qFormat/>
    <w:uiPriority w:val="0"/>
    <w:rPr>
      <w:rFonts w:ascii="宋体" w:hAnsi="Courier New" w:eastAsia="宋体" w:cs="Times New Roman"/>
      <w:szCs w:val="21"/>
    </w:rPr>
  </w:style>
  <w:style w:type="character" w:customStyle="1" w:styleId="64">
    <w:name w:val="日期 Char"/>
    <w:link w:val="16"/>
    <w:qFormat/>
    <w:uiPriority w:val="0"/>
    <w:rPr>
      <w:rFonts w:ascii="Times New Roman" w:hAnsi="Times New Roman" w:eastAsia="宋体" w:cs="Times New Roman"/>
      <w:sz w:val="24"/>
      <w:szCs w:val="20"/>
    </w:rPr>
  </w:style>
  <w:style w:type="character" w:customStyle="1" w:styleId="65">
    <w:name w:val="批注框文本 Char"/>
    <w:link w:val="18"/>
    <w:semiHidden/>
    <w:qFormat/>
    <w:uiPriority w:val="99"/>
    <w:rPr>
      <w:sz w:val="18"/>
      <w:szCs w:val="18"/>
    </w:rPr>
  </w:style>
  <w:style w:type="character" w:customStyle="1" w:styleId="66">
    <w:name w:val="页脚 Char"/>
    <w:link w:val="19"/>
    <w:qFormat/>
    <w:uiPriority w:val="99"/>
    <w:rPr>
      <w:sz w:val="18"/>
      <w:szCs w:val="18"/>
    </w:rPr>
  </w:style>
  <w:style w:type="character" w:customStyle="1" w:styleId="67">
    <w:name w:val="页眉 Char"/>
    <w:link w:val="20"/>
    <w:qFormat/>
    <w:uiPriority w:val="99"/>
    <w:rPr>
      <w:sz w:val="18"/>
      <w:szCs w:val="18"/>
    </w:rPr>
  </w:style>
  <w:style w:type="character" w:customStyle="1" w:styleId="68">
    <w:name w:val="批注主题 Char"/>
    <w:link w:val="27"/>
    <w:qFormat/>
    <w:uiPriority w:val="0"/>
  </w:style>
  <w:style w:type="paragraph" w:customStyle="1" w:styleId="69">
    <w:name w:val="一级条标题"/>
    <w:basedOn w:val="70"/>
    <w:next w:val="71"/>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70">
    <w:name w:val="章标题"/>
    <w:next w:val="1"/>
    <w:qFormat/>
    <w:uiPriority w:val="0"/>
    <w:pPr>
      <w:tabs>
        <w:tab w:val="left" w:pos="810"/>
        <w:tab w:val="left" w:pos="1265"/>
      </w:tabs>
      <w:spacing w:before="50" w:after="50"/>
      <w:ind w:left="810" w:hanging="810"/>
      <w:jc w:val="both"/>
      <w:outlineLvl w:val="1"/>
    </w:pPr>
    <w:rPr>
      <w:rFonts w:ascii="黑体" w:hAnsi="Calibri" w:eastAsia="黑体" w:cs="Times New Roman"/>
      <w:sz w:val="21"/>
      <w:szCs w:val="22"/>
      <w:lang w:val="en-US" w:eastAsia="zh-CN" w:bidi="ar-SA"/>
    </w:rPr>
  </w:style>
  <w:style w:type="paragraph" w:customStyle="1" w:styleId="71">
    <w:name w:val="段"/>
    <w:basedOn w:val="46"/>
    <w:next w:val="1"/>
    <w:qFormat/>
    <w:uiPriority w:val="0"/>
    <w:pPr>
      <w:widowControl/>
      <w:ind w:firstLine="200"/>
    </w:pPr>
    <w:rPr>
      <w:rFonts w:ascii="宋体"/>
      <w:sz w:val="20"/>
    </w:rPr>
  </w:style>
  <w:style w:type="character" w:customStyle="1" w:styleId="72">
    <w:name w:val="要点1"/>
    <w:qFormat/>
    <w:uiPriority w:val="22"/>
    <w:rPr>
      <w:rFonts w:ascii="Times New Roman" w:hAnsi="Times New Roman" w:eastAsia="宋体" w:cs="Times New Roman"/>
      <w:kern w:val="2"/>
      <w:sz w:val="21"/>
      <w:szCs w:val="22"/>
      <w:lang w:val="en-US" w:eastAsia="zh-CN" w:bidi="ar-SA"/>
    </w:rPr>
  </w:style>
  <w:style w:type="paragraph" w:customStyle="1" w:styleId="73">
    <w:name w:val="正文文本11"/>
    <w:basedOn w:val="1"/>
    <w:next w:val="1"/>
    <w:qFormat/>
    <w:uiPriority w:val="0"/>
    <w:rPr>
      <w:rFonts w:ascii="楷体_GB2312" w:hAnsi="Arial" w:eastAsia="楷体_GB2312"/>
      <w:sz w:val="28"/>
      <w:szCs w:val="28"/>
    </w:rPr>
  </w:style>
  <w:style w:type="character" w:customStyle="1" w:styleId="74">
    <w:name w:val="fontstrikethrough"/>
    <w:qFormat/>
    <w:uiPriority w:val="0"/>
    <w:rPr>
      <w:strike/>
    </w:rPr>
  </w:style>
  <w:style w:type="character" w:customStyle="1" w:styleId="75">
    <w:name w:val="列出段落 Char"/>
    <w:link w:val="76"/>
    <w:qFormat/>
    <w:locked/>
    <w:uiPriority w:val="0"/>
    <w:rPr>
      <w:rFonts w:ascii="Calibri" w:hAnsi="Calibri" w:eastAsia="宋体" w:cs="Times New Roman"/>
      <w:kern w:val="0"/>
      <w:sz w:val="24"/>
      <w:szCs w:val="24"/>
      <w:lang w:eastAsia="en-US" w:bidi="en-US"/>
    </w:rPr>
  </w:style>
  <w:style w:type="paragraph" w:customStyle="1" w:styleId="76">
    <w:name w:val="列出段落1"/>
    <w:basedOn w:val="1"/>
    <w:link w:val="75"/>
    <w:qFormat/>
    <w:uiPriority w:val="0"/>
    <w:pPr>
      <w:widowControl/>
      <w:ind w:left="720"/>
      <w:contextualSpacing/>
      <w:jc w:val="left"/>
    </w:pPr>
    <w:rPr>
      <w:kern w:val="0"/>
      <w:sz w:val="24"/>
      <w:szCs w:val="24"/>
      <w:lang w:eastAsia="en-US" w:bidi="en-US"/>
    </w:rPr>
  </w:style>
  <w:style w:type="character" w:customStyle="1" w:styleId="77">
    <w:name w:val="fontborder"/>
    <w:qFormat/>
    <w:uiPriority w:val="0"/>
    <w:rPr>
      <w:bdr w:val="single" w:color="000000" w:sz="6" w:space="0"/>
    </w:rPr>
  </w:style>
  <w:style w:type="character" w:customStyle="1" w:styleId="78">
    <w:name w:val="NormalCharacter"/>
    <w:qFormat/>
    <w:uiPriority w:val="0"/>
    <w:rPr>
      <w:kern w:val="2"/>
      <w:sz w:val="21"/>
      <w:szCs w:val="22"/>
      <w:lang w:val="en-US" w:eastAsia="zh-CN" w:bidi="ar-SA"/>
    </w:rPr>
  </w:style>
  <w:style w:type="paragraph" w:customStyle="1" w:styleId="79">
    <w:name w:val="样式2"/>
    <w:basedOn w:val="1"/>
    <w:qFormat/>
    <w:uiPriority w:val="99"/>
    <w:pPr>
      <w:adjustRightInd w:val="0"/>
      <w:spacing w:line="410" w:lineRule="atLeast"/>
      <w:jc w:val="left"/>
    </w:pPr>
    <w:rPr>
      <w:rFonts w:ascii="宋体"/>
      <w:kern w:val="0"/>
      <w:sz w:val="24"/>
      <w:szCs w:val="20"/>
    </w:rPr>
  </w:style>
  <w:style w:type="paragraph" w:customStyle="1" w:styleId="80">
    <w:name w:val="正文 A"/>
    <w:next w:val="71"/>
    <w:qFormat/>
    <w:uiPriority w:val="0"/>
    <w:pPr>
      <w:framePr w:wrap="around" w:vAnchor="margin" w:hAnchor="text" w:yAlign="top"/>
      <w:widowControl w:val="0"/>
      <w:jc w:val="both"/>
    </w:pPr>
    <w:rPr>
      <w:rFonts w:ascii="Times New Roman" w:hAnsi="Times New Roman" w:eastAsia="Times New Roman" w:cs="Times New Roman"/>
      <w:color w:val="000000"/>
      <w:sz w:val="21"/>
      <w:szCs w:val="21"/>
      <w:lang w:val="en-US" w:eastAsia="zh-CN" w:bidi="ar-SA"/>
    </w:rPr>
  </w:style>
  <w:style w:type="paragraph" w:customStyle="1" w:styleId="81">
    <w:name w:val="Blockquote"/>
    <w:basedOn w:val="1"/>
    <w:qFormat/>
    <w:uiPriority w:val="0"/>
    <w:pPr>
      <w:autoSpaceDE w:val="0"/>
      <w:autoSpaceDN w:val="0"/>
      <w:adjustRightInd w:val="0"/>
      <w:snapToGrid w:val="0"/>
      <w:spacing w:before="100" w:after="100"/>
      <w:ind w:left="360" w:right="360"/>
      <w:jc w:val="left"/>
    </w:pPr>
    <w:rPr>
      <w:kern w:val="0"/>
      <w:sz w:val="24"/>
      <w:szCs w:val="21"/>
    </w:rPr>
  </w:style>
  <w:style w:type="paragraph" w:customStyle="1" w:styleId="82">
    <w:name w:val="普通文字"/>
    <w:basedOn w:val="1"/>
    <w:next w:val="1"/>
    <w:qFormat/>
    <w:uiPriority w:val="0"/>
    <w:rPr>
      <w:rFonts w:ascii="宋体"/>
      <w:kern w:val="0"/>
      <w:sz w:val="24"/>
      <w:szCs w:val="20"/>
    </w:rPr>
  </w:style>
  <w:style w:type="paragraph" w:customStyle="1" w:styleId="83">
    <w:name w:val="张勋节格式居中"/>
    <w:qFormat/>
    <w:uiPriority w:val="99"/>
    <w:pPr>
      <w:adjustRightInd w:val="0"/>
      <w:snapToGrid w:val="0"/>
      <w:spacing w:before="100" w:beforeAutospacing="1" w:after="100" w:afterAutospacing="1" w:line="360" w:lineRule="exact"/>
      <w:ind w:firstLine="480"/>
      <w:jc w:val="center"/>
      <w:textAlignment w:val="center"/>
    </w:pPr>
    <w:rPr>
      <w:rFonts w:ascii="宋体" w:hAnsi="Times New Roman" w:eastAsia="宋体" w:cs="宋体"/>
      <w:b/>
      <w:kern w:val="2"/>
      <w:sz w:val="28"/>
      <w:szCs w:val="28"/>
      <w:lang w:val="zh-CN" w:eastAsia="zh-CN" w:bidi="ar-SA"/>
    </w:rPr>
  </w:style>
  <w:style w:type="paragraph" w:customStyle="1" w:styleId="84">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5">
    <w:name w:val="纯文本1"/>
    <w:basedOn w:val="1"/>
    <w:qFormat/>
    <w:uiPriority w:val="0"/>
    <w:pPr>
      <w:adjustRightInd w:val="0"/>
      <w:textAlignment w:val="baseline"/>
    </w:pPr>
    <w:rPr>
      <w:rFonts w:ascii="宋体" w:hAnsi="Courier New" w:eastAsia="楷体_GB2312"/>
      <w:sz w:val="28"/>
      <w:szCs w:val="20"/>
    </w:rPr>
  </w:style>
  <w:style w:type="paragraph" w:styleId="86">
    <w:name w:val="List Paragraph"/>
    <w:basedOn w:val="1"/>
    <w:qFormat/>
    <w:uiPriority w:val="0"/>
    <w:pPr>
      <w:ind w:firstLine="420" w:firstLineChars="200"/>
    </w:pPr>
    <w:rPr>
      <w:rFonts w:eastAsia="楷体_GB2312"/>
      <w:sz w:val="26"/>
      <w:szCs w:val="20"/>
    </w:rPr>
  </w:style>
  <w:style w:type="paragraph" w:customStyle="1" w:styleId="87">
    <w:name w:val="_Style 82"/>
    <w:unhideWhenUsed/>
    <w:qFormat/>
    <w:uiPriority w:val="99"/>
    <w:rPr>
      <w:rFonts w:ascii="Times New Roman" w:hAnsi="Times New Roman" w:eastAsia="宋体" w:cs="Times New Roman"/>
      <w:kern w:val="2"/>
      <w:sz w:val="21"/>
      <w:szCs w:val="22"/>
      <w:lang w:val="en-US" w:eastAsia="zh-CN" w:bidi="ar-SA"/>
    </w:rPr>
  </w:style>
  <w:style w:type="paragraph" w:customStyle="1" w:styleId="88">
    <w:name w:val="正文 1.1.1"/>
    <w:basedOn w:val="1"/>
    <w:next w:val="1"/>
    <w:qFormat/>
    <w:uiPriority w:val="0"/>
    <w:pPr>
      <w:numPr>
        <w:ilvl w:val="2"/>
        <w:numId w:val="2"/>
      </w:numPr>
      <w:outlineLvl w:val="2"/>
    </w:pPr>
    <w:rPr>
      <w:rFonts w:hAnsi="宋体"/>
      <w:color w:val="FF0000"/>
    </w:rPr>
  </w:style>
  <w:style w:type="paragraph" w:customStyle="1" w:styleId="89">
    <w:name w:val="Table Paragraph"/>
    <w:basedOn w:val="1"/>
    <w:qFormat/>
    <w:uiPriority w:val="1"/>
    <w:pPr>
      <w:autoSpaceDE w:val="0"/>
      <w:autoSpaceDN w:val="0"/>
      <w:jc w:val="left"/>
    </w:pPr>
    <w:rPr>
      <w:rFonts w:ascii="宋体" w:hAnsi="宋体" w:cs="宋体"/>
      <w:kern w:val="0"/>
      <w:sz w:val="22"/>
      <w:lang w:val="zh-CN" w:bidi="zh-CN"/>
    </w:rPr>
  </w:style>
  <w:style w:type="paragraph" w:customStyle="1" w:styleId="90">
    <w:name w:val="p0"/>
    <w:basedOn w:val="1"/>
    <w:qFormat/>
    <w:uiPriority w:val="0"/>
    <w:pPr>
      <w:widowControl/>
    </w:pPr>
  </w:style>
  <w:style w:type="paragraph" w:customStyle="1" w:styleId="91">
    <w:name w:val="Char"/>
    <w:basedOn w:val="1"/>
    <w:qFormat/>
    <w:uiPriority w:val="0"/>
    <w:pPr>
      <w:tabs>
        <w:tab w:val="left" w:pos="360"/>
      </w:tabs>
      <w:ind w:firstLine="200" w:firstLineChars="200"/>
    </w:pPr>
    <w:rPr>
      <w:sz w:val="28"/>
      <w:szCs w:val="30"/>
    </w:rPr>
  </w:style>
  <w:style w:type="paragraph" w:customStyle="1" w:styleId="92">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customStyle="1" w:styleId="93">
    <w:name w:val="正文空2格  1."/>
    <w:basedOn w:val="1"/>
    <w:qFormat/>
    <w:uiPriority w:val="0"/>
    <w:pPr>
      <w:ind w:firstLine="480" w:firstLineChars="200"/>
    </w:pPr>
    <w:rPr>
      <w:rFonts w:cs="宋体"/>
      <w:sz w:val="28"/>
      <w:szCs w:val="20"/>
    </w:rPr>
  </w:style>
  <w:style w:type="paragraph" w:customStyle="1" w:styleId="94">
    <w:name w:val="正文 1.1"/>
    <w:basedOn w:val="1"/>
    <w:next w:val="88"/>
    <w:qFormat/>
    <w:uiPriority w:val="0"/>
    <w:pPr>
      <w:numPr>
        <w:ilvl w:val="1"/>
        <w:numId w:val="2"/>
      </w:numPr>
      <w:ind w:firstLine="550"/>
      <w:outlineLvl w:val="1"/>
    </w:pPr>
    <w:rPr>
      <w:rFonts w:ascii="仿宋" w:hAnsi="仿宋"/>
      <w:b/>
    </w:rPr>
  </w:style>
  <w:style w:type="paragraph" w:customStyle="1" w:styleId="95">
    <w:name w:val="正文_0_0"/>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96">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98">
    <w:name w:val="正文文本缩进11"/>
    <w:basedOn w:val="1"/>
    <w:next w:val="1"/>
    <w:unhideWhenUsed/>
    <w:qFormat/>
    <w:uiPriority w:val="99"/>
    <w:pPr>
      <w:spacing w:line="400" w:lineRule="exact"/>
      <w:ind w:firstLine="540"/>
    </w:pPr>
    <w:rPr>
      <w:sz w:val="24"/>
    </w:rPr>
  </w:style>
  <w:style w:type="paragraph" w:customStyle="1" w:styleId="99">
    <w:name w:val="Default"/>
    <w:qFormat/>
    <w:uiPriority w:val="99"/>
    <w:pPr>
      <w:widowControl w:val="0"/>
      <w:autoSpaceDE w:val="0"/>
      <w:autoSpaceDN w:val="0"/>
      <w:adjustRightInd w:val="0"/>
    </w:pPr>
    <w:rPr>
      <w:rFonts w:ascii="宋体" w:hAnsi="Times New Roman" w:eastAsia="宋体" w:cs="宋体"/>
      <w:color w:val="000000"/>
      <w:kern w:val="2"/>
      <w:sz w:val="24"/>
      <w:szCs w:val="24"/>
      <w:lang w:val="en-US" w:eastAsia="zh-CN" w:bidi="ar-SA"/>
    </w:rPr>
  </w:style>
  <w:style w:type="paragraph" w:customStyle="1" w:styleId="100">
    <w:name w:val="大标题"/>
    <w:basedOn w:val="26"/>
    <w:next w:val="29"/>
    <w:qFormat/>
    <w:uiPriority w:val="0"/>
    <w:pPr>
      <w:spacing w:line="360" w:lineRule="auto"/>
      <w:ind w:firstLine="200"/>
    </w:pPr>
    <w:rPr>
      <w:rFonts w:ascii="宋体" w:hAnsi="宋体"/>
    </w:rPr>
  </w:style>
  <w:style w:type="paragraph" w:customStyle="1" w:styleId="101">
    <w:name w:val="正文文本 211"/>
    <w:basedOn w:val="1"/>
    <w:qFormat/>
    <w:uiPriority w:val="99"/>
    <w:pPr>
      <w:tabs>
        <w:tab w:val="left" w:pos="0"/>
        <w:tab w:val="left" w:pos="993"/>
        <w:tab w:val="left" w:pos="1134"/>
      </w:tabs>
      <w:spacing w:line="240" w:lineRule="exact"/>
    </w:pPr>
    <w:rPr>
      <w:rFonts w:ascii="楷体_GB2312" w:hAnsi="Calibri" w:eastAsia="楷体_GB2312"/>
      <w:sz w:val="18"/>
    </w:rPr>
  </w:style>
  <w:style w:type="paragraph" w:customStyle="1" w:styleId="102">
    <w:name w:val="标题 21"/>
    <w:basedOn w:val="1"/>
    <w:next w:val="103"/>
    <w:qFormat/>
    <w:uiPriority w:val="99"/>
    <w:pPr>
      <w:keepNext/>
      <w:keepLines/>
      <w:spacing w:before="260" w:after="260" w:line="413" w:lineRule="auto"/>
      <w:outlineLvl w:val="1"/>
    </w:pPr>
    <w:rPr>
      <w:rFonts w:ascii="Arial" w:hAnsi="Arial" w:eastAsia="黑体"/>
      <w:b/>
      <w:sz w:val="32"/>
      <w:szCs w:val="20"/>
    </w:rPr>
  </w:style>
  <w:style w:type="paragraph" w:customStyle="1" w:styleId="103">
    <w:name w:val="正文缩进1"/>
    <w:basedOn w:val="1"/>
    <w:qFormat/>
    <w:uiPriority w:val="0"/>
    <w:pPr>
      <w:ind w:firstLine="420"/>
    </w:pPr>
    <w:rPr>
      <w:sz w:val="20"/>
      <w:szCs w:val="21"/>
    </w:rPr>
  </w:style>
  <w:style w:type="paragraph" w:customStyle="1" w:styleId="104">
    <w:name w:val="普通(网站)1"/>
    <w:basedOn w:val="1"/>
    <w:unhideWhenUsed/>
    <w:qFormat/>
    <w:uiPriority w:val="99"/>
    <w:pPr>
      <w:widowControl/>
      <w:spacing w:before="100" w:beforeAutospacing="1" w:after="100" w:afterAutospacing="1"/>
      <w:jc w:val="left"/>
    </w:pPr>
    <w:rPr>
      <w:rFonts w:ascii="宋体" w:hAnsi="宋体"/>
      <w:sz w:val="24"/>
      <w:szCs w:val="24"/>
    </w:rPr>
  </w:style>
  <w:style w:type="paragraph" w:customStyle="1" w:styleId="105">
    <w:name w:val="纯文本111"/>
    <w:basedOn w:val="1"/>
    <w:next w:val="57"/>
    <w:qFormat/>
    <w:uiPriority w:val="99"/>
    <w:rPr>
      <w:rFonts w:ascii="宋体" w:hAnsi="Courier New"/>
      <w:szCs w:val="20"/>
    </w:rPr>
  </w:style>
  <w:style w:type="paragraph" w:customStyle="1" w:styleId="106">
    <w:name w:val="正文_2"/>
    <w:qFormat/>
    <w:uiPriority w:val="0"/>
    <w:rPr>
      <w:rFonts w:ascii="Times New Roman" w:hAnsi="Times New Roman" w:eastAsia="宋体" w:cs="Times New Roman"/>
      <w:lang w:val="en-US" w:eastAsia="zh-CN" w:bidi="ar-SA"/>
    </w:rPr>
  </w:style>
  <w:style w:type="paragraph" w:customStyle="1" w:styleId="107">
    <w:name w:val="正文_0_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108">
    <w:name w:val="正文12"/>
    <w:qFormat/>
    <w:uiPriority w:val="99"/>
    <w:pPr>
      <w:widowControl w:val="0"/>
      <w:jc w:val="both"/>
    </w:pPr>
    <w:rPr>
      <w:rFonts w:ascii="Times New Roman" w:hAnsi="Times New Roman" w:eastAsia="Times New Roman" w:cs="Times New Roman"/>
      <w:lang w:val="en-US" w:eastAsia="zh-CN" w:bidi="ar-SA"/>
    </w:rPr>
  </w:style>
  <w:style w:type="paragraph" w:customStyle="1" w:styleId="109">
    <w:name w:val="正文2"/>
    <w:qFormat/>
    <w:uiPriority w:val="0"/>
    <w:rPr>
      <w:rFonts w:ascii="Times New Roman" w:hAnsi="Times New Roman" w:eastAsia="宋体" w:cs="Times New Roman"/>
      <w:sz w:val="24"/>
      <w:szCs w:val="24"/>
      <w:lang w:val="en-US" w:eastAsia="zh-CN" w:bidi="ar-SA"/>
    </w:rPr>
  </w:style>
  <w:style w:type="paragraph" w:customStyle="1" w:styleId="110">
    <w:name w:val="正文_0_0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111">
    <w:name w:val="BodyText1"/>
    <w:basedOn w:val="1"/>
    <w:qFormat/>
    <w:uiPriority w:val="0"/>
    <w:rPr>
      <w:rFonts w:ascii="楷体_GB2312" w:hAnsi="Arial" w:eastAsia="楷体_GB2312"/>
      <w:sz w:val="28"/>
      <w:szCs w:val="28"/>
    </w:rPr>
  </w:style>
  <w:style w:type="paragraph" w:customStyle="1" w:styleId="112">
    <w:name w:val="纯文本11"/>
    <w:basedOn w:val="46"/>
    <w:qFormat/>
    <w:uiPriority w:val="0"/>
    <w:rPr>
      <w:rFonts w:ascii="宋体" w:hAnsi="Courier New"/>
      <w:sz w:val="20"/>
      <w:szCs w:val="21"/>
    </w:rPr>
  </w:style>
  <w:style w:type="table" w:customStyle="1" w:styleId="113">
    <w:name w:val="Table Normal"/>
    <w:unhideWhenUsed/>
    <w:qFormat/>
    <w:uiPriority w:val="0"/>
    <w:tblPr>
      <w:tblCellMar>
        <w:top w:w="0" w:type="dxa"/>
        <w:left w:w="0" w:type="dxa"/>
        <w:bottom w:w="0" w:type="dxa"/>
        <w:right w:w="0" w:type="dxa"/>
      </w:tblCellMar>
    </w:tblPr>
  </w:style>
  <w:style w:type="paragraph" w:customStyle="1" w:styleId="114">
    <w:name w:val="日期1"/>
    <w:basedOn w:val="46"/>
    <w:next w:val="1"/>
    <w:qFormat/>
    <w:uiPriority w:val="99"/>
    <w:rPr>
      <w:rFonts w:ascii="Calibri" w:hAnsi="Calibri" w:eastAsia="仿宋_GB2312"/>
      <w:sz w:val="30"/>
    </w:rPr>
  </w:style>
  <w:style w:type="character" w:customStyle="1" w:styleId="115">
    <w:name w:val="htd0"/>
    <w:qFormat/>
    <w:uiPriority w:val="0"/>
  </w:style>
  <w:style w:type="paragraph" w:customStyle="1" w:styleId="116">
    <w:name w:val="正文_0_0_0_0"/>
    <w:qFormat/>
    <w:uiPriority w:val="0"/>
    <w:pPr>
      <w:widowControl w:val="0"/>
      <w:jc w:val="both"/>
    </w:pPr>
    <w:rPr>
      <w:rFonts w:ascii="Times New Roman" w:hAnsi="Times New Roman" w:eastAsia="宋体" w:cs="Times New Roman"/>
      <w:lang w:val="en-US" w:eastAsia="zh-CN" w:bidi="ar-SA"/>
    </w:rPr>
  </w:style>
  <w:style w:type="paragraph" w:customStyle="1" w:styleId="117">
    <w:name w:val="列出段落2"/>
    <w:basedOn w:val="1"/>
    <w:qFormat/>
    <w:uiPriority w:val="0"/>
    <w:pPr>
      <w:ind w:firstLine="420"/>
    </w:pPr>
    <w:rPr>
      <w:rFonts w:eastAsia="楷体_GB2312"/>
      <w:sz w:val="26"/>
      <w:szCs w:val="20"/>
    </w:rPr>
  </w:style>
  <w:style w:type="paragraph" w:customStyle="1" w:styleId="118">
    <w:name w:val="正文文本缩进1"/>
    <w:basedOn w:val="1"/>
    <w:unhideWhenUsed/>
    <w:qFormat/>
    <w:uiPriority w:val="99"/>
    <w:pPr>
      <w:spacing w:line="400" w:lineRule="exact"/>
      <w:ind w:firstLine="540"/>
    </w:pPr>
    <w:rPr>
      <w:sz w:val="24"/>
    </w:rPr>
  </w:style>
  <w:style w:type="paragraph" w:customStyle="1" w:styleId="119">
    <w:name w:val="修订1"/>
    <w:hidden/>
    <w:unhideWhenUsed/>
    <w:qFormat/>
    <w:uiPriority w:val="99"/>
    <w:rPr>
      <w:rFonts w:ascii="Times New Roman" w:hAnsi="Times New Roman" w:eastAsia="宋体" w:cs="Times New Roman"/>
      <w:kern w:val="2"/>
      <w:sz w:val="21"/>
      <w:szCs w:val="22"/>
      <w:lang w:val="en-US" w:eastAsia="zh-CN" w:bidi="ar-SA"/>
    </w:rPr>
  </w:style>
  <w:style w:type="paragraph" w:customStyle="1" w:styleId="120">
    <w:name w:val="首行缩进"/>
    <w:basedOn w:val="1"/>
    <w:qFormat/>
    <w:uiPriority w:val="0"/>
    <w:pPr>
      <w:spacing w:line="360" w:lineRule="auto"/>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e748b4d2-4bfe-44bb-bbd4-1f6fa5611bbf</errorID>
      <errorWord>复印件加盖</errorWord>
      <group>L1_Word</group>
      <groupName>字词问题</groupName>
      <ability>L2_Typo</ability>
      <abilityName>字词错误</abilityName>
      <candidateList>
        <item>复印件并加盖</item>
      </candidateList>
      <explain/>
      <paraID>17863AEB</paraID>
      <start>116</start>
      <end>121</end>
      <status>ignored</status>
      <modifiedWord/>
      <trackRevisions>false</trackRevisions>
    </reviewItem>
    <reviewItem>
      <errorID>af7f2f46-ea5c-4998-859e-85e5c23e7f0a</errorID>
      <errorWord>《关于公布扬州市2026-2028年度可参与重大决策社会稳定风险评估第三方机构名单的通知》</errorWord>
      <group>L1_Official</group>
      <groupName>公文格式问题</groupName>
      <ability>L2_Official</ability>
      <abilityName>公文要素检查</abilityName>
      <candidateList/>
      <explain>公文文件引用格式不规范</explain>
      <paraID>17863AEB</paraID>
      <start>128</start>
      <end>173</end>
      <status>unmodified</status>
      <modifiedWord/>
      <trackRevisions>false</trackRevisions>
    </reviewItem>
    <reviewItem>
      <errorID>17648b83-f80f-4562-be3d-91d3d087c6ec</errorID>
      <errorWord>《供应商参加磋商确认函》</errorWord>
      <group>L1_Official</group>
      <groupName>公文格式问题</groupName>
      <ability>L2_Official</ability>
      <abilityName>公文要素检查</abilityName>
      <candidateList/>
      <explain>公文文件引用格式不规范</explain>
      <paraID>4C095FEF</paraID>
      <start>57</start>
      <end>69</end>
      <status>unmodified</status>
      <modifiedWord/>
      <trackRevisions>false</trackRevisions>
    </reviewItem>
    <reviewItem>
      <errorID>4361400f-8d90-4376-82c1-f61a1842b195</errorID>
      <errorWord>《供应商参加磋商确认函》</errorWord>
      <group>L1_Official</group>
      <groupName>公文格式问题</groupName>
      <ability>L2_Official</ability>
      <abilityName>公文要素检查</abilityName>
      <candidateList/>
      <explain>公文文件引用格式不规范</explain>
      <paraID>4C095FEF</paraID>
      <start>174</start>
      <end>186</end>
      <status>unmodified</status>
      <modifiedWord/>
      <trackRevisions>false</trackRevisions>
    </reviewItem>
    <reviewItem>
      <errorID>f866ddb4-3aa6-451d-81b7-b3b9a7632b4e</errorID>
      <errorWord>《</errorWord>
      <group>L1_Punc</group>
      <groupName>标点问题</groupName>
      <ability>L2_Punc_CN</ability>
      <abilityName>标点符号检查</abilityName>
      <candidateList/>
      <explain>同一形式括号套用。</explain>
      <paraID>3F91D942</paraID>
      <start>37</start>
      <end>38</end>
      <status>unmodified</status>
      <modifiedWord/>
      <trackRevisions>false</trackRevisions>
    </reviewItem>
    <reviewItem>
      <errorID>b887d272-cb4b-458a-b7a5-659916011ace</errorID>
      <errorWord>》</errorWord>
      <group>L1_Punc</group>
      <groupName>标点问题</groupName>
      <ability>L2_Punc_CN</ability>
      <abilityName>标点符号检查</abilityName>
      <candidateList/>
      <explain>同一形式括号套用。</explain>
      <paraID>3F91D942</paraID>
      <start>54</start>
      <end>55</end>
      <status>unmodified</status>
      <modifiedWord/>
      <trackRevisions>false</trackRevisions>
    </reviewItem>
    <reviewItem>
      <errorID>62c83c02-47ab-435d-b2d1-d783945fffa2</errorID>
      <errorWord>《</errorWord>
      <group>L1_Punc</group>
      <groupName>标点问题</groupName>
      <ability>L2_Punc_CN</ability>
      <abilityName>标点符号检查</abilityName>
      <candidateList/>
      <explain>同一形式括号套用。</explain>
      <paraID>3F91D942</paraID>
      <start>55</start>
      <end>56</end>
      <status>unmodified</status>
      <modifiedWord/>
      <trackRevisions>false</trackRevisions>
    </reviewItem>
    <reviewItem>
      <errorID>ea6ac260-fd56-435f-a538-414b5c5d182f</errorID>
      <errorWord>》</errorWord>
      <group>L1_Punc</group>
      <groupName>标点问题</groupName>
      <ability>L2_Punc_CN</ability>
      <abilityName>标点符号检查</abilityName>
      <candidateList/>
      <explain>同一形式括号套用。</explain>
      <paraID>3F91D942</paraID>
      <start>72</start>
      <end>73</end>
      <status>unmodified</status>
      <modifiedWord/>
      <trackRevisions>false</trackRevisions>
    </reviewItem>
    <reviewItem>
      <errorID>6f147304-58ca-47d8-a65b-a99cf7a21d65</errorID>
      <errorWord>一次性支付给</errorWord>
      <group>L1_Word</group>
      <groupName>字词问题</groupName>
      <ability>L2_Typo</ability>
      <abilityName>字词错误</abilityName>
      <candidateList>
        <item>一次性支付</item>
      </candidateList>
      <explain/>
      <paraID>773A2D2C</paraID>
      <start>21</start>
      <end>27</end>
      <status>unmodified</status>
      <modifiedWord/>
      <trackRevisions>false</trackRevisions>
    </reviewItem>
    <reviewItem>
      <errorID>c75095fe-d6e8-44bf-8645-bbc609b5ceab</errorID>
      <errorWord>100万以下</errorWord>
      <group>L1_Word</group>
      <groupName>字词问题</groupName>
      <ability>L2_Typo</ability>
      <abilityName>字词错误</abilityName>
      <candidateList>
        <item>100万元以下</item>
      </candidateList>
      <explain/>
      <paraID>69E697AA</paraID>
      <start>0</start>
      <end>6</end>
      <status>unmodified</status>
      <modifiedWord/>
      <trackRevisions>false</trackRevisions>
    </reviewItem>
    <reviewItem>
      <errorID>e1ec082f-5c19-4319-9aa5-da75c4d7bddc</errorID>
      <errorWord>％</errorWord>
      <group>L1_Format</group>
      <groupName>格式问题</groupName>
      <ability>L2_HalfPunc_CN</ability>
      <abilityName>全半角检查</abilityName>
      <candidateList>
        <item>%</item>
      </candidateList>
      <explain>文本全半角错误。</explain>
      <paraID>36921F13</paraID>
      <start>3</start>
      <end>4</end>
      <status>modified</status>
      <modifiedWord>%</modifiedWord>
      <trackRevisions>false</trackRevisions>
    </reviewItem>
    <reviewItem>
      <errorID>8e20c74d-f6d4-4494-b458-ee4d3c019e04</errorID>
      <errorWord>％</errorWord>
      <group>L1_Format</group>
      <groupName>格式问题</groupName>
      <ability>L2_HalfPunc_CN</ability>
      <abilityName>全半角检查</abilityName>
      <candidateList>
        <item>%</item>
      </candidateList>
      <explain>文本全半角错误。</explain>
      <paraID>10068FD1</paraID>
      <start>3</start>
      <end>4</end>
      <status>modified</status>
      <modifiedWord>%</modifiedWord>
      <trackRevisions>false</trackRevisions>
    </reviewItem>
    <reviewItem>
      <errorID>3ec3860b-2fe2-481e-a9d8-de1a1ea89982</errorID>
      <errorWord>％</errorWord>
      <group>L1_Format</group>
      <groupName>格式问题</groupName>
      <ability>L2_HalfPunc_CN</ability>
      <abilityName>全半角检查</abilityName>
      <candidateList>
        <item>%</item>
      </candidateList>
      <explain>文本全半角错误。</explain>
      <paraID>11F7F4DD</paraID>
      <start>3</start>
      <end>4</end>
      <status>modified</status>
      <modifiedWord>%</modifiedWord>
      <trackRevisions>false</trackRevisions>
    </reviewItem>
    <reviewItem>
      <errorID>eb37d571-c12f-4b53-9fcd-189a3e945297</errorID>
      <errorWord>％</errorWord>
      <group>L1_Format</group>
      <groupName>格式问题</groupName>
      <ability>L2_HalfPunc_CN</ability>
      <abilityName>全半角检查</abilityName>
      <candidateList>
        <item>%</item>
      </candidateList>
      <explain>文本全半角错误。</explain>
      <paraID>33B3E5F5</paraID>
      <start>3</start>
      <end>4</end>
      <status>modified</status>
      <modifiedWord>%</modifiedWord>
      <trackRevisions>false</trackRevisions>
    </reviewItem>
    <reviewItem>
      <errorID>ec51c592-1bd6-40eb-af9b-6a0828899d05</errorID>
      <errorWord>％</errorWord>
      <group>L1_Format</group>
      <groupName>格式问题</groupName>
      <ability>L2_HalfPunc_CN</ability>
      <abilityName>全半角检查</abilityName>
      <candidateList>
        <item>%</item>
      </candidateList>
      <explain>文本全半角错误。</explain>
      <paraID>4B59A1CD</paraID>
      <start>3</start>
      <end>4</end>
      <status>modified</status>
      <modifiedWord>%</modifiedWord>
      <trackRevisions>false</trackRevisions>
    </reviewItem>
    <reviewItem>
      <errorID>d6393969-d547-431c-a0f2-27188fc44deb</errorID>
      <errorWord>％</errorWord>
      <group>L1_Format</group>
      <groupName>格式问题</groupName>
      <ability>L2_HalfPunc_CN</ability>
      <abilityName>全半角检查</abilityName>
      <candidateList>
        <item>%</item>
      </candidateList>
      <explain>文本全半角错误。</explain>
      <paraID>2F257868</paraID>
      <start>3</start>
      <end>4</end>
      <status>modified</status>
      <modifiedWord>%</modifiedWord>
      <trackRevisions>false</trackRevisions>
    </reviewItem>
    <reviewItem>
      <errorID>302e5675-3445-4a72-8468-da95b5270657</errorID>
      <errorWord>％</errorWord>
      <group>L1_Format</group>
      <groupName>格式问题</groupName>
      <ability>L2_HalfPunc_CN</ability>
      <abilityName>全半角检查</abilityName>
      <candidateList>
        <item>%</item>
      </candidateList>
      <explain>文本全半角错误。</explain>
      <paraID>6B8635BD</paraID>
      <start>3</start>
      <end>4</end>
      <status>modified</status>
      <modifiedWord>%</modifiedWord>
      <trackRevisions>false</trackRevisions>
    </reviewItem>
    <reviewItem>
      <errorID>47068514-8d71-4e79-9c7c-c5261796651d</errorID>
      <errorWord>％</errorWord>
      <group>L1_Format</group>
      <groupName>格式问题</groupName>
      <ability>L2_HalfPunc_CN</ability>
      <abilityName>全半角检查</abilityName>
      <candidateList>
        <item>%</item>
      </candidateList>
      <explain>文本全半角错误。</explain>
      <paraID>54C4DF72</paraID>
      <start>4</start>
      <end>5</end>
      <status>modified</status>
      <modifiedWord>%</modifiedWord>
      <trackRevisions>false</trackRevisions>
    </reviewItem>
    <reviewItem>
      <errorID>ceebead5-9a26-4695-9fdb-52a3e484198b</errorID>
      <errorWord>％</errorWord>
      <group>L1_Format</group>
      <groupName>格式问题</groupName>
      <ability>L2_HalfPunc_CN</ability>
      <abilityName>全半角检查</abilityName>
      <candidateList>
        <item>%</item>
      </candidateList>
      <explain>文本全半角错误。</explain>
      <paraID>40E149A7</paraID>
      <start>4</start>
      <end>5</end>
      <status>modified</status>
      <modifiedWord>%</modifiedWord>
      <trackRevisions>false</trackRevisions>
    </reviewItem>
    <reviewItem>
      <errorID>75a64601-aeaf-4ed6-8846-2bd0ac43040f</errorID>
      <errorWord>％</errorWord>
      <group>L1_Format</group>
      <groupName>格式问题</groupName>
      <ability>L2_HalfPunc_CN</ability>
      <abilityName>全半角检查</abilityName>
      <candidateList>
        <item>%</item>
      </candidateList>
      <explain>文本全半角错误。</explain>
      <paraID>7225B82C</paraID>
      <start>3</start>
      <end>4</end>
      <status>modified</status>
      <modifiedWord>%</modifiedWord>
      <trackRevisions>false</trackRevisions>
    </reviewItem>
    <reviewItem>
      <errorID>9cae5422-2af5-4b4a-953b-eb9aa2245a12</errorID>
      <errorWord>％</errorWord>
      <group>L1_Format</group>
      <groupName>格式问题</groupName>
      <ability>L2_HalfPunc_CN</ability>
      <abilityName>全半角检查</abilityName>
      <candidateList>
        <item>%</item>
      </candidateList>
      <explain>文本全半角错误。</explain>
      <paraID>487A2C6A</paraID>
      <start>4</start>
      <end>5</end>
      <status>modified</status>
      <modifiedWord>%</modifiedWord>
      <trackRevisions>false</trackRevisions>
    </reviewItem>
    <reviewItem>
      <errorID>00f32079-c202-47d1-915d-b0be1a2d9f67</errorID>
      <errorWord>％</errorWord>
      <group>L1_Format</group>
      <groupName>格式问题</groupName>
      <ability>L2_HalfPunc_CN</ability>
      <abilityName>全半角检查</abilityName>
      <candidateList>
        <item>%</item>
      </candidateList>
      <explain>文本全半角错误。</explain>
      <paraID> 3469026</paraID>
      <start>4</start>
      <end>5</end>
      <status>modified</status>
      <modifiedWord>%</modifiedWord>
      <trackRevisions>false</trackRevisions>
    </reviewItem>
    <reviewItem>
      <errorID>18505d9e-0406-4932-b731-37648b0788c3</errorID>
      <errorWord>％</errorWord>
      <group>L1_Format</group>
      <groupName>格式问题</groupName>
      <ability>L2_HalfPunc_CN</ability>
      <abilityName>全半角检查</abilityName>
      <candidateList>
        <item>%</item>
      </candidateList>
      <explain>文本全半角错误。</explain>
      <paraID>4D4181A6</paraID>
      <start>4</start>
      <end>5</end>
      <status>modified</status>
      <modifiedWord>%</modifiedWord>
      <trackRevisions>false</trackRevisions>
    </reviewItem>
    <reviewItem>
      <errorID>a36c025d-54af-4e54-89a6-28411d69d4c1</errorID>
      <errorWord>％</errorWord>
      <group>L1_Format</group>
      <groupName>格式问题</groupName>
      <ability>L2_HalfPunc_CN</ability>
      <abilityName>全半角检查</abilityName>
      <candidateList>
        <item>%</item>
      </candidateList>
      <explain>文本全半角错误。</explain>
      <paraID>21F8D535</paraID>
      <start>3</start>
      <end>4</end>
      <status>modified</status>
      <modifiedWord>%</modifiedWord>
      <trackRevisions>false</trackRevisions>
    </reviewItem>
    <reviewItem>
      <errorID>a250682c-b7db-423d-8b63-34f02cc27afe</errorID>
      <errorWord>％</errorWord>
      <group>L1_Format</group>
      <groupName>格式问题</groupName>
      <ability>L2_HalfPunc_CN</ability>
      <abilityName>全半角检查</abilityName>
      <candidateList>
        <item>%</item>
      </candidateList>
      <explain>文本全半角错误。</explain>
      <paraID> 2DC48A8</paraID>
      <start>3</start>
      <end>4</end>
      <status>modified</status>
      <modifiedWord>%</modifiedWord>
      <trackRevisions>false</trackRevisions>
    </reviewItem>
    <reviewItem>
      <errorID>a63f1c3c-ba25-47d4-b395-ef3005f2f498</errorID>
      <errorWord>《质疑函》</errorWord>
      <group>L1_Official</group>
      <groupName>公文格式问题</groupName>
      <ability>L2_Official</ability>
      <abilityName>公文要素检查</abilityName>
      <candidateList/>
      <explain>公文文件引用格式不规范</explain>
      <paraID>193625D7</paraID>
      <start>0</start>
      <end>5</end>
      <status>unmodified</status>
      <modifiedWord/>
      <trackRevisions>false</trackRevisions>
    </reviewItem>
    <reviewItem>
      <errorID>faf17471-9b26-481c-90c3-050670b0bee5</errorID>
      <errorWord>《社会稳定风险评估报告》</errorWord>
      <group>L1_Official</group>
      <groupName>公文格式问题</groupName>
      <ability>L2_Official</ability>
      <abilityName>公文要素检查</abilityName>
      <candidateList/>
      <explain>公文文件引用格式不规范</explain>
      <paraID> B3EA999</paraID>
      <start>33</start>
      <end>45</end>
      <status>unmodified</status>
      <modifiedWord/>
      <trackRevisions>false</trackRevisions>
    </reviewItem>
    <reviewItem>
      <errorID>55d4258a-b4b5-4f90-9b43-31de02687558</errorID>
      <errorWord>；</errorWord>
      <group>L1_Word</group>
      <groupName>字词问题</groupName>
      <ability>L2_Typo</ability>
      <abilityName>字词错误</abilityName>
      <candidateList>
        <item>；在</item>
      </candidateList>
      <explain/>
      <paraID>6B81B12F</paraID>
      <start>47</start>
      <end>49</end>
      <status>modified</status>
      <modifiedWord>；在</modifiedWord>
      <trackRevisions>false</trackRevisions>
    </reviewItem>
    <reviewItem>
      <errorID>6b32bb75-28f5-4407-b112-d9949b7f67dd</errorID>
      <errorWord>国家发改委</errorWord>
      <group>L1_Knowledge</group>
      <groupName>知识性问题</groupName>
      <ability>L2_Knowledge</ability>
      <abilityName>其他知识</abilityName>
      <candidateList>
        <item>国家发展改革委</item>
      </candidateList>
      <explain/>
      <paraID>66A25F81</paraID>
      <start>30</start>
      <end>37</end>
      <status>modified</status>
      <modifiedWord>国家发展改革委</modifiedWord>
      <trackRevisions>false</trackRevisions>
    </reviewItem>
    <reviewItem>
      <errorID>2ef7425c-000b-4662-90b1-f6928b1f7b2d</errorID>
      <errorWord>复印件加盖</errorWord>
      <group>L1_Word</group>
      <groupName>字词问题</groupName>
      <ability>L2_Typo</ability>
      <abilityName>字词错误</abilityName>
      <candidateList>
        <item>复印件并加盖</item>
      </candidateList>
      <explain/>
      <paraID>11EAB1B5</paraID>
      <start>57</start>
      <end>62</end>
      <status>unmodified</status>
      <modifiedWord/>
      <trackRevisions>false</trackRevisions>
    </reviewItem>
    <reviewItem>
      <errorID>a7d8cf9d-5689-4251-ae5a-e5f9ee8824c8</errorID>
      <errorWord>(</errorWord>
      <group>L1_Format</group>
      <groupName>格式问题</groupName>
      <ability>L2_HalfPunc_CN</ability>
      <abilityName>全半角检查</abilityName>
      <candidateList>
        <item>（</item>
      </candidateList>
      <explain>文本全半角错误。</explain>
      <paraID>2320D47F</paraID>
      <start>5</start>
      <end>6</end>
      <status>modified</status>
      <modifiedWord>（</modifiedWord>
      <trackRevisions>false</trackRevisions>
    </reviewItem>
    <reviewItem>
      <errorID>0daefc60-a3ee-4d7c-bc90-b8c9bda947c2</errorID>
      <errorWord>)</errorWord>
      <group>L1_Format</group>
      <groupName>格式问题</groupName>
      <ability>L2_HalfPunc_CN</ability>
      <abilityName>全半角检查</abilityName>
      <candidateList>
        <item>）</item>
      </candidateList>
      <explain>文本全半角错误。</explain>
      <paraID>2320D47F</paraID>
      <start>12</start>
      <end>13</end>
      <status>modified</status>
      <modifiedWord>）</modifiedWord>
      <trackRevisions>false</trackRevisions>
    </reviewItem>
    <reviewItem>
      <errorID>071fe477-192b-44fe-8b46-2d895f18be59</errorID>
      <errorWord>(</errorWord>
      <group>L1_Format</group>
      <groupName>格式问题</groupName>
      <ability>L2_HalfPunc_CN</ability>
      <abilityName>全半角检查</abilityName>
      <candidateList>
        <item>（</item>
      </candidateList>
      <explain>文本全半角错误。</explain>
      <paraID>7CF9BF6A</paraID>
      <start>0</start>
      <end>1</end>
      <status>modified</status>
      <modifiedWord>（</modifiedWord>
      <trackRevisions>false</trackRevisions>
    </reviewItem>
    <reviewItem>
      <errorID>d30bb992-7bdd-4536-abef-94f7a932a621</errorID>
      <errorWord>复印件加盖</errorWord>
      <group>L1_Word</group>
      <groupName>字词问题</groupName>
      <ability>L2_Typo</ability>
      <abilityName>字词错误</abilityName>
      <candidateList>
        <item>复印件并加盖</item>
      </candidateList>
      <explain/>
      <paraID>654A54B4</paraID>
      <start>2</start>
      <end>7</end>
      <status>unmodified</status>
      <modifiedWord/>
      <trackRevisions>false</trackRevisions>
    </reviewItem>
    <reviewItem>
      <errorID>1339b96d-977d-4767-aa79-aa079103893d</errorID>
      <errorWord>)</errorWord>
      <group>L1_Format</group>
      <groupName>格式问题</groupName>
      <ability>L2_HalfPunc_CN</ability>
      <abilityName>全半角检查</abilityName>
      <candidateList>
        <item>）</item>
      </candidateList>
      <explain>文本全半角错误。</explain>
      <paraID>654A54B4</paraID>
      <start>12</start>
      <end>13</end>
      <status>modified</status>
      <modifiedWord>）</modifiedWord>
      <trackRevisions>false</trackRevisions>
    </reviewItem>
    <reviewItem>
      <errorID>7cb5d896-2641-4fb9-98d6-e55d89f0d8fa</errorID>
      <errorWord>(</errorWord>
      <group>L1_Format</group>
      <groupName>格式问题</groupName>
      <ability>L2_HalfPunc_CN</ability>
      <abilityName>全半角检查</abilityName>
      <candidateList>
        <item>（</item>
      </candidateList>
      <explain>文本全半角错误。</explain>
      <paraID>316B17EB</paraID>
      <start>7</start>
      <end>8</end>
      <status>modified</status>
      <modifiedWord>（</modifiedWord>
      <trackRevisions>false</trackRevisions>
    </reviewItem>
    <reviewItem>
      <errorID>bbb4bc0d-aac0-4de5-9221-917f42517047</errorID>
      <errorWord>)(</errorWord>
      <group>L1_Format</group>
      <groupName>格式问题</groupName>
      <ability>L2_HalfPunc_CN</ability>
      <abilityName>全半角检查</abilityName>
      <candidateList>
        <item>）（</item>
      </candidateList>
      <explain>文本全半角错误。</explain>
      <paraID>316B17EB</paraID>
      <start>15</start>
      <end>17</end>
      <status>modified</status>
      <modifiedWord>）（</modifiedWord>
      <trackRevisions>false</trackRevisions>
    </reviewItem>
    <reviewItem>
      <errorID>3ba7309b-5d4a-4ddd-9e2a-a45c8e9d5753</errorID>
      <errorWord>)</errorWord>
      <group>L1_Format</group>
      <groupName>格式问题</groupName>
      <ability>L2_HalfPunc_CN</ability>
      <abilityName>全半角检查</abilityName>
      <candidateList>
        <item>）</item>
      </candidateList>
      <explain>文本全半角错误。</explain>
      <paraID>316B17EB</paraID>
      <start>24</start>
      <end>25</end>
      <status>modified</status>
      <modifiedWord>）</modifiedWord>
      <trackRevisions>false</trackRevisions>
    </reviewItem>
    <reviewItem>
      <errorID>695e7c36-b98b-45e7-9028-f3938dd53de9</errorID>
      <errorWord>:(</errorWord>
      <group>L1_Format</group>
      <groupName>格式问题</groupName>
      <ability>L2_HalfPunc_CN</ability>
      <abilityName>全半角检查</abilityName>
      <candidateList>
        <item>：（</item>
      </candidateList>
      <explain>文本全半角错误。</explain>
      <paraID>68F15C6E</paraID>
      <start>31</start>
      <end>33</end>
      <status>modified</status>
      <modifiedWord>：（</modifiedWord>
      <trackRevisions>false</trackRevisions>
    </reviewItem>
    <reviewItem>
      <errorID>b2d30940-72d0-414e-8c02-c19226637d9f</errorID>
      <errorWord>)</errorWord>
      <group>L1_Format</group>
      <groupName>格式问题</groupName>
      <ability>L2_HalfPunc_CN</ability>
      <abilityName>全半角检查</abilityName>
      <candidateList>
        <item>）</item>
      </candidateList>
      <explain>文本全半角错误。</explain>
      <paraID>68F15C6E</paraID>
      <start>39</start>
      <end>40</end>
      <status>modified</status>
      <modifiedWord>）</modifiedWord>
      <trackRevisions>false</trackRevisions>
    </reviewItem>
    <reviewItem>
      <errorID>903228c6-9ca1-49e2-84db-ab9b92a942d3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54143C98</paraID>
      <start>0</start>
      <end>3</end>
      <status>modified</status>
      <modifiedWord>（1）</modifiedWord>
      <trackRevisions>false</trackRevisions>
    </reviewItem>
    <reviewItem>
      <errorID>da765027-bd0e-49a3-ac56-c8577214d31b</errorID>
      <errorWord>(</errorWord>
      <group>L1_Format</group>
      <groupName>格式问题</groupName>
      <ability>L2_HalfPunc_CN</ability>
      <abilityName>全半角检查</abilityName>
      <candidateList>
        <item>（</item>
      </candidateList>
      <explain>文本全半角错误。</explain>
      <paraID>4A5A3C71</paraID>
      <start>5</start>
      <end>6</end>
      <status>modified</status>
      <modifiedWord>（</modifiedWord>
      <trackRevisions>false</trackRevisions>
    </reviewItem>
    <reviewItem>
      <errorID>07d3e06f-23b0-4171-bd5e-37abd9744f88</errorID>
      <errorWord>)</errorWord>
      <group>L1_Format</group>
      <groupName>格式问题</groupName>
      <ability>L2_HalfPunc_CN</ability>
      <abilityName>全半角检查</abilityName>
      <candidateList>
        <item>）</item>
      </candidateList>
      <explain>文本全半角错误。</explain>
      <paraID>4A5A3C71</paraID>
      <start>19</start>
      <end>20</end>
      <status>modified</status>
      <modifiedWord>）</modifiedWord>
      <trackRevisions>false</trackRevisions>
    </reviewItem>
    <reviewItem>
      <errorID>d6f3c642-b7c4-4b9a-806e-efe24e5929fa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49F4C608</paraID>
      <start>0</start>
      <end>3</end>
      <status>modified</status>
      <modifiedWord>（2）</modifiedWord>
      <trackRevisions>false</trackRevisions>
    </reviewItem>
    <reviewItem>
      <errorID>d2a1e6ae-180e-432e-b31e-ef41a76d6f4e</errorID>
      <errorWord>(</errorWord>
      <group>L1_Format</group>
      <groupName>格式问题</groupName>
      <ability>L2_HalfPunc_CN</ability>
      <abilityName>全半角检查</abilityName>
      <candidateList>
        <item>（</item>
      </candidateList>
      <explain>文本全半角错误。</explain>
      <paraID>53B4B516</paraID>
      <start>0</start>
      <end>1</end>
      <status>modified</status>
      <modifiedWord>（</modifiedWord>
      <trackRevisions>false</trackRevisions>
    </reviewItem>
    <reviewItem>
      <errorID>d2a1f5fb-a2f3-41f0-bd45-622da920835b</errorID>
      <errorWord>复印件加盖</errorWord>
      <group>L1_Word</group>
      <groupName>字词问题</groupName>
      <ability>L2_Typo</ability>
      <abilityName>字词错误</abilityName>
      <candidateList>
        <item>复印件并加盖</item>
      </candidateList>
      <explain/>
      <paraID>72A0F79E</paraID>
      <start>2</start>
      <end>7</end>
      <status>unmodified</status>
      <modifiedWord/>
      <trackRevisions>false</trackRevisions>
    </reviewItem>
    <reviewItem>
      <errorID>23cf99c1-8558-41b8-95db-b957d1d7fcb9</errorID>
      <errorWord>)</errorWord>
      <group>L1_Format</group>
      <groupName>格式问题</groupName>
      <ability>L2_HalfPunc_CN</ability>
      <abilityName>全半角检查</abilityName>
      <candidateList>
        <item>）</item>
      </candidateList>
      <explain>文本全半角错误。</explain>
      <paraID>72A0F79E</paraID>
      <start>12</start>
      <end>13</end>
      <status>modified</status>
      <modifiedWord>）</modifiedWord>
      <trackRevisions>false</trackRevisions>
    </reviewItem>
    <reviewItem>
      <errorID>ef7473ff-16a5-4116-b3d4-551746860c1b</errorID>
      <errorWord>复印件加盖</errorWord>
      <group>L1_Word</group>
      <groupName>字词问题</groupName>
      <ability>L2_Typo</ability>
      <abilityName>字词错误</abilityName>
      <candidateList>
        <item>复印件并加盖</item>
      </candidateList>
      <explain/>
      <paraID>76881392</paraID>
      <start>116</start>
      <end>121</end>
      <status>unmodified</status>
      <modifiedWord/>
      <trackRevisions>false</trackRevisions>
    </reviewItem>
    <reviewItem>
      <errorID>26dfb007-e4bc-4ead-bbc6-79545f103cef</errorID>
      <errorWord>《关于公布扬州市2026-2028年度可参与重大决策社会稳定风险评估第三方机构名单的通知》</errorWord>
      <group>L1_Official</group>
      <groupName>公文格式问题</groupName>
      <ability>L2_Official</ability>
      <abilityName>公文要素检查</abilityName>
      <candidateList/>
      <explain>公文文件引用格式不规范</explain>
      <paraID>76881392</paraID>
      <start>128</start>
      <end>173</end>
      <status>unmodified</status>
      <modifiedWord/>
      <trackRevisions>false</trackRevisions>
    </reviewItem>
    <reviewItem>
      <errorID>fc340edc-8e84-4e68-8663-108ffd5fe9f5</errorID>
      <errorWord>已在</errorWord>
      <group>L1_Word</group>
      <groupName>字词问题</groupName>
      <ability>L2_Typo</ability>
      <abilityName>字词错误</abilityName>
      <candidateList>
        <item>已</item>
      </candidateList>
      <explain/>
      <paraID>447EC6A2</paraID>
      <start>73</start>
      <end>74</end>
      <status>modified</status>
      <modifiedWord>已</modifiedWord>
      <trackRevisions>false</trackRevisions>
    </reviewItem>
    <reviewItem>
      <errorID>a594b421-51bb-4c50-8c10-baa9e586fe58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487F0C86</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aceb96-747f-4b28-9c08-11fb6778d8e7}">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44</Pages>
  <Words>903</Words>
  <Characters>958</Characters>
  <Lines>194</Lines>
  <Paragraphs>54</Paragraphs>
  <TotalTime>3</TotalTime>
  <ScaleCrop>false</ScaleCrop>
  <LinksUpToDate>false</LinksUpToDate>
  <CharactersWithSpaces>985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2025-01-07T01:04:00Z</dcterms:created>
  <dc:creator>admin</dc:creator>
  <cp:lastModifiedBy>luckylucky</cp:lastModifiedBy>
  <cp:lastPrinted>2026-09-21T02:02:00Z</cp:lastPrinted>
  <dcterms:modified xsi:type="dcterms:W3CDTF">2026-11-06T07:55:30Z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45F14D2D34C844658C2935EAA21F88A1_13</vt:lpwstr>
  </property>
  <property fmtid="{D5CDD505-2E9C-101B-9397-08002B2CF9AE}" pid="4" name="KSOTemplateDocerSaveRecord">
    <vt:lpwstr>eyJoZGlkIjoiMmU0ZDNiZGQ3MGE0MGI4YjY5ZGRmN2U5ZDI5YWYzMTEiLCJ1c2VySWQiOiI0NjY3MzgyMDAifQ==</vt:lpwstr>
  </property>
</Properties>
</file>